
<file path=[Content_Types].xml><?xml version="1.0" encoding="utf-8"?>
<Types xmlns="http://schemas.openxmlformats.org/package/2006/content-types">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1.xml" ContentType="application/vnd.openxmlformats-officedocument.themeOverride+xml"/>
  <Override PartName="/word/footer1.xml" ContentType="application/vnd.openxmlformats-officedocument.wordprocessingml.footer+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theme/themeOverride2.xml" ContentType="application/vnd.openxmlformats-officedocument.themeOverride+xml"/>
  <Override PartName="/word/header1.xml" ContentType="application/vnd.openxmlformats-officedocument.wordprocessingml.header+xml"/>
  <Override PartName="/word/footer2.xml" ContentType="application/vnd.openxmlformats-officedocument.wordprocessingml.footer+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theme/themeOverride3.xml" ContentType="application/vnd.openxmlformats-officedocument.themeOverride+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DA256B1" w14:textId="77777777" w:rsidR="000F7E56" w:rsidRPr="000F7E56" w:rsidRDefault="000F7E56" w:rsidP="000F7E56">
      <w:pPr>
        <w:spacing w:after="120" w:line="264" w:lineRule="auto"/>
        <w:rPr>
          <w:rFonts w:eastAsiaTheme="minorEastAsia" w:cstheme="minorHAnsi"/>
          <w:b/>
          <w:color w:val="4472C4" w:themeColor="accent1"/>
          <w:sz w:val="36"/>
          <w:szCs w:val="36"/>
        </w:rPr>
      </w:pPr>
      <w:bookmarkStart w:id="0" w:name="_Toc87279291"/>
      <w:r w:rsidRPr="000F7E56">
        <w:rPr>
          <w:rFonts w:eastAsiaTheme="minorEastAsia" w:cstheme="minorHAnsi"/>
          <w:b/>
          <w:color w:val="4472C4" w:themeColor="accent1"/>
          <w:sz w:val="36"/>
          <w:szCs w:val="36"/>
        </w:rPr>
        <w:t>Thinking ahead about medical treatments in advanced illness: A qualitative study of barriers and enablers in end-of-life care planning with patients and families from ethnically diverse backgrounds.</w:t>
      </w:r>
    </w:p>
    <w:p w14:paraId="17E4A99B" w14:textId="77777777" w:rsidR="000F7E56" w:rsidRPr="000F7E56" w:rsidRDefault="000F7E56" w:rsidP="000F7E56">
      <w:pPr>
        <w:rPr>
          <w:b/>
          <w:color w:val="0070C0"/>
        </w:rPr>
      </w:pPr>
      <w:r w:rsidRPr="000F7E56">
        <w:rPr>
          <w:b/>
          <w:color w:val="0070C0"/>
          <w:sz w:val="24"/>
          <w:szCs w:val="24"/>
        </w:rPr>
        <w:t>Authors</w:t>
      </w:r>
      <w:r w:rsidRPr="000F7E56">
        <w:rPr>
          <w:b/>
          <w:color w:val="0070C0"/>
        </w:rPr>
        <w:t>:</w:t>
      </w:r>
    </w:p>
    <w:p w14:paraId="2F7F2B1F" w14:textId="7186F306" w:rsidR="00A31FAA" w:rsidRPr="00F74B53" w:rsidRDefault="000F7E56" w:rsidP="00A31FAA">
      <w:pPr>
        <w:spacing w:after="0" w:line="240" w:lineRule="auto"/>
        <w:rPr>
          <w:rFonts w:ascii="Calibri" w:eastAsia="Calibri" w:hAnsi="Calibri" w:cs="Calibri"/>
          <w:lang w:val="en-US"/>
        </w:rPr>
      </w:pPr>
      <w:proofErr w:type="spellStart"/>
      <w:r w:rsidRPr="00F74B53">
        <w:rPr>
          <w:rFonts w:ascii="Calibri" w:eastAsia="Calibri" w:hAnsi="Calibri" w:cs="Calibri"/>
        </w:rPr>
        <w:t>Zoebia</w:t>
      </w:r>
      <w:proofErr w:type="spellEnd"/>
      <w:r w:rsidRPr="00F74B53">
        <w:rPr>
          <w:rFonts w:ascii="Calibri" w:eastAsia="Calibri" w:hAnsi="Calibri" w:cs="Calibri"/>
        </w:rPr>
        <w:t xml:space="preserve"> Islam (corresponding </w:t>
      </w:r>
      <w:r w:rsidR="00913AEE" w:rsidRPr="00F74B53">
        <w:rPr>
          <w:rFonts w:ascii="Calibri" w:eastAsia="Calibri" w:hAnsi="Calibri" w:cs="Calibri"/>
        </w:rPr>
        <w:t>author</w:t>
      </w:r>
      <w:r w:rsidR="00913AEE">
        <w:rPr>
          <w:rFonts w:ascii="Calibri" w:eastAsia="Calibri" w:hAnsi="Calibri" w:cs="Calibri"/>
          <w:vertAlign w:val="superscript"/>
        </w:rPr>
        <w:t>*</w:t>
      </w:r>
      <w:r w:rsidRPr="00F74B53">
        <w:rPr>
          <w:rFonts w:ascii="Calibri" w:eastAsia="Calibri" w:hAnsi="Calibri" w:cs="Calibri"/>
        </w:rPr>
        <w:t>)</w:t>
      </w:r>
      <w:r w:rsidR="00F74B53" w:rsidRPr="00F74B53">
        <w:rPr>
          <w:rFonts w:ascii="Calibri" w:eastAsia="Calibri" w:hAnsi="Calibri" w:cs="Calibri"/>
        </w:rPr>
        <w:t xml:space="preserve"> -</w:t>
      </w:r>
      <w:r w:rsidRPr="00F74B53">
        <w:rPr>
          <w:rFonts w:ascii="Calibri" w:eastAsia="Calibri" w:hAnsi="Calibri" w:cs="Calibri"/>
        </w:rPr>
        <w:t xml:space="preserve"> Senior Research Fellow,</w:t>
      </w:r>
      <w:r w:rsidR="00A31FAA" w:rsidRPr="00F74B53">
        <w:rPr>
          <w:rFonts w:ascii="Calibri" w:eastAsia="Calibri" w:hAnsi="Calibri" w:cs="Calibri"/>
          <w:lang w:val="en-US"/>
        </w:rPr>
        <w:t xml:space="preserve"> </w:t>
      </w:r>
      <w:r w:rsidR="00625971">
        <w:rPr>
          <w:rFonts w:ascii="Calibri" w:eastAsia="Calibri" w:hAnsi="Calibri" w:cs="Calibri"/>
          <w:lang w:val="en-US"/>
        </w:rPr>
        <w:t>LOROS</w:t>
      </w:r>
      <w:r w:rsidR="00406A99">
        <w:rPr>
          <w:rFonts w:ascii="Calibri" w:eastAsia="Calibri" w:hAnsi="Calibri" w:cs="Calibri"/>
          <w:lang w:val="en-US"/>
        </w:rPr>
        <w:t xml:space="preserve"> Hospice, Leicester </w:t>
      </w:r>
    </w:p>
    <w:p w14:paraId="7A069468" w14:textId="53EB45E9" w:rsidR="000F7E56" w:rsidRPr="00F74B53" w:rsidRDefault="000F7E56" w:rsidP="00A31FAA">
      <w:pPr>
        <w:spacing w:after="0" w:line="240" w:lineRule="auto"/>
        <w:rPr>
          <w:rFonts w:ascii="Calibri" w:eastAsia="Calibri" w:hAnsi="Calibri" w:cs="Calibri"/>
          <w:lang w:val="en-US"/>
        </w:rPr>
      </w:pPr>
      <w:r w:rsidRPr="00F74B53">
        <w:rPr>
          <w:rFonts w:ascii="Calibri" w:eastAsia="Calibri" w:hAnsi="Calibri" w:cs="Calibri"/>
        </w:rPr>
        <w:t>Kristian Pollock</w:t>
      </w:r>
      <w:r w:rsidR="00F74B53">
        <w:rPr>
          <w:rFonts w:ascii="Calibri" w:eastAsia="SimSun" w:hAnsi="Calibri" w:cs="Arial"/>
        </w:rPr>
        <w:t xml:space="preserve"> - </w:t>
      </w:r>
      <w:r w:rsidRPr="00F74B53">
        <w:rPr>
          <w:rFonts w:ascii="Calibri" w:eastAsia="Times New Roman" w:hAnsi="Calibri" w:cs="Times New Roman"/>
          <w:bdr w:val="none" w:sz="0" w:space="0" w:color="auto" w:frame="1"/>
          <w:lang w:eastAsia="en-GB"/>
        </w:rPr>
        <w:t>Professor of Medical Sociology, School of Health Sciences</w:t>
      </w:r>
    </w:p>
    <w:p w14:paraId="69786153" w14:textId="6EDAF0D7" w:rsidR="000F7E56" w:rsidRPr="00F74B53" w:rsidRDefault="000F7E56" w:rsidP="00A31FAA">
      <w:pPr>
        <w:spacing w:after="0" w:line="240" w:lineRule="auto"/>
        <w:rPr>
          <w:rFonts w:ascii="Calibri" w:eastAsia="Calibri" w:hAnsi="Calibri" w:cs="Calibri"/>
        </w:rPr>
      </w:pPr>
      <w:r w:rsidRPr="00F74B53">
        <w:rPr>
          <w:rFonts w:ascii="Calibri" w:eastAsia="Calibri" w:hAnsi="Calibri" w:cs="Calibri"/>
        </w:rPr>
        <w:t>Anne Patterson</w:t>
      </w:r>
      <w:r w:rsidR="00F74B53">
        <w:rPr>
          <w:rFonts w:ascii="Calibri" w:eastAsia="Calibri" w:hAnsi="Calibri" w:cs="Calibri"/>
        </w:rPr>
        <w:t xml:space="preserve"> - </w:t>
      </w:r>
      <w:r w:rsidRPr="00F74B53">
        <w:rPr>
          <w:rFonts w:ascii="Calibri" w:eastAsia="Calibri" w:hAnsi="Calibri" w:cs="Calibri"/>
        </w:rPr>
        <w:t>Research Fellow, LOROS</w:t>
      </w:r>
      <w:r w:rsidR="000F4252">
        <w:rPr>
          <w:rFonts w:ascii="Calibri" w:eastAsia="Calibri" w:hAnsi="Calibri" w:cs="Calibri"/>
        </w:rPr>
        <w:t xml:space="preserve"> </w:t>
      </w:r>
      <w:r w:rsidR="00406A99">
        <w:rPr>
          <w:rFonts w:ascii="Calibri" w:eastAsia="Calibri" w:hAnsi="Calibri" w:cs="Calibri"/>
        </w:rPr>
        <w:t>Hospice, Leicester</w:t>
      </w:r>
    </w:p>
    <w:p w14:paraId="4A3A9D9F" w14:textId="52A36C93" w:rsidR="000F7E56" w:rsidRPr="00F74B53" w:rsidRDefault="000F7E56" w:rsidP="00A31FAA">
      <w:pPr>
        <w:spacing w:after="0" w:line="240" w:lineRule="auto"/>
        <w:rPr>
          <w:rFonts w:ascii="Calibri" w:eastAsia="Calibri" w:hAnsi="Calibri" w:cs="Calibri"/>
        </w:rPr>
      </w:pPr>
      <w:r w:rsidRPr="00F74B53">
        <w:rPr>
          <w:rFonts w:ascii="Calibri" w:eastAsia="Calibri" w:hAnsi="Calibri" w:cs="Calibri"/>
        </w:rPr>
        <w:t xml:space="preserve">Matilda </w:t>
      </w:r>
      <w:proofErr w:type="spellStart"/>
      <w:r w:rsidRPr="00F74B53">
        <w:rPr>
          <w:rFonts w:ascii="Calibri" w:eastAsia="Calibri" w:hAnsi="Calibri" w:cs="Calibri"/>
        </w:rPr>
        <w:t>Hanjari</w:t>
      </w:r>
      <w:proofErr w:type="spellEnd"/>
      <w:r w:rsidR="00F74B53">
        <w:rPr>
          <w:rFonts w:ascii="Calibri" w:eastAsia="Calibri" w:hAnsi="Calibri" w:cs="Calibri"/>
        </w:rPr>
        <w:t xml:space="preserve"> - </w:t>
      </w:r>
      <w:r w:rsidR="00F74B53" w:rsidRPr="00F74B53">
        <w:rPr>
          <w:rFonts w:ascii="Calibri" w:eastAsia="Calibri" w:hAnsi="Calibri" w:cs="Calibri"/>
        </w:rPr>
        <w:t>Research</w:t>
      </w:r>
      <w:r w:rsidRPr="00F74B53">
        <w:rPr>
          <w:rFonts w:ascii="Calibri" w:eastAsia="Calibri" w:hAnsi="Calibri" w:cs="Calibri"/>
        </w:rPr>
        <w:t xml:space="preserve"> Associate, LOROS</w:t>
      </w:r>
      <w:r w:rsidR="00EA6099">
        <w:rPr>
          <w:rFonts w:ascii="Calibri" w:eastAsia="Calibri" w:hAnsi="Calibri" w:cs="Calibri"/>
        </w:rPr>
        <w:t xml:space="preserve"> Hospice, </w:t>
      </w:r>
      <w:r w:rsidR="00406A99">
        <w:rPr>
          <w:rFonts w:ascii="Calibri" w:eastAsia="Calibri" w:hAnsi="Calibri" w:cs="Calibri"/>
        </w:rPr>
        <w:t>Leicester</w:t>
      </w:r>
      <w:r w:rsidR="00EA6099">
        <w:rPr>
          <w:rFonts w:ascii="Calibri" w:eastAsia="Calibri" w:hAnsi="Calibri" w:cs="Calibri"/>
        </w:rPr>
        <w:t xml:space="preserve">  </w:t>
      </w:r>
    </w:p>
    <w:p w14:paraId="45BDA8E4" w14:textId="67E9C3D2" w:rsidR="000F7E56" w:rsidRPr="00F74B53" w:rsidRDefault="000F7E56" w:rsidP="00A31FAA">
      <w:pPr>
        <w:spacing w:after="0" w:line="240" w:lineRule="auto"/>
        <w:rPr>
          <w:rFonts w:ascii="Calibri" w:eastAsia="Calibri" w:hAnsi="Calibri" w:cs="Calibri"/>
        </w:rPr>
      </w:pPr>
      <w:r w:rsidRPr="00F74B53">
        <w:rPr>
          <w:rFonts w:ascii="Calibri" w:eastAsia="Calibri" w:hAnsi="Calibri" w:cs="Calibri"/>
        </w:rPr>
        <w:t>Louise Wallace</w:t>
      </w:r>
      <w:r w:rsidR="00F74B53">
        <w:rPr>
          <w:rFonts w:ascii="Calibri" w:eastAsia="Calibri" w:hAnsi="Calibri" w:cs="Calibri"/>
        </w:rPr>
        <w:t xml:space="preserve"> - </w:t>
      </w:r>
      <w:r w:rsidRPr="00F74B53">
        <w:rPr>
          <w:rFonts w:ascii="Calibri" w:eastAsia="Calibri" w:hAnsi="Calibri" w:cs="Calibri"/>
        </w:rPr>
        <w:t>Professor of Psychology and Health, Open University</w:t>
      </w:r>
    </w:p>
    <w:p w14:paraId="1804FB49" w14:textId="6063B561" w:rsidR="000F7E56" w:rsidRPr="00F74B53" w:rsidRDefault="000F7E56" w:rsidP="00A31FAA">
      <w:pPr>
        <w:spacing w:after="0" w:line="240" w:lineRule="auto"/>
        <w:rPr>
          <w:rFonts w:ascii="Calibri" w:eastAsia="Calibri" w:hAnsi="Calibri" w:cs="Calibri"/>
        </w:rPr>
      </w:pPr>
      <w:bookmarkStart w:id="1" w:name="_Hlk89954683"/>
      <w:proofErr w:type="spellStart"/>
      <w:r w:rsidRPr="00F74B53">
        <w:rPr>
          <w:rFonts w:ascii="Calibri" w:eastAsia="Calibri" w:hAnsi="Calibri" w:cs="Calibri"/>
        </w:rPr>
        <w:t>Irfhan</w:t>
      </w:r>
      <w:proofErr w:type="spellEnd"/>
      <w:r w:rsidRPr="00F74B53">
        <w:rPr>
          <w:rFonts w:ascii="Calibri" w:eastAsia="Calibri" w:hAnsi="Calibri" w:cs="Calibri"/>
        </w:rPr>
        <w:t xml:space="preserve"> </w:t>
      </w:r>
      <w:proofErr w:type="spellStart"/>
      <w:r w:rsidRPr="00F74B53">
        <w:rPr>
          <w:rFonts w:ascii="Calibri" w:eastAsia="Calibri" w:hAnsi="Calibri" w:cs="Calibri"/>
        </w:rPr>
        <w:t>Mururajani</w:t>
      </w:r>
      <w:proofErr w:type="spellEnd"/>
      <w:r w:rsidRPr="00F74B53">
        <w:rPr>
          <w:rFonts w:ascii="Calibri" w:eastAsia="Calibri" w:hAnsi="Calibri" w:cs="Calibri"/>
        </w:rPr>
        <w:t>- Patient and Public Involvement lead</w:t>
      </w:r>
      <w:r w:rsidR="00406A99">
        <w:rPr>
          <w:rFonts w:ascii="Calibri" w:eastAsia="Calibri" w:hAnsi="Calibri" w:cs="Calibri"/>
        </w:rPr>
        <w:t xml:space="preserve">, LOROS Hospice, Leicester </w:t>
      </w:r>
      <w:r w:rsidRPr="00F74B53">
        <w:rPr>
          <w:rFonts w:ascii="Calibri" w:eastAsia="Calibri" w:hAnsi="Calibri" w:cs="Calibri"/>
        </w:rPr>
        <w:t xml:space="preserve"> </w:t>
      </w:r>
    </w:p>
    <w:bookmarkEnd w:id="1"/>
    <w:p w14:paraId="1228EBCD" w14:textId="624666E5" w:rsidR="000F7E56" w:rsidRPr="00F74B53" w:rsidRDefault="000F7E56" w:rsidP="00A31FAA">
      <w:pPr>
        <w:spacing w:after="0" w:line="240" w:lineRule="auto"/>
        <w:rPr>
          <w:rFonts w:ascii="Calibri" w:eastAsia="Calibri" w:hAnsi="Calibri" w:cs="Calibri"/>
        </w:rPr>
      </w:pPr>
      <w:r w:rsidRPr="00F74B53">
        <w:rPr>
          <w:rFonts w:ascii="Calibri" w:eastAsia="Calibri" w:hAnsi="Calibri" w:cs="Calibri"/>
        </w:rPr>
        <w:t>Simon Conroy</w:t>
      </w:r>
      <w:r w:rsidR="00F74B53">
        <w:rPr>
          <w:rFonts w:ascii="Calibri" w:eastAsia="Calibri" w:hAnsi="Calibri" w:cs="Calibri"/>
        </w:rPr>
        <w:t xml:space="preserve"> - </w:t>
      </w:r>
      <w:r w:rsidR="00F74B53" w:rsidRPr="00F74B53">
        <w:rPr>
          <w:rFonts w:ascii="Calibri" w:eastAsia="Calibri" w:hAnsi="Calibri" w:cs="Calibri"/>
        </w:rPr>
        <w:t>Professor</w:t>
      </w:r>
      <w:r w:rsidRPr="00F74B53">
        <w:rPr>
          <w:rFonts w:ascii="Calibri" w:eastAsia="Calibri" w:hAnsi="Calibri" w:cs="Calibri"/>
        </w:rPr>
        <w:t xml:space="preserve"> of Geriatric Medicine, University of Leicester</w:t>
      </w:r>
    </w:p>
    <w:p w14:paraId="46EAC780" w14:textId="0BFB7CCF" w:rsidR="000F7E56" w:rsidRPr="00F74B53" w:rsidRDefault="000F7E56" w:rsidP="00A31FAA">
      <w:pPr>
        <w:spacing w:after="0" w:line="240" w:lineRule="auto"/>
        <w:rPr>
          <w:rFonts w:eastAsia="Times New Roman" w:cs="Times New Roman"/>
          <w:bdr w:val="none" w:sz="0" w:space="0" w:color="auto" w:frame="1"/>
          <w:lang w:eastAsia="en-GB"/>
        </w:rPr>
      </w:pPr>
      <w:r w:rsidRPr="00F74B53">
        <w:rPr>
          <w:rFonts w:ascii="Calibri" w:eastAsia="Calibri" w:hAnsi="Calibri" w:cs="Calibri"/>
        </w:rPr>
        <w:t>Christina Faull</w:t>
      </w:r>
      <w:r w:rsidR="00F74B53">
        <w:rPr>
          <w:rFonts w:ascii="Calibri" w:eastAsia="Calibri" w:hAnsi="Calibri" w:cs="Calibri"/>
        </w:rPr>
        <w:t xml:space="preserve"> - </w:t>
      </w:r>
      <w:r w:rsidRPr="00F74B53">
        <w:rPr>
          <w:rFonts w:eastAsia="Times New Roman" w:cs="Times New Roman"/>
          <w:bdr w:val="none" w:sz="0" w:space="0" w:color="auto" w:frame="1"/>
          <w:lang w:eastAsia="en-GB"/>
        </w:rPr>
        <w:t>Consultant in Palliative Medicine, LOROS Hospice, Leicester</w:t>
      </w:r>
    </w:p>
    <w:p w14:paraId="37F463E6" w14:textId="77777777" w:rsidR="000F7E56" w:rsidRPr="000F7E56" w:rsidRDefault="000F7E56" w:rsidP="00A31FAA">
      <w:pPr>
        <w:spacing w:after="0" w:line="240" w:lineRule="auto"/>
        <w:rPr>
          <w:rFonts w:ascii="Calibri" w:eastAsia="Calibri" w:hAnsi="Calibri" w:cs="Calibri"/>
        </w:rPr>
      </w:pPr>
    </w:p>
    <w:p w14:paraId="35A945B2" w14:textId="1D7D8316" w:rsidR="000F7E56" w:rsidRPr="000F7E56" w:rsidRDefault="00913AEE" w:rsidP="000F7E56">
      <w:pPr>
        <w:spacing w:after="0" w:line="240" w:lineRule="auto"/>
        <w:rPr>
          <w:rFonts w:ascii="Calibri" w:eastAsia="Calibri" w:hAnsi="Calibri" w:cs="Calibri"/>
        </w:rPr>
      </w:pPr>
      <w:r>
        <w:rPr>
          <w:rFonts w:ascii="Calibri" w:eastAsia="Calibri" w:hAnsi="Calibri" w:cs="Calibri"/>
          <w:vertAlign w:val="superscript"/>
        </w:rPr>
        <w:t>*</w:t>
      </w:r>
      <w:r w:rsidRPr="000F7E56">
        <w:rPr>
          <w:rFonts w:ascii="Calibri" w:eastAsia="Calibri" w:hAnsi="Calibri" w:cs="Calibri"/>
        </w:rPr>
        <w:t xml:space="preserve"> </w:t>
      </w:r>
      <w:r w:rsidR="000F7E56" w:rsidRPr="000F7E56">
        <w:rPr>
          <w:rFonts w:ascii="Calibri" w:eastAsia="Calibri" w:hAnsi="Calibri" w:cs="Calibri"/>
        </w:rPr>
        <w:t xml:space="preserve">LOROS Hospice, </w:t>
      </w:r>
      <w:proofErr w:type="spellStart"/>
      <w:r w:rsidR="000F7E56" w:rsidRPr="000F7E56">
        <w:rPr>
          <w:rFonts w:ascii="Calibri" w:eastAsia="Calibri" w:hAnsi="Calibri" w:cs="Calibri"/>
        </w:rPr>
        <w:t>Groby</w:t>
      </w:r>
      <w:proofErr w:type="spellEnd"/>
      <w:r w:rsidR="000F7E56" w:rsidRPr="000F7E56">
        <w:rPr>
          <w:rFonts w:ascii="Calibri" w:eastAsia="Calibri" w:hAnsi="Calibri" w:cs="Calibri"/>
        </w:rPr>
        <w:t xml:space="preserve"> Road, Leicester LE3 9QE </w:t>
      </w:r>
      <w:r w:rsidR="00CA6FDE">
        <w:rPr>
          <w:rFonts w:ascii="Calibri" w:eastAsia="Calibri" w:hAnsi="Calibri" w:cs="Calibri"/>
        </w:rPr>
        <w:t xml:space="preserve">Email: </w:t>
      </w:r>
      <w:hyperlink r:id="rId8" w:history="1">
        <w:r w:rsidR="00CA6FDE" w:rsidRPr="00812D48">
          <w:rPr>
            <w:rStyle w:val="Hyperlink"/>
            <w:rFonts w:ascii="Calibri" w:eastAsia="Calibri" w:hAnsi="Calibri" w:cs="Calibri"/>
          </w:rPr>
          <w:t>ZoebiaIslam@loros.co.uk</w:t>
        </w:r>
      </w:hyperlink>
      <w:r w:rsidR="00CA6FDE">
        <w:rPr>
          <w:rFonts w:ascii="Calibri" w:eastAsia="Calibri" w:hAnsi="Calibri" w:cs="Calibri"/>
          <w:color w:val="0563C1"/>
          <w:u w:val="single"/>
        </w:rPr>
        <w:t xml:space="preserve">, Phone: </w:t>
      </w:r>
      <w:r w:rsidR="00CA6FDE" w:rsidRPr="00CA6FDE">
        <w:rPr>
          <w:rFonts w:ascii="Calibri" w:eastAsia="Calibri" w:hAnsi="Calibri" w:cs="Calibri"/>
          <w:color w:val="0563C1"/>
          <w:u w:val="single"/>
        </w:rPr>
        <w:t>07384 817 722</w:t>
      </w:r>
    </w:p>
    <w:p w14:paraId="39E3A105" w14:textId="77777777" w:rsidR="000F7E56" w:rsidRPr="000F7E56" w:rsidRDefault="000F7E56" w:rsidP="000F7E56">
      <w:pPr>
        <w:spacing w:after="0" w:line="240" w:lineRule="auto"/>
        <w:rPr>
          <w:rFonts w:ascii="Calibri" w:eastAsia="Calibri" w:hAnsi="Calibri" w:cs="Calibri"/>
        </w:rPr>
      </w:pPr>
    </w:p>
    <w:p w14:paraId="6CA5111C" w14:textId="77777777" w:rsidR="000F7E56" w:rsidRPr="000F7E56" w:rsidRDefault="000F7E56" w:rsidP="000F7E56">
      <w:pPr>
        <w:spacing w:after="0" w:line="240" w:lineRule="auto"/>
        <w:rPr>
          <w:rFonts w:ascii="Calibri" w:eastAsia="Calibri" w:hAnsi="Calibri" w:cs="Calibri"/>
        </w:rPr>
      </w:pPr>
    </w:p>
    <w:p w14:paraId="138E4647" w14:textId="77777777" w:rsidR="000F7E56" w:rsidRPr="000F7E56" w:rsidRDefault="000F7E56" w:rsidP="000F7E56">
      <w:pPr>
        <w:spacing w:after="120" w:line="264" w:lineRule="auto"/>
        <w:rPr>
          <w:rFonts w:ascii="Calibri" w:eastAsia="SimSun" w:hAnsi="Calibri" w:cs="Arial"/>
          <w:b/>
          <w:color w:val="0070C0"/>
          <w:shd w:val="clear" w:color="auto" w:fill="FFFFFF"/>
        </w:rPr>
      </w:pPr>
      <w:r w:rsidRPr="000F7E56">
        <w:rPr>
          <w:rFonts w:ascii="Calibri" w:eastAsia="SimSun" w:hAnsi="Calibri" w:cs="Arial"/>
          <w:b/>
          <w:color w:val="0070C0"/>
          <w:shd w:val="clear" w:color="auto" w:fill="FFFFFF"/>
        </w:rPr>
        <w:t xml:space="preserve">Keywords: </w:t>
      </w:r>
    </w:p>
    <w:p w14:paraId="542AC2DF" w14:textId="40B1A8B7" w:rsidR="000F7E56" w:rsidRPr="00DD28BD" w:rsidRDefault="000F7E56" w:rsidP="000F7E56">
      <w:pPr>
        <w:spacing w:after="0" w:line="240" w:lineRule="auto"/>
        <w:ind w:left="720"/>
        <w:rPr>
          <w:rFonts w:ascii="Calibri" w:eastAsia="Calibri" w:hAnsi="Calibri" w:cs="Times New Roman"/>
          <w:lang w:val="en-US" w:eastAsia="en-GB"/>
        </w:rPr>
      </w:pPr>
      <w:r w:rsidRPr="00DD28BD">
        <w:rPr>
          <w:rFonts w:ascii="Calibri" w:eastAsia="Calibri" w:hAnsi="Calibri" w:cs="Times New Roman"/>
          <w:lang w:val="en-US" w:eastAsia="en-GB"/>
        </w:rPr>
        <w:t>Qualitative Research, End</w:t>
      </w:r>
      <w:r w:rsidR="00AD41CE">
        <w:rPr>
          <w:rFonts w:ascii="Calibri" w:eastAsia="Calibri" w:hAnsi="Calibri" w:cs="Times New Roman"/>
          <w:lang w:val="en-US" w:eastAsia="en-GB"/>
        </w:rPr>
        <w:t>-</w:t>
      </w:r>
      <w:r w:rsidRPr="00DD28BD">
        <w:rPr>
          <w:rFonts w:ascii="Calibri" w:eastAsia="Calibri" w:hAnsi="Calibri" w:cs="Times New Roman"/>
          <w:lang w:val="en-US" w:eastAsia="en-GB"/>
        </w:rPr>
        <w:t>of</w:t>
      </w:r>
      <w:r w:rsidR="00AD41CE">
        <w:rPr>
          <w:rFonts w:ascii="Calibri" w:eastAsia="Calibri" w:hAnsi="Calibri" w:cs="Times New Roman"/>
          <w:lang w:val="en-US" w:eastAsia="en-GB"/>
        </w:rPr>
        <w:t>-</w:t>
      </w:r>
      <w:r w:rsidRPr="00DD28BD">
        <w:rPr>
          <w:rFonts w:ascii="Calibri" w:eastAsia="Calibri" w:hAnsi="Calibri" w:cs="Times New Roman"/>
          <w:lang w:val="en-US" w:eastAsia="en-GB"/>
        </w:rPr>
        <w:t xml:space="preserve">Life, Ethnic Diversity, Advance Care </w:t>
      </w:r>
      <w:r w:rsidR="00AD41CE">
        <w:rPr>
          <w:rFonts w:ascii="Calibri" w:eastAsia="Calibri" w:hAnsi="Calibri" w:cs="Times New Roman"/>
          <w:lang w:val="en-US" w:eastAsia="en-GB"/>
        </w:rPr>
        <w:t>P</w:t>
      </w:r>
      <w:r w:rsidRPr="00DD28BD">
        <w:rPr>
          <w:rFonts w:ascii="Calibri" w:eastAsia="Calibri" w:hAnsi="Calibri" w:cs="Times New Roman"/>
          <w:lang w:val="en-US" w:eastAsia="en-GB"/>
        </w:rPr>
        <w:t>lanning, Patient</w:t>
      </w:r>
      <w:r w:rsidR="00913AEE">
        <w:rPr>
          <w:rFonts w:ascii="Calibri" w:eastAsia="Calibri" w:hAnsi="Calibri" w:cs="Times New Roman"/>
          <w:lang w:val="en-US" w:eastAsia="en-GB"/>
        </w:rPr>
        <w:t xml:space="preserve"> Experiences, </w:t>
      </w:r>
      <w:r w:rsidRPr="00DD28BD">
        <w:rPr>
          <w:rFonts w:ascii="Calibri" w:eastAsia="Calibri" w:hAnsi="Calibri" w:cs="Times New Roman"/>
          <w:lang w:val="en-US" w:eastAsia="en-GB"/>
        </w:rPr>
        <w:t xml:space="preserve"> </w:t>
      </w:r>
      <w:r w:rsidR="007443B0" w:rsidRPr="00DD28BD">
        <w:rPr>
          <w:rFonts w:ascii="Calibri" w:eastAsia="Calibri" w:hAnsi="Calibri" w:cs="Times New Roman"/>
          <w:lang w:val="en-US" w:eastAsia="en-GB"/>
        </w:rPr>
        <w:t>F</w:t>
      </w:r>
      <w:r w:rsidRPr="00DD28BD">
        <w:rPr>
          <w:rFonts w:ascii="Calibri" w:eastAsia="Calibri" w:hAnsi="Calibri" w:cs="Times New Roman"/>
          <w:lang w:val="en-US" w:eastAsia="en-GB"/>
        </w:rPr>
        <w:t xml:space="preserve">amily </w:t>
      </w:r>
      <w:r w:rsidR="007443B0" w:rsidRPr="00DD28BD">
        <w:rPr>
          <w:rFonts w:ascii="Calibri" w:eastAsia="Calibri" w:hAnsi="Calibri" w:cs="Times New Roman"/>
          <w:lang w:val="en-US" w:eastAsia="en-GB"/>
        </w:rPr>
        <w:t>C</w:t>
      </w:r>
      <w:r w:rsidRPr="00DD28BD">
        <w:rPr>
          <w:rFonts w:ascii="Calibri" w:eastAsia="Calibri" w:hAnsi="Calibri" w:cs="Times New Roman"/>
          <w:lang w:val="en-US" w:eastAsia="en-GB"/>
        </w:rPr>
        <w:t xml:space="preserve">are </w:t>
      </w:r>
      <w:r w:rsidR="007443B0" w:rsidRPr="00DD28BD">
        <w:rPr>
          <w:rFonts w:ascii="Calibri" w:eastAsia="Calibri" w:hAnsi="Calibri" w:cs="Times New Roman"/>
          <w:lang w:val="en-US" w:eastAsia="en-GB"/>
        </w:rPr>
        <w:t>G</w:t>
      </w:r>
      <w:r w:rsidRPr="00DD28BD">
        <w:rPr>
          <w:rFonts w:ascii="Calibri" w:eastAsia="Calibri" w:hAnsi="Calibri" w:cs="Times New Roman"/>
          <w:lang w:val="en-US" w:eastAsia="en-GB"/>
        </w:rPr>
        <w:t xml:space="preserve">iver experiences.  </w:t>
      </w:r>
    </w:p>
    <w:p w14:paraId="0782BDE1" w14:textId="77777777" w:rsidR="000F7E56" w:rsidRPr="000F7E56" w:rsidRDefault="000F7E56" w:rsidP="000F7E56">
      <w:pPr>
        <w:spacing w:after="0" w:line="240" w:lineRule="auto"/>
        <w:ind w:left="720"/>
        <w:rPr>
          <w:rFonts w:ascii="Times New Roman" w:eastAsia="Times New Roman" w:hAnsi="Times New Roman" w:cs="Times New Roman"/>
          <w:sz w:val="24"/>
          <w:szCs w:val="24"/>
          <w:vertAlign w:val="superscript"/>
          <w:lang w:eastAsia="en-GB"/>
        </w:rPr>
      </w:pPr>
    </w:p>
    <w:p w14:paraId="54290611" w14:textId="77777777" w:rsidR="00EB1AB9" w:rsidRPr="000F7E56" w:rsidRDefault="00EB1AB9" w:rsidP="00EB1AB9">
      <w:pPr>
        <w:spacing w:after="0" w:line="240" w:lineRule="auto"/>
        <w:rPr>
          <w:rFonts w:ascii="Calibri" w:eastAsia="Calibri" w:hAnsi="Calibri" w:cs="Calibri"/>
        </w:rPr>
      </w:pPr>
    </w:p>
    <w:p w14:paraId="44DA8C72" w14:textId="7AA243AD" w:rsidR="00EB1AB9" w:rsidRDefault="00CA6FDE" w:rsidP="00EB1AB9">
      <w:pPr>
        <w:spacing w:after="120" w:line="264" w:lineRule="auto"/>
        <w:rPr>
          <w:rFonts w:ascii="Calibri" w:eastAsia="SimSun" w:hAnsi="Calibri" w:cs="Arial"/>
          <w:b/>
          <w:color w:val="0070C0"/>
          <w:shd w:val="clear" w:color="auto" w:fill="FFFFFF"/>
        </w:rPr>
      </w:pPr>
      <w:r>
        <w:rPr>
          <w:rFonts w:ascii="Calibri" w:eastAsia="SimSun" w:hAnsi="Calibri" w:cs="Arial"/>
          <w:b/>
          <w:color w:val="0070C0"/>
          <w:shd w:val="clear" w:color="auto" w:fill="FFFFFF"/>
        </w:rPr>
        <w:t xml:space="preserve">Disclosure </w:t>
      </w:r>
      <w:r w:rsidR="00EB1AB9">
        <w:rPr>
          <w:rFonts w:ascii="Calibri" w:eastAsia="SimSun" w:hAnsi="Calibri" w:cs="Arial"/>
          <w:b/>
          <w:color w:val="0070C0"/>
          <w:shd w:val="clear" w:color="auto" w:fill="FFFFFF"/>
        </w:rPr>
        <w:t>of Interest</w:t>
      </w:r>
      <w:r w:rsidR="00EB1AB9" w:rsidRPr="000F7E56">
        <w:rPr>
          <w:rFonts w:ascii="Calibri" w:eastAsia="SimSun" w:hAnsi="Calibri" w:cs="Arial"/>
          <w:b/>
          <w:color w:val="0070C0"/>
          <w:shd w:val="clear" w:color="auto" w:fill="FFFFFF"/>
        </w:rPr>
        <w:t xml:space="preserve">: </w:t>
      </w:r>
    </w:p>
    <w:p w14:paraId="1B621672" w14:textId="3E0B43D3" w:rsidR="00EB1AB9" w:rsidRDefault="00406A99" w:rsidP="00EB1AB9">
      <w:pPr>
        <w:spacing w:after="120" w:line="264" w:lineRule="auto"/>
        <w:rPr>
          <w:rFonts w:ascii="Calibri" w:eastAsia="SimSun" w:hAnsi="Calibri" w:cs="Arial"/>
          <w:shd w:val="clear" w:color="auto" w:fill="FFFFFF"/>
        </w:rPr>
      </w:pPr>
      <w:r>
        <w:rPr>
          <w:rFonts w:ascii="Calibri" w:eastAsia="SimSun" w:hAnsi="Calibri" w:cs="Arial"/>
          <w:b/>
          <w:color w:val="0070C0"/>
          <w:shd w:val="clear" w:color="auto" w:fill="FFFFFF"/>
        </w:rPr>
        <w:t>Prof</w:t>
      </w:r>
      <w:r w:rsidR="00D74EFC">
        <w:rPr>
          <w:rFonts w:ascii="Calibri" w:eastAsia="SimSun" w:hAnsi="Calibri" w:cs="Arial"/>
          <w:b/>
          <w:color w:val="0070C0"/>
          <w:shd w:val="clear" w:color="auto" w:fill="FFFFFF"/>
        </w:rPr>
        <w:t xml:space="preserve"> </w:t>
      </w:r>
      <w:r w:rsidR="00913AEE">
        <w:rPr>
          <w:rFonts w:ascii="Calibri" w:eastAsia="SimSun" w:hAnsi="Calibri" w:cs="Arial"/>
          <w:b/>
          <w:color w:val="0070C0"/>
          <w:shd w:val="clear" w:color="auto" w:fill="FFFFFF"/>
        </w:rPr>
        <w:t xml:space="preserve">Wallace is member of the </w:t>
      </w:r>
      <w:r w:rsidR="00913AEE" w:rsidRPr="00913AEE">
        <w:rPr>
          <w:rFonts w:ascii="Calibri" w:eastAsia="SimSun" w:hAnsi="Calibri" w:cs="Arial"/>
          <w:b/>
          <w:color w:val="0070C0"/>
          <w:shd w:val="clear" w:color="auto" w:fill="FFFFFF"/>
        </w:rPr>
        <w:t>HSDR Funding Committee (Seacole)</w:t>
      </w:r>
      <w:r w:rsidR="00913AEE">
        <w:rPr>
          <w:rFonts w:ascii="Calibri" w:eastAsia="SimSun" w:hAnsi="Calibri" w:cs="Arial"/>
          <w:b/>
          <w:color w:val="0070C0"/>
          <w:shd w:val="clear" w:color="auto" w:fill="FFFFFF"/>
        </w:rPr>
        <w:t xml:space="preserve">. </w:t>
      </w:r>
      <w:r w:rsidR="00EB1AB9">
        <w:rPr>
          <w:rFonts w:ascii="Calibri" w:eastAsia="SimSun" w:hAnsi="Calibri" w:cs="Arial"/>
          <w:shd w:val="clear" w:color="auto" w:fill="FFFFFF"/>
        </w:rPr>
        <w:t xml:space="preserve">No </w:t>
      </w:r>
      <w:r w:rsidR="00913AEE">
        <w:rPr>
          <w:rFonts w:ascii="Calibri" w:eastAsia="SimSun" w:hAnsi="Calibri" w:cs="Arial"/>
          <w:shd w:val="clear" w:color="auto" w:fill="FFFFFF"/>
        </w:rPr>
        <w:t xml:space="preserve">other </w:t>
      </w:r>
      <w:r w:rsidR="00EB1AB9">
        <w:rPr>
          <w:rFonts w:ascii="Calibri" w:eastAsia="SimSun" w:hAnsi="Calibri" w:cs="Arial"/>
          <w:shd w:val="clear" w:color="auto" w:fill="FFFFFF"/>
        </w:rPr>
        <w:t>conflicts</w:t>
      </w:r>
      <w:r w:rsidR="008D66AB">
        <w:rPr>
          <w:rFonts w:ascii="Calibri" w:eastAsia="SimSun" w:hAnsi="Calibri" w:cs="Arial"/>
          <w:shd w:val="clear" w:color="auto" w:fill="FFFFFF"/>
        </w:rPr>
        <w:t xml:space="preserve"> of interests declared.</w:t>
      </w:r>
    </w:p>
    <w:p w14:paraId="4A0E6454" w14:textId="77777777" w:rsidR="00136DCF" w:rsidRPr="00EB1AB9" w:rsidRDefault="00136DCF" w:rsidP="00EB1AB9">
      <w:pPr>
        <w:spacing w:after="120" w:line="264" w:lineRule="auto"/>
        <w:rPr>
          <w:rFonts w:ascii="Calibri" w:eastAsia="SimSun" w:hAnsi="Calibri" w:cs="Arial"/>
          <w:shd w:val="clear" w:color="auto" w:fill="FFFFFF"/>
        </w:rPr>
      </w:pPr>
    </w:p>
    <w:p w14:paraId="3DBB248D" w14:textId="6CC12C58" w:rsidR="000F7E56" w:rsidRPr="00D74EFC" w:rsidRDefault="00C134B6" w:rsidP="000F7E56">
      <w:pPr>
        <w:spacing w:after="120" w:line="264" w:lineRule="auto"/>
        <w:rPr>
          <w:rFonts w:asciiTheme="majorHAnsi" w:eastAsiaTheme="minorEastAsia" w:hAnsiTheme="majorHAnsi" w:cstheme="minorHAnsi"/>
          <w:b/>
          <w:color w:val="4472C4" w:themeColor="accent1"/>
        </w:rPr>
      </w:pPr>
      <w:r w:rsidRPr="00D74EFC">
        <w:rPr>
          <w:rFonts w:asciiTheme="majorHAnsi" w:eastAsiaTheme="minorEastAsia" w:hAnsiTheme="majorHAnsi" w:cstheme="minorHAnsi"/>
          <w:b/>
          <w:color w:val="0070C0"/>
        </w:rPr>
        <w:t>Disclaimer</w:t>
      </w:r>
      <w:r w:rsidRPr="00D74EFC">
        <w:rPr>
          <w:rFonts w:asciiTheme="majorHAnsi" w:eastAsiaTheme="minorEastAsia" w:hAnsiTheme="majorHAnsi" w:cstheme="minorHAnsi"/>
          <w:b/>
          <w:color w:val="4472C4" w:themeColor="accent1"/>
        </w:rPr>
        <w:t xml:space="preserve">: </w:t>
      </w:r>
      <w:r w:rsidRPr="00D74EFC">
        <w:rPr>
          <w:rFonts w:asciiTheme="majorHAnsi" w:eastAsiaTheme="minorEastAsia" w:hAnsiTheme="majorHAnsi" w:cstheme="minorHAnsi"/>
          <w:color w:val="4472C4" w:themeColor="accent1"/>
        </w:rPr>
        <w:t>"This report contains transcripts of interviews conducted in the course of the research, or similar, and contains language which may offend some readers."</w:t>
      </w:r>
      <w:r w:rsidR="000F7E56" w:rsidRPr="00D74EFC">
        <w:rPr>
          <w:rFonts w:asciiTheme="majorHAnsi" w:eastAsiaTheme="minorEastAsia" w:hAnsiTheme="majorHAnsi" w:cstheme="minorHAnsi"/>
          <w:b/>
          <w:color w:val="4472C4" w:themeColor="accent1"/>
        </w:rPr>
        <w:br w:type="page"/>
      </w:r>
    </w:p>
    <w:sdt>
      <w:sdtPr>
        <w:id w:val="-207261306"/>
        <w:docPartObj>
          <w:docPartGallery w:val="Table of Contents"/>
          <w:docPartUnique/>
        </w:docPartObj>
      </w:sdtPr>
      <w:sdtEndPr>
        <w:rPr>
          <w:b/>
          <w:bCs/>
          <w:noProof/>
        </w:rPr>
      </w:sdtEndPr>
      <w:sdtContent>
        <w:p w14:paraId="4F75F775" w14:textId="77777777" w:rsidR="000F7E56" w:rsidRPr="000F7E56" w:rsidRDefault="000F7E56" w:rsidP="000F7E56">
          <w:pPr>
            <w:keepNext/>
            <w:keepLines/>
            <w:spacing w:before="240" w:after="0" w:line="360" w:lineRule="auto"/>
            <w:rPr>
              <w:rFonts w:asciiTheme="majorHAnsi" w:eastAsiaTheme="majorEastAsia" w:hAnsiTheme="majorHAnsi" w:cstheme="majorBidi"/>
              <w:color w:val="2F5496" w:themeColor="accent1" w:themeShade="BF"/>
              <w:sz w:val="32"/>
              <w:szCs w:val="32"/>
              <w:lang w:val="en-US"/>
            </w:rPr>
          </w:pPr>
          <w:r w:rsidRPr="000F7E56">
            <w:rPr>
              <w:rFonts w:asciiTheme="majorHAnsi" w:eastAsiaTheme="majorEastAsia" w:hAnsiTheme="majorHAnsi" w:cstheme="majorBidi"/>
              <w:color w:val="2F5496" w:themeColor="accent1" w:themeShade="BF"/>
              <w:sz w:val="32"/>
              <w:szCs w:val="32"/>
              <w:lang w:val="en-US"/>
            </w:rPr>
            <w:t>Table of Contents</w:t>
          </w:r>
        </w:p>
        <w:p w14:paraId="28CF796C" w14:textId="30738297" w:rsidR="0087146C" w:rsidRDefault="000F7E56">
          <w:pPr>
            <w:pStyle w:val="TOC1"/>
            <w:tabs>
              <w:tab w:val="right" w:leader="dot" w:pos="9628"/>
            </w:tabs>
            <w:rPr>
              <w:rFonts w:eastAsiaTheme="minorEastAsia"/>
              <w:noProof/>
              <w:lang w:eastAsia="en-GB"/>
            </w:rPr>
          </w:pPr>
          <w:r w:rsidRPr="000F7E56">
            <w:fldChar w:fldCharType="begin"/>
          </w:r>
          <w:r w:rsidRPr="000F7E56">
            <w:instrText xml:space="preserve"> TOC \o "1-3" \h \z \u </w:instrText>
          </w:r>
          <w:r w:rsidRPr="000F7E56">
            <w:fldChar w:fldCharType="separate"/>
          </w:r>
          <w:hyperlink w:anchor="_Toc106697746" w:history="1">
            <w:r w:rsidR="0087146C" w:rsidRPr="00AD1D4B">
              <w:rPr>
                <w:rStyle w:val="Hyperlink"/>
                <w:rFonts w:ascii="Calibri Light" w:eastAsia="SimSun" w:hAnsi="Calibri Light" w:cs="Times New Roman"/>
                <w:noProof/>
                <w:lang w:eastAsia="en-GB"/>
              </w:rPr>
              <w:t>Figures, Tables and Boxes</w:t>
            </w:r>
            <w:r w:rsidR="0087146C">
              <w:rPr>
                <w:noProof/>
                <w:webHidden/>
              </w:rPr>
              <w:tab/>
            </w:r>
            <w:r w:rsidR="0087146C">
              <w:rPr>
                <w:noProof/>
                <w:webHidden/>
              </w:rPr>
              <w:fldChar w:fldCharType="begin"/>
            </w:r>
            <w:r w:rsidR="0087146C">
              <w:rPr>
                <w:noProof/>
                <w:webHidden/>
              </w:rPr>
              <w:instrText xml:space="preserve"> PAGEREF _Toc106697746 \h </w:instrText>
            </w:r>
            <w:r w:rsidR="0087146C">
              <w:rPr>
                <w:noProof/>
                <w:webHidden/>
              </w:rPr>
            </w:r>
            <w:r w:rsidR="0087146C">
              <w:rPr>
                <w:noProof/>
                <w:webHidden/>
              </w:rPr>
              <w:fldChar w:fldCharType="separate"/>
            </w:r>
            <w:r w:rsidR="00185BAF">
              <w:rPr>
                <w:noProof/>
                <w:webHidden/>
              </w:rPr>
              <w:t>7</w:t>
            </w:r>
            <w:r w:rsidR="0087146C">
              <w:rPr>
                <w:noProof/>
                <w:webHidden/>
              </w:rPr>
              <w:fldChar w:fldCharType="end"/>
            </w:r>
          </w:hyperlink>
        </w:p>
        <w:p w14:paraId="3A71DCCE" w14:textId="077EC403" w:rsidR="0087146C" w:rsidRDefault="00D74EFC">
          <w:pPr>
            <w:pStyle w:val="TOC1"/>
            <w:tabs>
              <w:tab w:val="right" w:leader="dot" w:pos="9628"/>
            </w:tabs>
            <w:rPr>
              <w:rFonts w:eastAsiaTheme="minorEastAsia"/>
              <w:noProof/>
              <w:lang w:eastAsia="en-GB"/>
            </w:rPr>
          </w:pPr>
          <w:hyperlink w:anchor="_Toc106697747" w:history="1">
            <w:r w:rsidR="0087146C" w:rsidRPr="00AD1D4B">
              <w:rPr>
                <w:rStyle w:val="Hyperlink"/>
                <w:rFonts w:ascii="Calibri Light" w:eastAsia="SimSun" w:hAnsi="Calibri Light" w:cs="Times New Roman"/>
                <w:noProof/>
                <w:lang w:eastAsia="en-GB"/>
              </w:rPr>
              <w:t xml:space="preserve">List of </w:t>
            </w:r>
            <w:r w:rsidR="0087146C" w:rsidRPr="00AD1D4B">
              <w:rPr>
                <w:rStyle w:val="Hyperlink"/>
                <w:rFonts w:ascii="Calibri Light" w:eastAsia="SimSun" w:hAnsi="Calibri Light" w:cs="Times New Roman"/>
                <w:noProof/>
              </w:rPr>
              <w:t>abbreviations</w:t>
            </w:r>
            <w:r w:rsidR="0087146C">
              <w:rPr>
                <w:noProof/>
                <w:webHidden/>
              </w:rPr>
              <w:tab/>
            </w:r>
            <w:r w:rsidR="0087146C">
              <w:rPr>
                <w:noProof/>
                <w:webHidden/>
              </w:rPr>
              <w:fldChar w:fldCharType="begin"/>
            </w:r>
            <w:r w:rsidR="0087146C">
              <w:rPr>
                <w:noProof/>
                <w:webHidden/>
              </w:rPr>
              <w:instrText xml:space="preserve"> PAGEREF _Toc106697747 \h </w:instrText>
            </w:r>
            <w:r w:rsidR="0087146C">
              <w:rPr>
                <w:noProof/>
                <w:webHidden/>
              </w:rPr>
            </w:r>
            <w:r w:rsidR="0087146C">
              <w:rPr>
                <w:noProof/>
                <w:webHidden/>
              </w:rPr>
              <w:fldChar w:fldCharType="separate"/>
            </w:r>
            <w:r w:rsidR="00185BAF">
              <w:rPr>
                <w:noProof/>
                <w:webHidden/>
              </w:rPr>
              <w:t>8</w:t>
            </w:r>
            <w:r w:rsidR="0087146C">
              <w:rPr>
                <w:noProof/>
                <w:webHidden/>
              </w:rPr>
              <w:fldChar w:fldCharType="end"/>
            </w:r>
          </w:hyperlink>
        </w:p>
        <w:p w14:paraId="3D30A9FF" w14:textId="0AC93B8D" w:rsidR="0087146C" w:rsidRDefault="00D74EFC">
          <w:pPr>
            <w:pStyle w:val="TOC1"/>
            <w:tabs>
              <w:tab w:val="right" w:leader="dot" w:pos="9628"/>
            </w:tabs>
            <w:rPr>
              <w:rFonts w:eastAsiaTheme="minorEastAsia"/>
              <w:noProof/>
              <w:lang w:eastAsia="en-GB"/>
            </w:rPr>
          </w:pPr>
          <w:hyperlink w:anchor="_Toc106697748" w:history="1">
            <w:r w:rsidR="0087146C" w:rsidRPr="00AD1D4B">
              <w:rPr>
                <w:rStyle w:val="Hyperlink"/>
                <w:rFonts w:ascii="Calibri Light" w:eastAsia="SimSun" w:hAnsi="Calibri Light" w:cs="Times New Roman"/>
                <w:noProof/>
              </w:rPr>
              <w:t>Abstract</w:t>
            </w:r>
            <w:r w:rsidR="0087146C">
              <w:rPr>
                <w:noProof/>
                <w:webHidden/>
              </w:rPr>
              <w:tab/>
            </w:r>
            <w:r w:rsidR="0087146C">
              <w:rPr>
                <w:noProof/>
                <w:webHidden/>
              </w:rPr>
              <w:fldChar w:fldCharType="begin"/>
            </w:r>
            <w:r w:rsidR="0087146C">
              <w:rPr>
                <w:noProof/>
                <w:webHidden/>
              </w:rPr>
              <w:instrText xml:space="preserve"> PAGEREF _Toc106697748 \h </w:instrText>
            </w:r>
            <w:r w:rsidR="0087146C">
              <w:rPr>
                <w:noProof/>
                <w:webHidden/>
              </w:rPr>
            </w:r>
            <w:r w:rsidR="0087146C">
              <w:rPr>
                <w:noProof/>
                <w:webHidden/>
              </w:rPr>
              <w:fldChar w:fldCharType="separate"/>
            </w:r>
            <w:r w:rsidR="00185BAF">
              <w:rPr>
                <w:noProof/>
                <w:webHidden/>
              </w:rPr>
              <w:t>10</w:t>
            </w:r>
            <w:r w:rsidR="0087146C">
              <w:rPr>
                <w:noProof/>
                <w:webHidden/>
              </w:rPr>
              <w:fldChar w:fldCharType="end"/>
            </w:r>
          </w:hyperlink>
        </w:p>
        <w:p w14:paraId="0EF66957" w14:textId="410F2385" w:rsidR="0087146C" w:rsidRDefault="00D74EFC">
          <w:pPr>
            <w:pStyle w:val="TOC1"/>
            <w:tabs>
              <w:tab w:val="right" w:leader="dot" w:pos="9628"/>
            </w:tabs>
            <w:rPr>
              <w:rFonts w:eastAsiaTheme="minorEastAsia"/>
              <w:noProof/>
              <w:lang w:eastAsia="en-GB"/>
            </w:rPr>
          </w:pPr>
          <w:hyperlink w:anchor="_Toc106697749" w:history="1">
            <w:r w:rsidR="0087146C" w:rsidRPr="00AD1D4B">
              <w:rPr>
                <w:rStyle w:val="Hyperlink"/>
                <w:rFonts w:ascii="Calibri Light" w:eastAsia="SimSun" w:hAnsi="Calibri Light" w:cs="Times New Roman"/>
                <w:noProof/>
                <w:lang w:eastAsia="en-GB"/>
              </w:rPr>
              <w:t xml:space="preserve">Plain English </w:t>
            </w:r>
            <w:r w:rsidR="0087146C" w:rsidRPr="00AD1D4B">
              <w:rPr>
                <w:rStyle w:val="Hyperlink"/>
                <w:rFonts w:ascii="Calibri Light" w:eastAsia="SimSun" w:hAnsi="Calibri Light" w:cs="Times New Roman"/>
                <w:noProof/>
              </w:rPr>
              <w:t>Summary</w:t>
            </w:r>
            <w:r w:rsidR="0087146C">
              <w:rPr>
                <w:noProof/>
                <w:webHidden/>
              </w:rPr>
              <w:tab/>
            </w:r>
            <w:r w:rsidR="0087146C">
              <w:rPr>
                <w:noProof/>
                <w:webHidden/>
              </w:rPr>
              <w:fldChar w:fldCharType="begin"/>
            </w:r>
            <w:r w:rsidR="0087146C">
              <w:rPr>
                <w:noProof/>
                <w:webHidden/>
              </w:rPr>
              <w:instrText xml:space="preserve"> PAGEREF _Toc106697749 \h </w:instrText>
            </w:r>
            <w:r w:rsidR="0087146C">
              <w:rPr>
                <w:noProof/>
                <w:webHidden/>
              </w:rPr>
            </w:r>
            <w:r w:rsidR="0087146C">
              <w:rPr>
                <w:noProof/>
                <w:webHidden/>
              </w:rPr>
              <w:fldChar w:fldCharType="separate"/>
            </w:r>
            <w:r w:rsidR="00185BAF">
              <w:rPr>
                <w:noProof/>
                <w:webHidden/>
              </w:rPr>
              <w:t>13</w:t>
            </w:r>
            <w:r w:rsidR="0087146C">
              <w:rPr>
                <w:noProof/>
                <w:webHidden/>
              </w:rPr>
              <w:fldChar w:fldCharType="end"/>
            </w:r>
          </w:hyperlink>
        </w:p>
        <w:p w14:paraId="1E33EFF2" w14:textId="5135D8C8" w:rsidR="0087146C" w:rsidRDefault="00012E64">
          <w:pPr>
            <w:pStyle w:val="TOC1"/>
            <w:tabs>
              <w:tab w:val="right" w:leader="dot" w:pos="9628"/>
            </w:tabs>
            <w:rPr>
              <w:rFonts w:eastAsiaTheme="minorEastAsia"/>
              <w:noProof/>
              <w:lang w:eastAsia="en-GB"/>
            </w:rPr>
          </w:pPr>
          <w:hyperlink w:anchor="_Toc106697750" w:history="1">
            <w:r w:rsidR="0087146C" w:rsidRPr="00AD1D4B">
              <w:rPr>
                <w:rStyle w:val="Hyperlink"/>
                <w:rFonts w:ascii="Calibri Light" w:eastAsia="SimSun" w:hAnsi="Calibri Light" w:cs="Times New Roman"/>
                <w:noProof/>
                <w:lang w:eastAsia="en-GB"/>
              </w:rPr>
              <w:t>Scientific Summary</w:t>
            </w:r>
            <w:r w:rsidR="0087146C">
              <w:rPr>
                <w:noProof/>
                <w:webHidden/>
              </w:rPr>
              <w:tab/>
            </w:r>
            <w:r w:rsidR="0087146C">
              <w:rPr>
                <w:noProof/>
                <w:webHidden/>
              </w:rPr>
              <w:fldChar w:fldCharType="begin"/>
            </w:r>
            <w:r w:rsidR="0087146C">
              <w:rPr>
                <w:noProof/>
                <w:webHidden/>
              </w:rPr>
              <w:instrText xml:space="preserve"> PAGEREF _Toc106697750 \h </w:instrText>
            </w:r>
            <w:r w:rsidR="0087146C">
              <w:rPr>
                <w:noProof/>
                <w:webHidden/>
              </w:rPr>
            </w:r>
            <w:r w:rsidR="0087146C">
              <w:rPr>
                <w:noProof/>
                <w:webHidden/>
              </w:rPr>
              <w:fldChar w:fldCharType="separate"/>
            </w:r>
            <w:r w:rsidR="00185BAF">
              <w:rPr>
                <w:noProof/>
                <w:webHidden/>
              </w:rPr>
              <w:t>15</w:t>
            </w:r>
            <w:r w:rsidR="0087146C">
              <w:rPr>
                <w:noProof/>
                <w:webHidden/>
              </w:rPr>
              <w:fldChar w:fldCharType="end"/>
            </w:r>
          </w:hyperlink>
        </w:p>
        <w:p w14:paraId="4988D960" w14:textId="19CA5669" w:rsidR="0087146C" w:rsidRDefault="00012E64">
          <w:pPr>
            <w:pStyle w:val="TOC2"/>
            <w:rPr>
              <w:rFonts w:asciiTheme="minorHAnsi" w:eastAsiaTheme="minorEastAsia" w:hAnsiTheme="minorHAnsi" w:cstheme="minorBidi"/>
              <w:lang w:eastAsia="en-GB"/>
            </w:rPr>
          </w:pPr>
          <w:hyperlink w:anchor="_Toc106697751" w:history="1">
            <w:r w:rsidR="0087146C" w:rsidRPr="00AD1D4B">
              <w:rPr>
                <w:rStyle w:val="Hyperlink"/>
                <w:rFonts w:eastAsiaTheme="majorEastAsia" w:cstheme="majorBidi"/>
              </w:rPr>
              <w:t>Background</w:t>
            </w:r>
            <w:r w:rsidR="0087146C">
              <w:rPr>
                <w:webHidden/>
              </w:rPr>
              <w:tab/>
            </w:r>
            <w:r w:rsidR="0087146C">
              <w:rPr>
                <w:webHidden/>
              </w:rPr>
              <w:fldChar w:fldCharType="begin"/>
            </w:r>
            <w:r w:rsidR="0087146C">
              <w:rPr>
                <w:webHidden/>
              </w:rPr>
              <w:instrText xml:space="preserve"> PAGEREF _Toc106697751 \h </w:instrText>
            </w:r>
            <w:r w:rsidR="0087146C">
              <w:rPr>
                <w:webHidden/>
              </w:rPr>
            </w:r>
            <w:r w:rsidR="0087146C">
              <w:rPr>
                <w:webHidden/>
              </w:rPr>
              <w:fldChar w:fldCharType="separate"/>
            </w:r>
            <w:r w:rsidR="00185BAF">
              <w:rPr>
                <w:webHidden/>
              </w:rPr>
              <w:t>15</w:t>
            </w:r>
            <w:r w:rsidR="0087146C">
              <w:rPr>
                <w:webHidden/>
              </w:rPr>
              <w:fldChar w:fldCharType="end"/>
            </w:r>
          </w:hyperlink>
        </w:p>
        <w:p w14:paraId="22081623" w14:textId="0261C740" w:rsidR="0087146C" w:rsidRDefault="00012E64">
          <w:pPr>
            <w:pStyle w:val="TOC2"/>
            <w:rPr>
              <w:rFonts w:asciiTheme="minorHAnsi" w:eastAsiaTheme="minorEastAsia" w:hAnsiTheme="minorHAnsi" w:cstheme="minorBidi"/>
              <w:lang w:eastAsia="en-GB"/>
            </w:rPr>
          </w:pPr>
          <w:hyperlink w:anchor="_Toc106697752" w:history="1">
            <w:r w:rsidR="0087146C" w:rsidRPr="00AD1D4B">
              <w:rPr>
                <w:rStyle w:val="Hyperlink"/>
                <w:rFonts w:eastAsiaTheme="majorEastAsia" w:cstheme="majorBidi"/>
              </w:rPr>
              <w:t>Aim</w:t>
            </w:r>
            <w:r w:rsidR="0087146C">
              <w:rPr>
                <w:webHidden/>
              </w:rPr>
              <w:tab/>
            </w:r>
            <w:r w:rsidR="0087146C">
              <w:rPr>
                <w:webHidden/>
              </w:rPr>
              <w:fldChar w:fldCharType="begin"/>
            </w:r>
            <w:r w:rsidR="0087146C">
              <w:rPr>
                <w:webHidden/>
              </w:rPr>
              <w:instrText xml:space="preserve"> PAGEREF _Toc106697752 \h </w:instrText>
            </w:r>
            <w:r w:rsidR="0087146C">
              <w:rPr>
                <w:webHidden/>
              </w:rPr>
            </w:r>
            <w:r w:rsidR="0087146C">
              <w:rPr>
                <w:webHidden/>
              </w:rPr>
              <w:fldChar w:fldCharType="separate"/>
            </w:r>
            <w:r w:rsidR="00185BAF">
              <w:rPr>
                <w:webHidden/>
              </w:rPr>
              <w:t>15</w:t>
            </w:r>
            <w:r w:rsidR="0087146C">
              <w:rPr>
                <w:webHidden/>
              </w:rPr>
              <w:fldChar w:fldCharType="end"/>
            </w:r>
          </w:hyperlink>
        </w:p>
        <w:p w14:paraId="2B460386" w14:textId="7C259233" w:rsidR="0087146C" w:rsidRDefault="00012E64">
          <w:pPr>
            <w:pStyle w:val="TOC2"/>
            <w:rPr>
              <w:rFonts w:asciiTheme="minorHAnsi" w:eastAsiaTheme="minorEastAsia" w:hAnsiTheme="minorHAnsi" w:cstheme="minorBidi"/>
              <w:lang w:eastAsia="en-GB"/>
            </w:rPr>
          </w:pPr>
          <w:hyperlink w:anchor="_Toc106697753" w:history="1">
            <w:r w:rsidR="0087146C" w:rsidRPr="00AD1D4B">
              <w:rPr>
                <w:rStyle w:val="Hyperlink"/>
                <w:rFonts w:cstheme="minorHAnsi"/>
              </w:rPr>
              <w:t>To address the research question:</w:t>
            </w:r>
            <w:r w:rsidR="0087146C">
              <w:rPr>
                <w:webHidden/>
              </w:rPr>
              <w:tab/>
            </w:r>
            <w:r w:rsidR="0087146C">
              <w:rPr>
                <w:webHidden/>
              </w:rPr>
              <w:fldChar w:fldCharType="begin"/>
            </w:r>
            <w:r w:rsidR="0087146C">
              <w:rPr>
                <w:webHidden/>
              </w:rPr>
              <w:instrText xml:space="preserve"> PAGEREF _Toc106697753 \h </w:instrText>
            </w:r>
            <w:r w:rsidR="0087146C">
              <w:rPr>
                <w:webHidden/>
              </w:rPr>
            </w:r>
            <w:r w:rsidR="0087146C">
              <w:rPr>
                <w:webHidden/>
              </w:rPr>
              <w:fldChar w:fldCharType="separate"/>
            </w:r>
            <w:r w:rsidR="00185BAF">
              <w:rPr>
                <w:webHidden/>
              </w:rPr>
              <w:t>15</w:t>
            </w:r>
            <w:r w:rsidR="0087146C">
              <w:rPr>
                <w:webHidden/>
              </w:rPr>
              <w:fldChar w:fldCharType="end"/>
            </w:r>
          </w:hyperlink>
        </w:p>
        <w:p w14:paraId="3801F81B" w14:textId="4866B853" w:rsidR="0087146C" w:rsidRDefault="00012E64">
          <w:pPr>
            <w:pStyle w:val="TOC2"/>
            <w:rPr>
              <w:rFonts w:asciiTheme="minorHAnsi" w:eastAsiaTheme="minorEastAsia" w:hAnsiTheme="minorHAnsi" w:cstheme="minorBidi"/>
              <w:lang w:eastAsia="en-GB"/>
            </w:rPr>
          </w:pPr>
          <w:hyperlink w:anchor="_Toc106697754" w:history="1">
            <w:r w:rsidR="0087146C" w:rsidRPr="00AD1D4B">
              <w:rPr>
                <w:rStyle w:val="Hyperlink"/>
                <w:rFonts w:eastAsiaTheme="majorEastAsia" w:cstheme="majorBidi"/>
              </w:rPr>
              <w:t>Objectives</w:t>
            </w:r>
            <w:r w:rsidR="0087146C">
              <w:rPr>
                <w:webHidden/>
              </w:rPr>
              <w:tab/>
            </w:r>
            <w:r w:rsidR="0087146C">
              <w:rPr>
                <w:webHidden/>
              </w:rPr>
              <w:fldChar w:fldCharType="begin"/>
            </w:r>
            <w:r w:rsidR="0087146C">
              <w:rPr>
                <w:webHidden/>
              </w:rPr>
              <w:instrText xml:space="preserve"> PAGEREF _Toc106697754 \h </w:instrText>
            </w:r>
            <w:r w:rsidR="0087146C">
              <w:rPr>
                <w:webHidden/>
              </w:rPr>
            </w:r>
            <w:r w:rsidR="0087146C">
              <w:rPr>
                <w:webHidden/>
              </w:rPr>
              <w:fldChar w:fldCharType="separate"/>
            </w:r>
            <w:r w:rsidR="00185BAF">
              <w:rPr>
                <w:webHidden/>
              </w:rPr>
              <w:t>15</w:t>
            </w:r>
            <w:r w:rsidR="0087146C">
              <w:rPr>
                <w:webHidden/>
              </w:rPr>
              <w:fldChar w:fldCharType="end"/>
            </w:r>
          </w:hyperlink>
        </w:p>
        <w:p w14:paraId="3E980823" w14:textId="27BA140E" w:rsidR="0087146C" w:rsidRDefault="00012E64">
          <w:pPr>
            <w:pStyle w:val="TOC2"/>
            <w:rPr>
              <w:rFonts w:asciiTheme="minorHAnsi" w:eastAsiaTheme="minorEastAsia" w:hAnsiTheme="minorHAnsi" w:cstheme="minorBidi"/>
              <w:lang w:eastAsia="en-GB"/>
            </w:rPr>
          </w:pPr>
          <w:hyperlink w:anchor="_Toc106697755" w:history="1">
            <w:r w:rsidR="0087146C" w:rsidRPr="00AD1D4B">
              <w:rPr>
                <w:rStyle w:val="Hyperlink"/>
                <w:rFonts w:eastAsiaTheme="majorEastAsia"/>
              </w:rPr>
              <w:t>Patient and Public Involvement (PPI)</w:t>
            </w:r>
            <w:r w:rsidR="0087146C">
              <w:rPr>
                <w:webHidden/>
              </w:rPr>
              <w:tab/>
            </w:r>
            <w:r w:rsidR="0087146C">
              <w:rPr>
                <w:webHidden/>
              </w:rPr>
              <w:fldChar w:fldCharType="begin"/>
            </w:r>
            <w:r w:rsidR="0087146C">
              <w:rPr>
                <w:webHidden/>
              </w:rPr>
              <w:instrText xml:space="preserve"> PAGEREF _Toc106697755 \h </w:instrText>
            </w:r>
            <w:r w:rsidR="0087146C">
              <w:rPr>
                <w:webHidden/>
              </w:rPr>
            </w:r>
            <w:r w:rsidR="0087146C">
              <w:rPr>
                <w:webHidden/>
              </w:rPr>
              <w:fldChar w:fldCharType="separate"/>
            </w:r>
            <w:r w:rsidR="00185BAF">
              <w:rPr>
                <w:webHidden/>
              </w:rPr>
              <w:t>16</w:t>
            </w:r>
            <w:r w:rsidR="0087146C">
              <w:rPr>
                <w:webHidden/>
              </w:rPr>
              <w:fldChar w:fldCharType="end"/>
            </w:r>
          </w:hyperlink>
        </w:p>
        <w:p w14:paraId="697D08DE" w14:textId="28A03700" w:rsidR="0087146C" w:rsidRDefault="00012E64">
          <w:pPr>
            <w:pStyle w:val="TOC2"/>
            <w:rPr>
              <w:rFonts w:asciiTheme="minorHAnsi" w:eastAsiaTheme="minorEastAsia" w:hAnsiTheme="minorHAnsi" w:cstheme="minorBidi"/>
              <w:lang w:eastAsia="en-GB"/>
            </w:rPr>
          </w:pPr>
          <w:hyperlink w:anchor="_Toc106697756" w:history="1">
            <w:r w:rsidR="0087146C" w:rsidRPr="00AD1D4B">
              <w:rPr>
                <w:rStyle w:val="Hyperlink"/>
                <w:rFonts w:eastAsiaTheme="majorEastAsia" w:cstheme="majorBidi"/>
              </w:rPr>
              <w:t>Design and methods</w:t>
            </w:r>
            <w:r w:rsidR="0087146C">
              <w:rPr>
                <w:webHidden/>
              </w:rPr>
              <w:tab/>
            </w:r>
            <w:r w:rsidR="0087146C">
              <w:rPr>
                <w:webHidden/>
              </w:rPr>
              <w:fldChar w:fldCharType="begin"/>
            </w:r>
            <w:r w:rsidR="0087146C">
              <w:rPr>
                <w:webHidden/>
              </w:rPr>
              <w:instrText xml:space="preserve"> PAGEREF _Toc106697756 \h </w:instrText>
            </w:r>
            <w:r w:rsidR="0087146C">
              <w:rPr>
                <w:webHidden/>
              </w:rPr>
            </w:r>
            <w:r w:rsidR="0087146C">
              <w:rPr>
                <w:webHidden/>
              </w:rPr>
              <w:fldChar w:fldCharType="separate"/>
            </w:r>
            <w:r w:rsidR="00185BAF">
              <w:rPr>
                <w:webHidden/>
              </w:rPr>
              <w:t>16</w:t>
            </w:r>
            <w:r w:rsidR="0087146C">
              <w:rPr>
                <w:webHidden/>
              </w:rPr>
              <w:fldChar w:fldCharType="end"/>
            </w:r>
          </w:hyperlink>
        </w:p>
        <w:p w14:paraId="7CCA2AE6" w14:textId="256AD3A4" w:rsidR="0087146C" w:rsidRDefault="00012E64">
          <w:pPr>
            <w:pStyle w:val="TOC2"/>
            <w:rPr>
              <w:rFonts w:asciiTheme="minorHAnsi" w:eastAsiaTheme="minorEastAsia" w:hAnsiTheme="minorHAnsi" w:cstheme="minorBidi"/>
              <w:lang w:eastAsia="en-GB"/>
            </w:rPr>
          </w:pPr>
          <w:hyperlink w:anchor="_Toc106697757" w:history="1">
            <w:r w:rsidR="0087146C" w:rsidRPr="00AD1D4B">
              <w:rPr>
                <w:rStyle w:val="Hyperlink"/>
                <w:rFonts w:eastAsiaTheme="majorEastAsia" w:cstheme="majorBidi"/>
              </w:rPr>
              <w:t>Data analysis</w:t>
            </w:r>
            <w:r w:rsidR="0087146C">
              <w:rPr>
                <w:webHidden/>
              </w:rPr>
              <w:tab/>
            </w:r>
            <w:r w:rsidR="0087146C">
              <w:rPr>
                <w:webHidden/>
              </w:rPr>
              <w:fldChar w:fldCharType="begin"/>
            </w:r>
            <w:r w:rsidR="0087146C">
              <w:rPr>
                <w:webHidden/>
              </w:rPr>
              <w:instrText xml:space="preserve"> PAGEREF _Toc106697757 \h </w:instrText>
            </w:r>
            <w:r w:rsidR="0087146C">
              <w:rPr>
                <w:webHidden/>
              </w:rPr>
            </w:r>
            <w:r w:rsidR="0087146C">
              <w:rPr>
                <w:webHidden/>
              </w:rPr>
              <w:fldChar w:fldCharType="separate"/>
            </w:r>
            <w:r w:rsidR="00185BAF">
              <w:rPr>
                <w:webHidden/>
              </w:rPr>
              <w:t>17</w:t>
            </w:r>
            <w:r w:rsidR="0087146C">
              <w:rPr>
                <w:webHidden/>
              </w:rPr>
              <w:fldChar w:fldCharType="end"/>
            </w:r>
          </w:hyperlink>
        </w:p>
        <w:p w14:paraId="72DCBC3A" w14:textId="0E460FDA" w:rsidR="0087146C" w:rsidRDefault="00012E64">
          <w:pPr>
            <w:pStyle w:val="TOC2"/>
            <w:rPr>
              <w:rFonts w:asciiTheme="minorHAnsi" w:eastAsiaTheme="minorEastAsia" w:hAnsiTheme="minorHAnsi" w:cstheme="minorBidi"/>
              <w:lang w:eastAsia="en-GB"/>
            </w:rPr>
          </w:pPr>
          <w:hyperlink w:anchor="_Toc106697758" w:history="1">
            <w:r w:rsidR="0087146C" w:rsidRPr="00AD1D4B">
              <w:rPr>
                <w:rStyle w:val="Hyperlink"/>
                <w:rFonts w:eastAsiaTheme="majorEastAsia" w:cstheme="majorBidi"/>
              </w:rPr>
              <w:t>Research findings</w:t>
            </w:r>
            <w:r w:rsidR="0087146C">
              <w:rPr>
                <w:webHidden/>
              </w:rPr>
              <w:tab/>
            </w:r>
            <w:r w:rsidR="0087146C">
              <w:rPr>
                <w:webHidden/>
              </w:rPr>
              <w:fldChar w:fldCharType="begin"/>
            </w:r>
            <w:r w:rsidR="0087146C">
              <w:rPr>
                <w:webHidden/>
              </w:rPr>
              <w:instrText xml:space="preserve"> PAGEREF _Toc106697758 \h </w:instrText>
            </w:r>
            <w:r w:rsidR="0087146C">
              <w:rPr>
                <w:webHidden/>
              </w:rPr>
            </w:r>
            <w:r w:rsidR="0087146C">
              <w:rPr>
                <w:webHidden/>
              </w:rPr>
              <w:fldChar w:fldCharType="separate"/>
            </w:r>
            <w:r w:rsidR="00185BAF">
              <w:rPr>
                <w:webHidden/>
              </w:rPr>
              <w:t>17</w:t>
            </w:r>
            <w:r w:rsidR="0087146C">
              <w:rPr>
                <w:webHidden/>
              </w:rPr>
              <w:fldChar w:fldCharType="end"/>
            </w:r>
          </w:hyperlink>
        </w:p>
        <w:p w14:paraId="192DF4E2" w14:textId="30DAC66F" w:rsidR="0087146C" w:rsidRDefault="00012E64">
          <w:pPr>
            <w:pStyle w:val="TOC2"/>
            <w:rPr>
              <w:rFonts w:asciiTheme="minorHAnsi" w:eastAsiaTheme="minorEastAsia" w:hAnsiTheme="minorHAnsi" w:cstheme="minorBidi"/>
              <w:lang w:eastAsia="en-GB"/>
            </w:rPr>
          </w:pPr>
          <w:hyperlink w:anchor="_Toc106697759" w:history="1">
            <w:r w:rsidR="0087146C" w:rsidRPr="00AD1D4B">
              <w:rPr>
                <w:rStyle w:val="Hyperlink"/>
                <w:rFonts w:eastAsiaTheme="majorEastAsia" w:cstheme="majorBidi"/>
              </w:rPr>
              <w:t>Demographics</w:t>
            </w:r>
            <w:r w:rsidR="0087146C">
              <w:rPr>
                <w:webHidden/>
              </w:rPr>
              <w:tab/>
            </w:r>
            <w:r w:rsidR="0087146C">
              <w:rPr>
                <w:webHidden/>
              </w:rPr>
              <w:fldChar w:fldCharType="begin"/>
            </w:r>
            <w:r w:rsidR="0087146C">
              <w:rPr>
                <w:webHidden/>
              </w:rPr>
              <w:instrText xml:space="preserve"> PAGEREF _Toc106697759 \h </w:instrText>
            </w:r>
            <w:r w:rsidR="0087146C">
              <w:rPr>
                <w:webHidden/>
              </w:rPr>
            </w:r>
            <w:r w:rsidR="0087146C">
              <w:rPr>
                <w:webHidden/>
              </w:rPr>
              <w:fldChar w:fldCharType="separate"/>
            </w:r>
            <w:r w:rsidR="00185BAF">
              <w:rPr>
                <w:webHidden/>
              </w:rPr>
              <w:t>17</w:t>
            </w:r>
            <w:r w:rsidR="0087146C">
              <w:rPr>
                <w:webHidden/>
              </w:rPr>
              <w:fldChar w:fldCharType="end"/>
            </w:r>
          </w:hyperlink>
        </w:p>
        <w:p w14:paraId="131846AA" w14:textId="53FB588E" w:rsidR="0087146C" w:rsidRDefault="00012E64">
          <w:pPr>
            <w:pStyle w:val="TOC2"/>
            <w:rPr>
              <w:rFonts w:asciiTheme="minorHAnsi" w:eastAsiaTheme="minorEastAsia" w:hAnsiTheme="minorHAnsi" w:cstheme="minorBidi"/>
              <w:lang w:eastAsia="en-GB"/>
            </w:rPr>
          </w:pPr>
          <w:hyperlink w:anchor="_Toc106697760" w:history="1">
            <w:r w:rsidR="0087146C" w:rsidRPr="00AD1D4B">
              <w:rPr>
                <w:rStyle w:val="Hyperlink"/>
                <w:rFonts w:eastAsiaTheme="majorEastAsia" w:cstheme="majorBidi"/>
              </w:rPr>
              <w:t>Findings of the case studies and bereaved family care givers (WS1 and WS2)</w:t>
            </w:r>
            <w:r w:rsidR="0087146C">
              <w:rPr>
                <w:webHidden/>
              </w:rPr>
              <w:tab/>
            </w:r>
            <w:r w:rsidR="0087146C">
              <w:rPr>
                <w:webHidden/>
              </w:rPr>
              <w:fldChar w:fldCharType="begin"/>
            </w:r>
            <w:r w:rsidR="0087146C">
              <w:rPr>
                <w:webHidden/>
              </w:rPr>
              <w:instrText xml:space="preserve"> PAGEREF _Toc106697760 \h </w:instrText>
            </w:r>
            <w:r w:rsidR="0087146C">
              <w:rPr>
                <w:webHidden/>
              </w:rPr>
            </w:r>
            <w:r w:rsidR="0087146C">
              <w:rPr>
                <w:webHidden/>
              </w:rPr>
              <w:fldChar w:fldCharType="separate"/>
            </w:r>
            <w:r w:rsidR="00185BAF">
              <w:rPr>
                <w:webHidden/>
              </w:rPr>
              <w:t>18</w:t>
            </w:r>
            <w:r w:rsidR="0087146C">
              <w:rPr>
                <w:webHidden/>
              </w:rPr>
              <w:fldChar w:fldCharType="end"/>
            </w:r>
          </w:hyperlink>
        </w:p>
        <w:p w14:paraId="255BA2F4" w14:textId="6C811D52" w:rsidR="0087146C" w:rsidRDefault="00012E64">
          <w:pPr>
            <w:pStyle w:val="TOC2"/>
            <w:rPr>
              <w:rFonts w:asciiTheme="minorHAnsi" w:eastAsiaTheme="minorEastAsia" w:hAnsiTheme="minorHAnsi" w:cstheme="minorBidi"/>
              <w:lang w:eastAsia="en-GB"/>
            </w:rPr>
          </w:pPr>
          <w:hyperlink w:anchor="_Toc106697761" w:history="1">
            <w:r w:rsidR="0087146C" w:rsidRPr="00AD1D4B">
              <w:rPr>
                <w:rStyle w:val="Hyperlink"/>
                <w:rFonts w:eastAsiaTheme="majorEastAsia" w:cstheme="majorBidi"/>
              </w:rPr>
              <w:t>Findings from stakeholder workshops and workbooks (WS3)</w:t>
            </w:r>
            <w:r w:rsidR="0087146C">
              <w:rPr>
                <w:webHidden/>
              </w:rPr>
              <w:tab/>
            </w:r>
            <w:r w:rsidR="0087146C">
              <w:rPr>
                <w:webHidden/>
              </w:rPr>
              <w:fldChar w:fldCharType="begin"/>
            </w:r>
            <w:r w:rsidR="0087146C">
              <w:rPr>
                <w:webHidden/>
              </w:rPr>
              <w:instrText xml:space="preserve"> PAGEREF _Toc106697761 \h </w:instrText>
            </w:r>
            <w:r w:rsidR="0087146C">
              <w:rPr>
                <w:webHidden/>
              </w:rPr>
            </w:r>
            <w:r w:rsidR="0087146C">
              <w:rPr>
                <w:webHidden/>
              </w:rPr>
              <w:fldChar w:fldCharType="separate"/>
            </w:r>
            <w:r w:rsidR="00185BAF">
              <w:rPr>
                <w:webHidden/>
              </w:rPr>
              <w:t>19</w:t>
            </w:r>
            <w:r w:rsidR="0087146C">
              <w:rPr>
                <w:webHidden/>
              </w:rPr>
              <w:fldChar w:fldCharType="end"/>
            </w:r>
          </w:hyperlink>
        </w:p>
        <w:p w14:paraId="47873126" w14:textId="304EB58C" w:rsidR="0087146C" w:rsidRDefault="00012E64">
          <w:pPr>
            <w:pStyle w:val="TOC2"/>
            <w:rPr>
              <w:rFonts w:asciiTheme="minorHAnsi" w:eastAsiaTheme="minorEastAsia" w:hAnsiTheme="minorHAnsi" w:cstheme="minorBidi"/>
              <w:lang w:eastAsia="en-GB"/>
            </w:rPr>
          </w:pPr>
          <w:hyperlink w:anchor="_Toc106697762" w:history="1">
            <w:r w:rsidR="0087146C" w:rsidRPr="00AD1D4B">
              <w:rPr>
                <w:rStyle w:val="Hyperlink"/>
                <w:rFonts w:eastAsiaTheme="majorEastAsia" w:cstheme="majorBidi"/>
              </w:rPr>
              <w:t>Conclusions</w:t>
            </w:r>
            <w:r w:rsidR="0087146C">
              <w:rPr>
                <w:webHidden/>
              </w:rPr>
              <w:tab/>
            </w:r>
            <w:r w:rsidR="0087146C">
              <w:rPr>
                <w:webHidden/>
              </w:rPr>
              <w:fldChar w:fldCharType="begin"/>
            </w:r>
            <w:r w:rsidR="0087146C">
              <w:rPr>
                <w:webHidden/>
              </w:rPr>
              <w:instrText xml:space="preserve"> PAGEREF _Toc106697762 \h </w:instrText>
            </w:r>
            <w:r w:rsidR="0087146C">
              <w:rPr>
                <w:webHidden/>
              </w:rPr>
            </w:r>
            <w:r w:rsidR="0087146C">
              <w:rPr>
                <w:webHidden/>
              </w:rPr>
              <w:fldChar w:fldCharType="separate"/>
            </w:r>
            <w:r w:rsidR="00185BAF">
              <w:rPr>
                <w:webHidden/>
              </w:rPr>
              <w:t>20</w:t>
            </w:r>
            <w:r w:rsidR="0087146C">
              <w:rPr>
                <w:webHidden/>
              </w:rPr>
              <w:fldChar w:fldCharType="end"/>
            </w:r>
          </w:hyperlink>
        </w:p>
        <w:p w14:paraId="287555B9" w14:textId="56977EEB" w:rsidR="0087146C" w:rsidRDefault="00012E64">
          <w:pPr>
            <w:pStyle w:val="TOC2"/>
            <w:rPr>
              <w:rFonts w:asciiTheme="minorHAnsi" w:eastAsiaTheme="minorEastAsia" w:hAnsiTheme="minorHAnsi" w:cstheme="minorBidi"/>
              <w:lang w:eastAsia="en-GB"/>
            </w:rPr>
          </w:pPr>
          <w:hyperlink w:anchor="_Toc106697763" w:history="1">
            <w:r w:rsidR="0087146C" w:rsidRPr="00AD1D4B">
              <w:rPr>
                <w:rStyle w:val="Hyperlink"/>
                <w:rFonts w:eastAsiaTheme="majorEastAsia" w:cstheme="majorBidi"/>
              </w:rPr>
              <w:t>Governance and approvals</w:t>
            </w:r>
            <w:r w:rsidR="0087146C">
              <w:rPr>
                <w:webHidden/>
              </w:rPr>
              <w:tab/>
            </w:r>
            <w:r w:rsidR="0087146C">
              <w:rPr>
                <w:webHidden/>
              </w:rPr>
              <w:fldChar w:fldCharType="begin"/>
            </w:r>
            <w:r w:rsidR="0087146C">
              <w:rPr>
                <w:webHidden/>
              </w:rPr>
              <w:instrText xml:space="preserve"> PAGEREF _Toc106697763 \h </w:instrText>
            </w:r>
            <w:r w:rsidR="0087146C">
              <w:rPr>
                <w:webHidden/>
              </w:rPr>
            </w:r>
            <w:r w:rsidR="0087146C">
              <w:rPr>
                <w:webHidden/>
              </w:rPr>
              <w:fldChar w:fldCharType="separate"/>
            </w:r>
            <w:r w:rsidR="00185BAF">
              <w:rPr>
                <w:webHidden/>
              </w:rPr>
              <w:t>21</w:t>
            </w:r>
            <w:r w:rsidR="0087146C">
              <w:rPr>
                <w:webHidden/>
              </w:rPr>
              <w:fldChar w:fldCharType="end"/>
            </w:r>
          </w:hyperlink>
        </w:p>
        <w:p w14:paraId="386668A8" w14:textId="0CECED05" w:rsidR="0087146C" w:rsidRDefault="00012E64">
          <w:pPr>
            <w:pStyle w:val="TOC1"/>
            <w:tabs>
              <w:tab w:val="right" w:leader="dot" w:pos="9628"/>
            </w:tabs>
            <w:rPr>
              <w:rFonts w:eastAsiaTheme="minorEastAsia"/>
              <w:noProof/>
              <w:lang w:eastAsia="en-GB"/>
            </w:rPr>
          </w:pPr>
          <w:hyperlink w:anchor="_Toc106697764" w:history="1">
            <w:r w:rsidR="0087146C" w:rsidRPr="00AD1D4B">
              <w:rPr>
                <w:rStyle w:val="Hyperlink"/>
                <w:rFonts w:ascii="Calibri Light" w:eastAsia="SimSun" w:hAnsi="Calibri Light" w:cs="Calibri Light"/>
                <w:noProof/>
              </w:rPr>
              <w:t>Chapter 1: Context and Introduction</w:t>
            </w:r>
            <w:r w:rsidR="0087146C">
              <w:rPr>
                <w:noProof/>
                <w:webHidden/>
              </w:rPr>
              <w:tab/>
            </w:r>
            <w:r w:rsidR="0087146C">
              <w:rPr>
                <w:noProof/>
                <w:webHidden/>
              </w:rPr>
              <w:fldChar w:fldCharType="begin"/>
            </w:r>
            <w:r w:rsidR="0087146C">
              <w:rPr>
                <w:noProof/>
                <w:webHidden/>
              </w:rPr>
              <w:instrText xml:space="preserve"> PAGEREF _Toc106697764 \h </w:instrText>
            </w:r>
            <w:r w:rsidR="0087146C">
              <w:rPr>
                <w:noProof/>
                <w:webHidden/>
              </w:rPr>
            </w:r>
            <w:r w:rsidR="0087146C">
              <w:rPr>
                <w:noProof/>
                <w:webHidden/>
              </w:rPr>
              <w:fldChar w:fldCharType="separate"/>
            </w:r>
            <w:r w:rsidR="00185BAF">
              <w:rPr>
                <w:noProof/>
                <w:webHidden/>
              </w:rPr>
              <w:t>22</w:t>
            </w:r>
            <w:r w:rsidR="0087146C">
              <w:rPr>
                <w:noProof/>
                <w:webHidden/>
              </w:rPr>
              <w:fldChar w:fldCharType="end"/>
            </w:r>
          </w:hyperlink>
        </w:p>
        <w:p w14:paraId="4BC9D5B0" w14:textId="784D7EA7" w:rsidR="0087146C" w:rsidRDefault="00012E64">
          <w:pPr>
            <w:pStyle w:val="TOC2"/>
            <w:rPr>
              <w:rFonts w:asciiTheme="minorHAnsi" w:eastAsiaTheme="minorEastAsia" w:hAnsiTheme="minorHAnsi" w:cstheme="minorBidi"/>
              <w:lang w:eastAsia="en-GB"/>
            </w:rPr>
          </w:pPr>
          <w:hyperlink w:anchor="_Toc106697765" w:history="1">
            <w:r w:rsidR="0087146C" w:rsidRPr="00AD1D4B">
              <w:rPr>
                <w:rStyle w:val="Hyperlink"/>
                <w:rFonts w:eastAsiaTheme="majorEastAsia" w:cstheme="majorBidi"/>
              </w:rPr>
              <w:t>End-of-life care planning and policy</w:t>
            </w:r>
            <w:r w:rsidR="0087146C">
              <w:rPr>
                <w:webHidden/>
              </w:rPr>
              <w:tab/>
            </w:r>
            <w:r w:rsidR="0087146C">
              <w:rPr>
                <w:webHidden/>
              </w:rPr>
              <w:fldChar w:fldCharType="begin"/>
            </w:r>
            <w:r w:rsidR="0087146C">
              <w:rPr>
                <w:webHidden/>
              </w:rPr>
              <w:instrText xml:space="preserve"> PAGEREF _Toc106697765 \h </w:instrText>
            </w:r>
            <w:r w:rsidR="0087146C">
              <w:rPr>
                <w:webHidden/>
              </w:rPr>
            </w:r>
            <w:r w:rsidR="0087146C">
              <w:rPr>
                <w:webHidden/>
              </w:rPr>
              <w:fldChar w:fldCharType="separate"/>
            </w:r>
            <w:r w:rsidR="00185BAF">
              <w:rPr>
                <w:webHidden/>
              </w:rPr>
              <w:t>23</w:t>
            </w:r>
            <w:r w:rsidR="0087146C">
              <w:rPr>
                <w:webHidden/>
              </w:rPr>
              <w:fldChar w:fldCharType="end"/>
            </w:r>
          </w:hyperlink>
        </w:p>
        <w:p w14:paraId="1917A6EB" w14:textId="5000C274" w:rsidR="0087146C" w:rsidRDefault="00012E64">
          <w:pPr>
            <w:pStyle w:val="TOC2"/>
            <w:rPr>
              <w:rFonts w:asciiTheme="minorHAnsi" w:eastAsiaTheme="minorEastAsia" w:hAnsiTheme="minorHAnsi" w:cstheme="minorBidi"/>
              <w:lang w:eastAsia="en-GB"/>
            </w:rPr>
          </w:pPr>
          <w:hyperlink w:anchor="_Toc106697766" w:history="1">
            <w:r w:rsidR="0087146C" w:rsidRPr="00AD1D4B">
              <w:rPr>
                <w:rStyle w:val="Hyperlink"/>
                <w:rFonts w:ascii="Calibri Light" w:eastAsia="SimSun" w:hAnsi="Calibri Light" w:cs="Calibri Light"/>
              </w:rPr>
              <w:t>Resuscitation decisions</w:t>
            </w:r>
            <w:r w:rsidR="0087146C">
              <w:rPr>
                <w:webHidden/>
              </w:rPr>
              <w:tab/>
            </w:r>
            <w:r w:rsidR="0087146C">
              <w:rPr>
                <w:webHidden/>
              </w:rPr>
              <w:fldChar w:fldCharType="begin"/>
            </w:r>
            <w:r w:rsidR="0087146C">
              <w:rPr>
                <w:webHidden/>
              </w:rPr>
              <w:instrText xml:space="preserve"> PAGEREF _Toc106697766 \h </w:instrText>
            </w:r>
            <w:r w:rsidR="0087146C">
              <w:rPr>
                <w:webHidden/>
              </w:rPr>
            </w:r>
            <w:r w:rsidR="0087146C">
              <w:rPr>
                <w:webHidden/>
              </w:rPr>
              <w:fldChar w:fldCharType="separate"/>
            </w:r>
            <w:r w:rsidR="00185BAF">
              <w:rPr>
                <w:webHidden/>
              </w:rPr>
              <w:t>25</w:t>
            </w:r>
            <w:r w:rsidR="0087146C">
              <w:rPr>
                <w:webHidden/>
              </w:rPr>
              <w:fldChar w:fldCharType="end"/>
            </w:r>
          </w:hyperlink>
        </w:p>
        <w:p w14:paraId="3B6B4104" w14:textId="4830CAA9" w:rsidR="0087146C" w:rsidRDefault="00012E64">
          <w:pPr>
            <w:pStyle w:val="TOC2"/>
            <w:rPr>
              <w:rFonts w:asciiTheme="minorHAnsi" w:eastAsiaTheme="minorEastAsia" w:hAnsiTheme="minorHAnsi" w:cstheme="minorBidi"/>
              <w:lang w:eastAsia="en-GB"/>
            </w:rPr>
          </w:pPr>
          <w:hyperlink w:anchor="_Toc106697767" w:history="1">
            <w:r w:rsidR="0087146C" w:rsidRPr="00AD1D4B">
              <w:rPr>
                <w:rStyle w:val="Hyperlink"/>
                <w:rFonts w:ascii="Calibri Light" w:eastAsia="SimSun" w:hAnsi="Calibri Light" w:cs="Calibri Light"/>
              </w:rPr>
              <w:t>Communication and knowing the patient and family</w:t>
            </w:r>
            <w:r w:rsidR="0087146C">
              <w:rPr>
                <w:webHidden/>
              </w:rPr>
              <w:tab/>
            </w:r>
            <w:r w:rsidR="0087146C">
              <w:rPr>
                <w:webHidden/>
              </w:rPr>
              <w:fldChar w:fldCharType="begin"/>
            </w:r>
            <w:r w:rsidR="0087146C">
              <w:rPr>
                <w:webHidden/>
              </w:rPr>
              <w:instrText xml:space="preserve"> PAGEREF _Toc106697767 \h </w:instrText>
            </w:r>
            <w:r w:rsidR="0087146C">
              <w:rPr>
                <w:webHidden/>
              </w:rPr>
            </w:r>
            <w:r w:rsidR="0087146C">
              <w:rPr>
                <w:webHidden/>
              </w:rPr>
              <w:fldChar w:fldCharType="separate"/>
            </w:r>
            <w:r w:rsidR="00185BAF">
              <w:rPr>
                <w:webHidden/>
              </w:rPr>
              <w:t>26</w:t>
            </w:r>
            <w:r w:rsidR="0087146C">
              <w:rPr>
                <w:webHidden/>
              </w:rPr>
              <w:fldChar w:fldCharType="end"/>
            </w:r>
          </w:hyperlink>
        </w:p>
        <w:p w14:paraId="1CAA0069" w14:textId="12DB8C2A" w:rsidR="0087146C" w:rsidRDefault="00012E64">
          <w:pPr>
            <w:pStyle w:val="TOC2"/>
            <w:rPr>
              <w:rFonts w:asciiTheme="minorHAnsi" w:eastAsiaTheme="minorEastAsia" w:hAnsiTheme="minorHAnsi" w:cstheme="minorBidi"/>
              <w:lang w:eastAsia="en-GB"/>
            </w:rPr>
          </w:pPr>
          <w:hyperlink w:anchor="_Toc106697768" w:history="1">
            <w:r w:rsidR="0087146C" w:rsidRPr="00AD1D4B">
              <w:rPr>
                <w:rStyle w:val="Hyperlink"/>
                <w:rFonts w:ascii="Calibri Light" w:eastAsia="SimSun" w:hAnsi="Calibri Light" w:cs="Calibri Light"/>
              </w:rPr>
              <w:t>Health literacy and inequalities</w:t>
            </w:r>
            <w:r w:rsidR="0087146C">
              <w:rPr>
                <w:webHidden/>
              </w:rPr>
              <w:tab/>
            </w:r>
            <w:r w:rsidR="0087146C">
              <w:rPr>
                <w:webHidden/>
              </w:rPr>
              <w:fldChar w:fldCharType="begin"/>
            </w:r>
            <w:r w:rsidR="0087146C">
              <w:rPr>
                <w:webHidden/>
              </w:rPr>
              <w:instrText xml:space="preserve"> PAGEREF _Toc106697768 \h </w:instrText>
            </w:r>
            <w:r w:rsidR="0087146C">
              <w:rPr>
                <w:webHidden/>
              </w:rPr>
            </w:r>
            <w:r w:rsidR="0087146C">
              <w:rPr>
                <w:webHidden/>
              </w:rPr>
              <w:fldChar w:fldCharType="separate"/>
            </w:r>
            <w:r w:rsidR="00185BAF">
              <w:rPr>
                <w:webHidden/>
              </w:rPr>
              <w:t>27</w:t>
            </w:r>
            <w:r w:rsidR="0087146C">
              <w:rPr>
                <w:webHidden/>
              </w:rPr>
              <w:fldChar w:fldCharType="end"/>
            </w:r>
          </w:hyperlink>
        </w:p>
        <w:p w14:paraId="40DE7A56" w14:textId="0B9CE7C6" w:rsidR="0087146C" w:rsidRDefault="00012E64">
          <w:pPr>
            <w:pStyle w:val="TOC2"/>
            <w:rPr>
              <w:rFonts w:asciiTheme="minorHAnsi" w:eastAsiaTheme="minorEastAsia" w:hAnsiTheme="minorHAnsi" w:cstheme="minorBidi"/>
              <w:lang w:eastAsia="en-GB"/>
            </w:rPr>
          </w:pPr>
          <w:hyperlink w:anchor="_Toc106697769" w:history="1">
            <w:r w:rsidR="0087146C" w:rsidRPr="00AD1D4B">
              <w:rPr>
                <w:rStyle w:val="Hyperlink"/>
                <w:rFonts w:ascii="Calibri Light" w:eastAsia="SimSun" w:hAnsi="Calibri Light" w:cs="Calibri Light"/>
              </w:rPr>
              <w:t>Cultural mores and religious beliefs</w:t>
            </w:r>
            <w:r w:rsidR="0087146C">
              <w:rPr>
                <w:webHidden/>
              </w:rPr>
              <w:tab/>
            </w:r>
            <w:r w:rsidR="0087146C">
              <w:rPr>
                <w:webHidden/>
              </w:rPr>
              <w:fldChar w:fldCharType="begin"/>
            </w:r>
            <w:r w:rsidR="0087146C">
              <w:rPr>
                <w:webHidden/>
              </w:rPr>
              <w:instrText xml:space="preserve"> PAGEREF _Toc106697769 \h </w:instrText>
            </w:r>
            <w:r w:rsidR="0087146C">
              <w:rPr>
                <w:webHidden/>
              </w:rPr>
            </w:r>
            <w:r w:rsidR="0087146C">
              <w:rPr>
                <w:webHidden/>
              </w:rPr>
              <w:fldChar w:fldCharType="separate"/>
            </w:r>
            <w:r w:rsidR="00185BAF">
              <w:rPr>
                <w:webHidden/>
              </w:rPr>
              <w:t>28</w:t>
            </w:r>
            <w:r w:rsidR="0087146C">
              <w:rPr>
                <w:webHidden/>
              </w:rPr>
              <w:fldChar w:fldCharType="end"/>
            </w:r>
          </w:hyperlink>
        </w:p>
        <w:p w14:paraId="320805F1" w14:textId="1D745978" w:rsidR="0087146C" w:rsidRDefault="00012E64">
          <w:pPr>
            <w:pStyle w:val="TOC2"/>
            <w:rPr>
              <w:rFonts w:asciiTheme="minorHAnsi" w:eastAsiaTheme="minorEastAsia" w:hAnsiTheme="minorHAnsi" w:cstheme="minorBidi"/>
              <w:lang w:eastAsia="en-GB"/>
            </w:rPr>
          </w:pPr>
          <w:hyperlink w:anchor="_Toc106697770" w:history="1">
            <w:r w:rsidR="0087146C" w:rsidRPr="00AD1D4B">
              <w:rPr>
                <w:rStyle w:val="Hyperlink"/>
                <w:rFonts w:eastAsia="SimSun"/>
              </w:rPr>
              <w:t>Considering ethnic diversity in policy</w:t>
            </w:r>
            <w:r w:rsidR="0087146C">
              <w:rPr>
                <w:webHidden/>
              </w:rPr>
              <w:tab/>
            </w:r>
            <w:r w:rsidR="0087146C">
              <w:rPr>
                <w:webHidden/>
              </w:rPr>
              <w:fldChar w:fldCharType="begin"/>
            </w:r>
            <w:r w:rsidR="0087146C">
              <w:rPr>
                <w:webHidden/>
              </w:rPr>
              <w:instrText xml:space="preserve"> PAGEREF _Toc106697770 \h </w:instrText>
            </w:r>
            <w:r w:rsidR="0087146C">
              <w:rPr>
                <w:webHidden/>
              </w:rPr>
            </w:r>
            <w:r w:rsidR="0087146C">
              <w:rPr>
                <w:webHidden/>
              </w:rPr>
              <w:fldChar w:fldCharType="separate"/>
            </w:r>
            <w:r w:rsidR="00185BAF">
              <w:rPr>
                <w:webHidden/>
              </w:rPr>
              <w:t>30</w:t>
            </w:r>
            <w:r w:rsidR="0087146C">
              <w:rPr>
                <w:webHidden/>
              </w:rPr>
              <w:fldChar w:fldCharType="end"/>
            </w:r>
          </w:hyperlink>
        </w:p>
        <w:p w14:paraId="78D8BA13" w14:textId="13990F76" w:rsidR="0087146C" w:rsidRDefault="00012E64">
          <w:pPr>
            <w:pStyle w:val="TOC2"/>
            <w:rPr>
              <w:rFonts w:asciiTheme="minorHAnsi" w:eastAsiaTheme="minorEastAsia" w:hAnsiTheme="minorHAnsi" w:cstheme="minorBidi"/>
              <w:lang w:eastAsia="en-GB"/>
            </w:rPr>
          </w:pPr>
          <w:hyperlink w:anchor="_Toc106697771" w:history="1">
            <w:r w:rsidR="0087146C" w:rsidRPr="00AD1D4B">
              <w:rPr>
                <w:rStyle w:val="Hyperlink"/>
                <w:rFonts w:ascii="Calibri Light" w:eastAsia="SimSun" w:hAnsi="Calibri Light" w:cs="Calibri Light"/>
              </w:rPr>
              <w:t>Embracing diversity in end-of life care planning</w:t>
            </w:r>
            <w:r w:rsidR="0087146C">
              <w:rPr>
                <w:webHidden/>
              </w:rPr>
              <w:tab/>
            </w:r>
            <w:r w:rsidR="0087146C">
              <w:rPr>
                <w:webHidden/>
              </w:rPr>
              <w:fldChar w:fldCharType="begin"/>
            </w:r>
            <w:r w:rsidR="0087146C">
              <w:rPr>
                <w:webHidden/>
              </w:rPr>
              <w:instrText xml:space="preserve"> PAGEREF _Toc106697771 \h </w:instrText>
            </w:r>
            <w:r w:rsidR="0087146C">
              <w:rPr>
                <w:webHidden/>
              </w:rPr>
            </w:r>
            <w:r w:rsidR="0087146C">
              <w:rPr>
                <w:webHidden/>
              </w:rPr>
              <w:fldChar w:fldCharType="separate"/>
            </w:r>
            <w:r w:rsidR="00185BAF">
              <w:rPr>
                <w:webHidden/>
              </w:rPr>
              <w:t>32</w:t>
            </w:r>
            <w:r w:rsidR="0087146C">
              <w:rPr>
                <w:webHidden/>
              </w:rPr>
              <w:fldChar w:fldCharType="end"/>
            </w:r>
          </w:hyperlink>
        </w:p>
        <w:p w14:paraId="2D676EB4" w14:textId="71F2E48D" w:rsidR="0087146C" w:rsidRDefault="00012E64">
          <w:pPr>
            <w:pStyle w:val="TOC2"/>
            <w:rPr>
              <w:rFonts w:asciiTheme="minorHAnsi" w:eastAsiaTheme="minorEastAsia" w:hAnsiTheme="minorHAnsi" w:cstheme="minorBidi"/>
              <w:lang w:eastAsia="en-GB"/>
            </w:rPr>
          </w:pPr>
          <w:hyperlink w:anchor="_Toc106697772" w:history="1">
            <w:r w:rsidR="0087146C" w:rsidRPr="00AD1D4B">
              <w:rPr>
                <w:rStyle w:val="Hyperlink"/>
                <w:rFonts w:eastAsiaTheme="majorEastAsia" w:cstheme="majorBidi"/>
              </w:rPr>
              <w:t>Study justification</w:t>
            </w:r>
            <w:r w:rsidR="0087146C">
              <w:rPr>
                <w:webHidden/>
              </w:rPr>
              <w:tab/>
            </w:r>
            <w:r w:rsidR="0087146C">
              <w:rPr>
                <w:webHidden/>
              </w:rPr>
              <w:fldChar w:fldCharType="begin"/>
            </w:r>
            <w:r w:rsidR="0087146C">
              <w:rPr>
                <w:webHidden/>
              </w:rPr>
              <w:instrText xml:space="preserve"> PAGEREF _Toc106697772 \h </w:instrText>
            </w:r>
            <w:r w:rsidR="0087146C">
              <w:rPr>
                <w:webHidden/>
              </w:rPr>
            </w:r>
            <w:r w:rsidR="0087146C">
              <w:rPr>
                <w:webHidden/>
              </w:rPr>
              <w:fldChar w:fldCharType="separate"/>
            </w:r>
            <w:r w:rsidR="00185BAF">
              <w:rPr>
                <w:webHidden/>
              </w:rPr>
              <w:t>34</w:t>
            </w:r>
            <w:r w:rsidR="0087146C">
              <w:rPr>
                <w:webHidden/>
              </w:rPr>
              <w:fldChar w:fldCharType="end"/>
            </w:r>
          </w:hyperlink>
        </w:p>
        <w:p w14:paraId="740EB658" w14:textId="0E36E864" w:rsidR="0087146C" w:rsidRDefault="00012E64">
          <w:pPr>
            <w:pStyle w:val="TOC1"/>
            <w:tabs>
              <w:tab w:val="right" w:leader="dot" w:pos="9628"/>
            </w:tabs>
            <w:rPr>
              <w:rFonts w:eastAsiaTheme="minorEastAsia"/>
              <w:noProof/>
              <w:lang w:eastAsia="en-GB"/>
            </w:rPr>
          </w:pPr>
          <w:hyperlink w:anchor="_Toc106697773" w:history="1">
            <w:r w:rsidR="0087146C" w:rsidRPr="00AD1D4B">
              <w:rPr>
                <w:rStyle w:val="Hyperlink"/>
                <w:rFonts w:asciiTheme="majorHAnsi" w:eastAsia="SimSun" w:hAnsiTheme="majorHAnsi" w:cstheme="majorBidi"/>
                <w:noProof/>
              </w:rPr>
              <w:t>Aims and research question</w:t>
            </w:r>
            <w:r w:rsidR="0087146C">
              <w:rPr>
                <w:noProof/>
                <w:webHidden/>
              </w:rPr>
              <w:tab/>
            </w:r>
            <w:r w:rsidR="0087146C">
              <w:rPr>
                <w:noProof/>
                <w:webHidden/>
              </w:rPr>
              <w:fldChar w:fldCharType="begin"/>
            </w:r>
            <w:r w:rsidR="0087146C">
              <w:rPr>
                <w:noProof/>
                <w:webHidden/>
              </w:rPr>
              <w:instrText xml:space="preserve"> PAGEREF _Toc106697773 \h </w:instrText>
            </w:r>
            <w:r w:rsidR="0087146C">
              <w:rPr>
                <w:noProof/>
                <w:webHidden/>
              </w:rPr>
            </w:r>
            <w:r w:rsidR="0087146C">
              <w:rPr>
                <w:noProof/>
                <w:webHidden/>
              </w:rPr>
              <w:fldChar w:fldCharType="separate"/>
            </w:r>
            <w:r w:rsidR="00185BAF">
              <w:rPr>
                <w:noProof/>
                <w:webHidden/>
              </w:rPr>
              <w:t>35</w:t>
            </w:r>
            <w:r w:rsidR="0087146C">
              <w:rPr>
                <w:noProof/>
                <w:webHidden/>
              </w:rPr>
              <w:fldChar w:fldCharType="end"/>
            </w:r>
          </w:hyperlink>
        </w:p>
        <w:p w14:paraId="73764EB1" w14:textId="6B7DFED8" w:rsidR="0087146C" w:rsidRDefault="00012E64">
          <w:pPr>
            <w:pStyle w:val="TOC2"/>
            <w:rPr>
              <w:rFonts w:asciiTheme="minorHAnsi" w:eastAsiaTheme="minorEastAsia" w:hAnsiTheme="minorHAnsi" w:cstheme="minorBidi"/>
              <w:lang w:eastAsia="en-GB"/>
            </w:rPr>
          </w:pPr>
          <w:hyperlink w:anchor="_Toc106697774" w:history="1">
            <w:r w:rsidR="0087146C" w:rsidRPr="00AD1D4B">
              <w:rPr>
                <w:rStyle w:val="Hyperlink"/>
                <w:rFonts w:eastAsiaTheme="majorEastAsia" w:cstheme="majorBidi"/>
              </w:rPr>
              <w:t>Objectives</w:t>
            </w:r>
            <w:r w:rsidR="0087146C">
              <w:rPr>
                <w:webHidden/>
              </w:rPr>
              <w:tab/>
            </w:r>
            <w:r w:rsidR="0087146C">
              <w:rPr>
                <w:webHidden/>
              </w:rPr>
              <w:fldChar w:fldCharType="begin"/>
            </w:r>
            <w:r w:rsidR="0087146C">
              <w:rPr>
                <w:webHidden/>
              </w:rPr>
              <w:instrText xml:space="preserve"> PAGEREF _Toc106697774 \h </w:instrText>
            </w:r>
            <w:r w:rsidR="0087146C">
              <w:rPr>
                <w:webHidden/>
              </w:rPr>
            </w:r>
            <w:r w:rsidR="0087146C">
              <w:rPr>
                <w:webHidden/>
              </w:rPr>
              <w:fldChar w:fldCharType="separate"/>
            </w:r>
            <w:r w:rsidR="00185BAF">
              <w:rPr>
                <w:webHidden/>
              </w:rPr>
              <w:t>35</w:t>
            </w:r>
            <w:r w:rsidR="0087146C">
              <w:rPr>
                <w:webHidden/>
              </w:rPr>
              <w:fldChar w:fldCharType="end"/>
            </w:r>
          </w:hyperlink>
        </w:p>
        <w:p w14:paraId="1CB5DEE7" w14:textId="5BA69F5A" w:rsidR="0087146C" w:rsidRDefault="00012E64">
          <w:pPr>
            <w:pStyle w:val="TOC1"/>
            <w:tabs>
              <w:tab w:val="right" w:leader="dot" w:pos="9628"/>
            </w:tabs>
            <w:rPr>
              <w:rFonts w:eastAsiaTheme="minorEastAsia"/>
              <w:noProof/>
              <w:lang w:eastAsia="en-GB"/>
            </w:rPr>
          </w:pPr>
          <w:hyperlink w:anchor="_Toc106697775" w:history="1">
            <w:r w:rsidR="0087146C" w:rsidRPr="00AD1D4B">
              <w:rPr>
                <w:rStyle w:val="Hyperlink"/>
                <w:rFonts w:ascii="Calibri Light" w:eastAsia="SimSun" w:hAnsi="Calibri Light" w:cs="Calibri Light"/>
                <w:noProof/>
              </w:rPr>
              <w:t>Structure of the report</w:t>
            </w:r>
            <w:r w:rsidR="0087146C">
              <w:rPr>
                <w:noProof/>
                <w:webHidden/>
              </w:rPr>
              <w:tab/>
            </w:r>
            <w:r w:rsidR="0087146C">
              <w:rPr>
                <w:noProof/>
                <w:webHidden/>
              </w:rPr>
              <w:fldChar w:fldCharType="begin"/>
            </w:r>
            <w:r w:rsidR="0087146C">
              <w:rPr>
                <w:noProof/>
                <w:webHidden/>
              </w:rPr>
              <w:instrText xml:space="preserve"> PAGEREF _Toc106697775 \h </w:instrText>
            </w:r>
            <w:r w:rsidR="0087146C">
              <w:rPr>
                <w:noProof/>
                <w:webHidden/>
              </w:rPr>
            </w:r>
            <w:r w:rsidR="0087146C">
              <w:rPr>
                <w:noProof/>
                <w:webHidden/>
              </w:rPr>
              <w:fldChar w:fldCharType="separate"/>
            </w:r>
            <w:r w:rsidR="00185BAF">
              <w:rPr>
                <w:noProof/>
                <w:webHidden/>
              </w:rPr>
              <w:t>36</w:t>
            </w:r>
            <w:r w:rsidR="0087146C">
              <w:rPr>
                <w:noProof/>
                <w:webHidden/>
              </w:rPr>
              <w:fldChar w:fldCharType="end"/>
            </w:r>
          </w:hyperlink>
        </w:p>
        <w:p w14:paraId="08350E7A" w14:textId="223C1557" w:rsidR="0087146C" w:rsidRDefault="00012E64">
          <w:pPr>
            <w:pStyle w:val="TOC1"/>
            <w:tabs>
              <w:tab w:val="right" w:leader="dot" w:pos="9628"/>
            </w:tabs>
            <w:rPr>
              <w:rFonts w:eastAsiaTheme="minorEastAsia"/>
              <w:noProof/>
              <w:lang w:eastAsia="en-GB"/>
            </w:rPr>
          </w:pPr>
          <w:hyperlink w:anchor="_Toc106697776" w:history="1">
            <w:r w:rsidR="0087146C" w:rsidRPr="00AD1D4B">
              <w:rPr>
                <w:rStyle w:val="Hyperlink"/>
                <w:rFonts w:ascii="Calibri Light" w:eastAsia="Times New Roman" w:hAnsi="Calibri Light" w:cs="Times New Roman"/>
                <w:noProof/>
                <w:lang w:val="en-US"/>
              </w:rPr>
              <w:t>Chapter 2: Methodology</w:t>
            </w:r>
            <w:r w:rsidR="0087146C">
              <w:rPr>
                <w:noProof/>
                <w:webHidden/>
              </w:rPr>
              <w:tab/>
            </w:r>
            <w:r w:rsidR="0087146C">
              <w:rPr>
                <w:noProof/>
                <w:webHidden/>
              </w:rPr>
              <w:fldChar w:fldCharType="begin"/>
            </w:r>
            <w:r w:rsidR="0087146C">
              <w:rPr>
                <w:noProof/>
                <w:webHidden/>
              </w:rPr>
              <w:instrText xml:space="preserve"> PAGEREF _Toc106697776 \h </w:instrText>
            </w:r>
            <w:r w:rsidR="0087146C">
              <w:rPr>
                <w:noProof/>
                <w:webHidden/>
              </w:rPr>
            </w:r>
            <w:r w:rsidR="0087146C">
              <w:rPr>
                <w:noProof/>
                <w:webHidden/>
              </w:rPr>
              <w:fldChar w:fldCharType="separate"/>
            </w:r>
            <w:r w:rsidR="00185BAF">
              <w:rPr>
                <w:noProof/>
                <w:webHidden/>
              </w:rPr>
              <w:t>37</w:t>
            </w:r>
            <w:r w:rsidR="0087146C">
              <w:rPr>
                <w:noProof/>
                <w:webHidden/>
              </w:rPr>
              <w:fldChar w:fldCharType="end"/>
            </w:r>
          </w:hyperlink>
        </w:p>
        <w:p w14:paraId="76790787" w14:textId="760B75AE" w:rsidR="0087146C" w:rsidRDefault="00012E64">
          <w:pPr>
            <w:pStyle w:val="TOC2"/>
            <w:rPr>
              <w:rFonts w:asciiTheme="minorHAnsi" w:eastAsiaTheme="minorEastAsia" w:hAnsiTheme="minorHAnsi" w:cstheme="minorBidi"/>
              <w:lang w:eastAsia="en-GB"/>
            </w:rPr>
          </w:pPr>
          <w:hyperlink w:anchor="_Toc106697777" w:history="1">
            <w:r w:rsidR="0087146C" w:rsidRPr="00AD1D4B">
              <w:rPr>
                <w:rStyle w:val="Hyperlink"/>
                <w:rFonts w:ascii="Calibri Light" w:eastAsia="Times New Roman" w:hAnsi="Calibri Light" w:cs="Times New Roman"/>
              </w:rPr>
              <w:t>Study design</w:t>
            </w:r>
            <w:r w:rsidR="0087146C">
              <w:rPr>
                <w:webHidden/>
              </w:rPr>
              <w:tab/>
            </w:r>
            <w:r w:rsidR="0087146C">
              <w:rPr>
                <w:webHidden/>
              </w:rPr>
              <w:fldChar w:fldCharType="begin"/>
            </w:r>
            <w:r w:rsidR="0087146C">
              <w:rPr>
                <w:webHidden/>
              </w:rPr>
              <w:instrText xml:space="preserve"> PAGEREF _Toc106697777 \h </w:instrText>
            </w:r>
            <w:r w:rsidR="0087146C">
              <w:rPr>
                <w:webHidden/>
              </w:rPr>
            </w:r>
            <w:r w:rsidR="0087146C">
              <w:rPr>
                <w:webHidden/>
              </w:rPr>
              <w:fldChar w:fldCharType="separate"/>
            </w:r>
            <w:r w:rsidR="00185BAF">
              <w:rPr>
                <w:webHidden/>
              </w:rPr>
              <w:t>37</w:t>
            </w:r>
            <w:r w:rsidR="0087146C">
              <w:rPr>
                <w:webHidden/>
              </w:rPr>
              <w:fldChar w:fldCharType="end"/>
            </w:r>
          </w:hyperlink>
        </w:p>
        <w:p w14:paraId="1C22C280" w14:textId="30AE9490" w:rsidR="0087146C" w:rsidRDefault="00012E64">
          <w:pPr>
            <w:pStyle w:val="TOC2"/>
            <w:rPr>
              <w:rFonts w:asciiTheme="minorHAnsi" w:eastAsiaTheme="minorEastAsia" w:hAnsiTheme="minorHAnsi" w:cstheme="minorBidi"/>
              <w:lang w:eastAsia="en-GB"/>
            </w:rPr>
          </w:pPr>
          <w:hyperlink w:anchor="_Toc106697778" w:history="1">
            <w:r w:rsidR="0087146C" w:rsidRPr="00AD1D4B">
              <w:rPr>
                <w:rStyle w:val="Hyperlink"/>
                <w:rFonts w:ascii="Calibri Light" w:eastAsia="Times New Roman" w:hAnsi="Calibri Light" w:cs="Times New Roman"/>
                <w:lang w:val="en-US"/>
              </w:rPr>
              <w:t>Setting/context</w:t>
            </w:r>
            <w:r w:rsidR="0087146C">
              <w:rPr>
                <w:webHidden/>
              </w:rPr>
              <w:tab/>
            </w:r>
            <w:r w:rsidR="0087146C">
              <w:rPr>
                <w:webHidden/>
              </w:rPr>
              <w:fldChar w:fldCharType="begin"/>
            </w:r>
            <w:r w:rsidR="0087146C">
              <w:rPr>
                <w:webHidden/>
              </w:rPr>
              <w:instrText xml:space="preserve"> PAGEREF _Toc106697778 \h </w:instrText>
            </w:r>
            <w:r w:rsidR="0087146C">
              <w:rPr>
                <w:webHidden/>
              </w:rPr>
            </w:r>
            <w:r w:rsidR="0087146C">
              <w:rPr>
                <w:webHidden/>
              </w:rPr>
              <w:fldChar w:fldCharType="separate"/>
            </w:r>
            <w:r w:rsidR="00185BAF">
              <w:rPr>
                <w:webHidden/>
              </w:rPr>
              <w:t>38</w:t>
            </w:r>
            <w:r w:rsidR="0087146C">
              <w:rPr>
                <w:webHidden/>
              </w:rPr>
              <w:fldChar w:fldCharType="end"/>
            </w:r>
          </w:hyperlink>
        </w:p>
        <w:p w14:paraId="7C8C7719" w14:textId="348637FF" w:rsidR="0087146C" w:rsidRDefault="00012E64">
          <w:pPr>
            <w:pStyle w:val="TOC2"/>
            <w:rPr>
              <w:rFonts w:asciiTheme="minorHAnsi" w:eastAsiaTheme="minorEastAsia" w:hAnsiTheme="minorHAnsi" w:cstheme="minorBidi"/>
              <w:lang w:eastAsia="en-GB"/>
            </w:rPr>
          </w:pPr>
          <w:hyperlink w:anchor="_Toc106697779" w:history="1">
            <w:r w:rsidR="0087146C" w:rsidRPr="00AD1D4B">
              <w:rPr>
                <w:rStyle w:val="Hyperlink"/>
                <w:rFonts w:ascii="Calibri Light" w:eastAsia="Times New Roman" w:hAnsi="Calibri Light" w:cs="Times New Roman"/>
                <w:lang w:val="en-US"/>
              </w:rPr>
              <w:t>Ethical and governance approval</w:t>
            </w:r>
            <w:r w:rsidR="0087146C">
              <w:rPr>
                <w:webHidden/>
              </w:rPr>
              <w:tab/>
            </w:r>
            <w:r w:rsidR="0087146C">
              <w:rPr>
                <w:webHidden/>
              </w:rPr>
              <w:fldChar w:fldCharType="begin"/>
            </w:r>
            <w:r w:rsidR="0087146C">
              <w:rPr>
                <w:webHidden/>
              </w:rPr>
              <w:instrText xml:space="preserve"> PAGEREF _Toc106697779 \h </w:instrText>
            </w:r>
            <w:r w:rsidR="0087146C">
              <w:rPr>
                <w:webHidden/>
              </w:rPr>
            </w:r>
            <w:r w:rsidR="0087146C">
              <w:rPr>
                <w:webHidden/>
              </w:rPr>
              <w:fldChar w:fldCharType="separate"/>
            </w:r>
            <w:r w:rsidR="00185BAF">
              <w:rPr>
                <w:webHidden/>
              </w:rPr>
              <w:t>38</w:t>
            </w:r>
            <w:r w:rsidR="0087146C">
              <w:rPr>
                <w:webHidden/>
              </w:rPr>
              <w:fldChar w:fldCharType="end"/>
            </w:r>
          </w:hyperlink>
        </w:p>
        <w:p w14:paraId="33C1E8AD" w14:textId="1C1F09C1" w:rsidR="0087146C" w:rsidRDefault="00012E64">
          <w:pPr>
            <w:pStyle w:val="TOC2"/>
            <w:rPr>
              <w:rFonts w:asciiTheme="minorHAnsi" w:eastAsiaTheme="minorEastAsia" w:hAnsiTheme="minorHAnsi" w:cstheme="minorBidi"/>
              <w:lang w:eastAsia="en-GB"/>
            </w:rPr>
          </w:pPr>
          <w:hyperlink w:anchor="_Toc106697780" w:history="1">
            <w:r w:rsidR="0087146C" w:rsidRPr="00AD1D4B">
              <w:rPr>
                <w:rStyle w:val="Hyperlink"/>
                <w:rFonts w:eastAsia="Times New Roman"/>
              </w:rPr>
              <w:t>Eligibility</w:t>
            </w:r>
            <w:r w:rsidR="0087146C">
              <w:rPr>
                <w:webHidden/>
              </w:rPr>
              <w:tab/>
            </w:r>
            <w:r w:rsidR="0087146C">
              <w:rPr>
                <w:webHidden/>
              </w:rPr>
              <w:fldChar w:fldCharType="begin"/>
            </w:r>
            <w:r w:rsidR="0087146C">
              <w:rPr>
                <w:webHidden/>
              </w:rPr>
              <w:instrText xml:space="preserve"> PAGEREF _Toc106697780 \h </w:instrText>
            </w:r>
            <w:r w:rsidR="0087146C">
              <w:rPr>
                <w:webHidden/>
              </w:rPr>
            </w:r>
            <w:r w:rsidR="0087146C">
              <w:rPr>
                <w:webHidden/>
              </w:rPr>
              <w:fldChar w:fldCharType="separate"/>
            </w:r>
            <w:r w:rsidR="00185BAF">
              <w:rPr>
                <w:webHidden/>
              </w:rPr>
              <w:t>39</w:t>
            </w:r>
            <w:r w:rsidR="0087146C">
              <w:rPr>
                <w:webHidden/>
              </w:rPr>
              <w:fldChar w:fldCharType="end"/>
            </w:r>
          </w:hyperlink>
        </w:p>
        <w:p w14:paraId="31081296" w14:textId="6DC5FBF7" w:rsidR="0087146C" w:rsidRDefault="00012E64">
          <w:pPr>
            <w:pStyle w:val="TOC3"/>
            <w:tabs>
              <w:tab w:val="right" w:leader="dot" w:pos="9628"/>
            </w:tabs>
            <w:rPr>
              <w:rFonts w:eastAsiaTheme="minorEastAsia"/>
              <w:noProof/>
              <w:lang w:eastAsia="en-GB"/>
            </w:rPr>
          </w:pPr>
          <w:hyperlink w:anchor="_Toc106697781" w:history="1">
            <w:r w:rsidR="0087146C" w:rsidRPr="00AD1D4B">
              <w:rPr>
                <w:rStyle w:val="Hyperlink"/>
                <w:rFonts w:eastAsia="Times New Roman"/>
                <w:noProof/>
              </w:rPr>
              <w:t>Work Stream 1: longitudinal patient case-studies</w:t>
            </w:r>
            <w:r w:rsidR="0087146C">
              <w:rPr>
                <w:noProof/>
                <w:webHidden/>
              </w:rPr>
              <w:tab/>
            </w:r>
            <w:r w:rsidR="0087146C">
              <w:rPr>
                <w:noProof/>
                <w:webHidden/>
              </w:rPr>
              <w:fldChar w:fldCharType="begin"/>
            </w:r>
            <w:r w:rsidR="0087146C">
              <w:rPr>
                <w:noProof/>
                <w:webHidden/>
              </w:rPr>
              <w:instrText xml:space="preserve"> PAGEREF _Toc106697781 \h </w:instrText>
            </w:r>
            <w:r w:rsidR="0087146C">
              <w:rPr>
                <w:noProof/>
                <w:webHidden/>
              </w:rPr>
            </w:r>
            <w:r w:rsidR="0087146C">
              <w:rPr>
                <w:noProof/>
                <w:webHidden/>
              </w:rPr>
              <w:fldChar w:fldCharType="separate"/>
            </w:r>
            <w:r w:rsidR="00185BAF">
              <w:rPr>
                <w:noProof/>
                <w:webHidden/>
              </w:rPr>
              <w:t>39</w:t>
            </w:r>
            <w:r w:rsidR="0087146C">
              <w:rPr>
                <w:noProof/>
                <w:webHidden/>
              </w:rPr>
              <w:fldChar w:fldCharType="end"/>
            </w:r>
          </w:hyperlink>
        </w:p>
        <w:p w14:paraId="1DBDC0E3" w14:textId="5F601E2D" w:rsidR="0087146C" w:rsidRDefault="00012E64">
          <w:pPr>
            <w:pStyle w:val="TOC3"/>
            <w:tabs>
              <w:tab w:val="right" w:leader="dot" w:pos="9628"/>
            </w:tabs>
            <w:rPr>
              <w:rFonts w:eastAsiaTheme="minorEastAsia"/>
              <w:noProof/>
              <w:lang w:eastAsia="en-GB"/>
            </w:rPr>
          </w:pPr>
          <w:hyperlink w:anchor="_Toc106697782" w:history="1">
            <w:r w:rsidR="0087146C" w:rsidRPr="00AD1D4B">
              <w:rPr>
                <w:rStyle w:val="Hyperlink"/>
                <w:rFonts w:eastAsia="Times New Roman"/>
                <w:noProof/>
              </w:rPr>
              <w:t xml:space="preserve">Work Stream 2: </w:t>
            </w:r>
            <w:r w:rsidR="0087146C" w:rsidRPr="00AD1D4B">
              <w:rPr>
                <w:rStyle w:val="Hyperlink"/>
                <w:rFonts w:eastAsia="Times New Roman"/>
                <w:noProof/>
                <w:lang w:val="en-US"/>
              </w:rPr>
              <w:t>experiences of bereaved relatives</w:t>
            </w:r>
            <w:r w:rsidR="0087146C">
              <w:rPr>
                <w:noProof/>
                <w:webHidden/>
              </w:rPr>
              <w:tab/>
            </w:r>
            <w:r w:rsidR="0087146C">
              <w:rPr>
                <w:noProof/>
                <w:webHidden/>
              </w:rPr>
              <w:fldChar w:fldCharType="begin"/>
            </w:r>
            <w:r w:rsidR="0087146C">
              <w:rPr>
                <w:noProof/>
                <w:webHidden/>
              </w:rPr>
              <w:instrText xml:space="preserve"> PAGEREF _Toc106697782 \h </w:instrText>
            </w:r>
            <w:r w:rsidR="0087146C">
              <w:rPr>
                <w:noProof/>
                <w:webHidden/>
              </w:rPr>
            </w:r>
            <w:r w:rsidR="0087146C">
              <w:rPr>
                <w:noProof/>
                <w:webHidden/>
              </w:rPr>
              <w:fldChar w:fldCharType="separate"/>
            </w:r>
            <w:r w:rsidR="00185BAF">
              <w:rPr>
                <w:noProof/>
                <w:webHidden/>
              </w:rPr>
              <w:t>40</w:t>
            </w:r>
            <w:r w:rsidR="0087146C">
              <w:rPr>
                <w:noProof/>
                <w:webHidden/>
              </w:rPr>
              <w:fldChar w:fldCharType="end"/>
            </w:r>
          </w:hyperlink>
        </w:p>
        <w:p w14:paraId="139D8761" w14:textId="05729079" w:rsidR="0087146C" w:rsidRDefault="00012E64">
          <w:pPr>
            <w:pStyle w:val="TOC3"/>
            <w:tabs>
              <w:tab w:val="right" w:leader="dot" w:pos="9628"/>
            </w:tabs>
            <w:rPr>
              <w:rFonts w:eastAsiaTheme="minorEastAsia"/>
              <w:noProof/>
              <w:lang w:eastAsia="en-GB"/>
            </w:rPr>
          </w:pPr>
          <w:hyperlink w:anchor="_Toc106697783" w:history="1">
            <w:r w:rsidR="0087146C" w:rsidRPr="00AD1D4B">
              <w:rPr>
                <w:rStyle w:val="Hyperlink"/>
                <w:noProof/>
              </w:rPr>
              <w:t>Work Stream 3: public and professional virtual workshops</w:t>
            </w:r>
            <w:r w:rsidR="0087146C">
              <w:rPr>
                <w:noProof/>
                <w:webHidden/>
              </w:rPr>
              <w:tab/>
            </w:r>
            <w:r w:rsidR="0087146C">
              <w:rPr>
                <w:noProof/>
                <w:webHidden/>
              </w:rPr>
              <w:fldChar w:fldCharType="begin"/>
            </w:r>
            <w:r w:rsidR="0087146C">
              <w:rPr>
                <w:noProof/>
                <w:webHidden/>
              </w:rPr>
              <w:instrText xml:space="preserve"> PAGEREF _Toc106697783 \h </w:instrText>
            </w:r>
            <w:r w:rsidR="0087146C">
              <w:rPr>
                <w:noProof/>
                <w:webHidden/>
              </w:rPr>
            </w:r>
            <w:r w:rsidR="0087146C">
              <w:rPr>
                <w:noProof/>
                <w:webHidden/>
              </w:rPr>
              <w:fldChar w:fldCharType="separate"/>
            </w:r>
            <w:r w:rsidR="00185BAF">
              <w:rPr>
                <w:noProof/>
                <w:webHidden/>
              </w:rPr>
              <w:t>40</w:t>
            </w:r>
            <w:r w:rsidR="0087146C">
              <w:rPr>
                <w:noProof/>
                <w:webHidden/>
              </w:rPr>
              <w:fldChar w:fldCharType="end"/>
            </w:r>
          </w:hyperlink>
        </w:p>
        <w:p w14:paraId="1D5F4F95" w14:textId="171D298F" w:rsidR="0087146C" w:rsidRDefault="00012E64">
          <w:pPr>
            <w:pStyle w:val="TOC2"/>
            <w:rPr>
              <w:rFonts w:asciiTheme="minorHAnsi" w:eastAsiaTheme="minorEastAsia" w:hAnsiTheme="minorHAnsi" w:cstheme="minorBidi"/>
              <w:lang w:eastAsia="en-GB"/>
            </w:rPr>
          </w:pPr>
          <w:hyperlink w:anchor="_Toc106697784" w:history="1">
            <w:r w:rsidR="0087146C" w:rsidRPr="00AD1D4B">
              <w:rPr>
                <w:rStyle w:val="Hyperlink"/>
                <w:rFonts w:eastAsia="Times New Roman"/>
              </w:rPr>
              <w:t>Sample size and structure</w:t>
            </w:r>
            <w:r w:rsidR="0087146C">
              <w:rPr>
                <w:webHidden/>
              </w:rPr>
              <w:tab/>
            </w:r>
            <w:r w:rsidR="0087146C">
              <w:rPr>
                <w:webHidden/>
              </w:rPr>
              <w:fldChar w:fldCharType="begin"/>
            </w:r>
            <w:r w:rsidR="0087146C">
              <w:rPr>
                <w:webHidden/>
              </w:rPr>
              <w:instrText xml:space="preserve"> PAGEREF _Toc106697784 \h </w:instrText>
            </w:r>
            <w:r w:rsidR="0087146C">
              <w:rPr>
                <w:webHidden/>
              </w:rPr>
            </w:r>
            <w:r w:rsidR="0087146C">
              <w:rPr>
                <w:webHidden/>
              </w:rPr>
              <w:fldChar w:fldCharType="separate"/>
            </w:r>
            <w:r w:rsidR="00185BAF">
              <w:rPr>
                <w:webHidden/>
              </w:rPr>
              <w:t>41</w:t>
            </w:r>
            <w:r w:rsidR="0087146C">
              <w:rPr>
                <w:webHidden/>
              </w:rPr>
              <w:fldChar w:fldCharType="end"/>
            </w:r>
          </w:hyperlink>
        </w:p>
        <w:p w14:paraId="6C7CDB92" w14:textId="54CFFDE2" w:rsidR="0087146C" w:rsidRDefault="00012E64">
          <w:pPr>
            <w:pStyle w:val="TOC2"/>
            <w:rPr>
              <w:rFonts w:asciiTheme="minorHAnsi" w:eastAsiaTheme="minorEastAsia" w:hAnsiTheme="minorHAnsi" w:cstheme="minorBidi"/>
              <w:lang w:eastAsia="en-GB"/>
            </w:rPr>
          </w:pPr>
          <w:hyperlink w:anchor="_Toc106697785" w:history="1">
            <w:r w:rsidR="0087146C" w:rsidRPr="00AD1D4B">
              <w:rPr>
                <w:rStyle w:val="Hyperlink"/>
                <w:rFonts w:eastAsia="Times New Roman"/>
              </w:rPr>
              <w:t>Recruitment</w:t>
            </w:r>
            <w:r w:rsidR="0087146C">
              <w:rPr>
                <w:webHidden/>
              </w:rPr>
              <w:tab/>
            </w:r>
            <w:r w:rsidR="0087146C">
              <w:rPr>
                <w:webHidden/>
              </w:rPr>
              <w:fldChar w:fldCharType="begin"/>
            </w:r>
            <w:r w:rsidR="0087146C">
              <w:rPr>
                <w:webHidden/>
              </w:rPr>
              <w:instrText xml:space="preserve"> PAGEREF _Toc106697785 \h </w:instrText>
            </w:r>
            <w:r w:rsidR="0087146C">
              <w:rPr>
                <w:webHidden/>
              </w:rPr>
            </w:r>
            <w:r w:rsidR="0087146C">
              <w:rPr>
                <w:webHidden/>
              </w:rPr>
              <w:fldChar w:fldCharType="separate"/>
            </w:r>
            <w:r w:rsidR="00185BAF">
              <w:rPr>
                <w:webHidden/>
              </w:rPr>
              <w:t>42</w:t>
            </w:r>
            <w:r w:rsidR="0087146C">
              <w:rPr>
                <w:webHidden/>
              </w:rPr>
              <w:fldChar w:fldCharType="end"/>
            </w:r>
          </w:hyperlink>
        </w:p>
        <w:p w14:paraId="0D006515" w14:textId="4A4BA403" w:rsidR="0087146C" w:rsidRDefault="00012E64">
          <w:pPr>
            <w:pStyle w:val="TOC3"/>
            <w:tabs>
              <w:tab w:val="right" w:leader="dot" w:pos="9628"/>
            </w:tabs>
            <w:rPr>
              <w:rFonts w:eastAsiaTheme="minorEastAsia"/>
              <w:noProof/>
              <w:lang w:eastAsia="en-GB"/>
            </w:rPr>
          </w:pPr>
          <w:hyperlink w:anchor="_Toc106697786" w:history="1">
            <w:r w:rsidR="0087146C" w:rsidRPr="00AD1D4B">
              <w:rPr>
                <w:rStyle w:val="Hyperlink"/>
                <w:noProof/>
              </w:rPr>
              <w:t>Work Stream 1: Longitudinal patient case-studies</w:t>
            </w:r>
            <w:r w:rsidR="0087146C">
              <w:rPr>
                <w:noProof/>
                <w:webHidden/>
              </w:rPr>
              <w:tab/>
            </w:r>
            <w:r w:rsidR="0087146C">
              <w:rPr>
                <w:noProof/>
                <w:webHidden/>
              </w:rPr>
              <w:fldChar w:fldCharType="begin"/>
            </w:r>
            <w:r w:rsidR="0087146C">
              <w:rPr>
                <w:noProof/>
                <w:webHidden/>
              </w:rPr>
              <w:instrText xml:space="preserve"> PAGEREF _Toc106697786 \h </w:instrText>
            </w:r>
            <w:r w:rsidR="0087146C">
              <w:rPr>
                <w:noProof/>
                <w:webHidden/>
              </w:rPr>
            </w:r>
            <w:r w:rsidR="0087146C">
              <w:rPr>
                <w:noProof/>
                <w:webHidden/>
              </w:rPr>
              <w:fldChar w:fldCharType="separate"/>
            </w:r>
            <w:r w:rsidR="00185BAF">
              <w:rPr>
                <w:noProof/>
                <w:webHidden/>
              </w:rPr>
              <w:t>42</w:t>
            </w:r>
            <w:r w:rsidR="0087146C">
              <w:rPr>
                <w:noProof/>
                <w:webHidden/>
              </w:rPr>
              <w:fldChar w:fldCharType="end"/>
            </w:r>
          </w:hyperlink>
        </w:p>
        <w:p w14:paraId="63327F9D" w14:textId="52DFE9EB" w:rsidR="0087146C" w:rsidRDefault="00012E64">
          <w:pPr>
            <w:pStyle w:val="TOC3"/>
            <w:tabs>
              <w:tab w:val="right" w:leader="dot" w:pos="9628"/>
            </w:tabs>
            <w:rPr>
              <w:rFonts w:eastAsiaTheme="minorEastAsia"/>
              <w:noProof/>
              <w:lang w:eastAsia="en-GB"/>
            </w:rPr>
          </w:pPr>
          <w:hyperlink w:anchor="_Toc106697787" w:history="1">
            <w:r w:rsidR="0087146C" w:rsidRPr="00AD1D4B">
              <w:rPr>
                <w:rStyle w:val="Hyperlink"/>
                <w:noProof/>
                <w:lang w:val="en-US"/>
              </w:rPr>
              <w:t>Work Stream 2: Interviews with Bereaved Family Care Givers</w:t>
            </w:r>
            <w:r w:rsidR="0087146C">
              <w:rPr>
                <w:noProof/>
                <w:webHidden/>
              </w:rPr>
              <w:tab/>
            </w:r>
            <w:r w:rsidR="0087146C">
              <w:rPr>
                <w:noProof/>
                <w:webHidden/>
              </w:rPr>
              <w:fldChar w:fldCharType="begin"/>
            </w:r>
            <w:r w:rsidR="0087146C">
              <w:rPr>
                <w:noProof/>
                <w:webHidden/>
              </w:rPr>
              <w:instrText xml:space="preserve"> PAGEREF _Toc106697787 \h </w:instrText>
            </w:r>
            <w:r w:rsidR="0087146C">
              <w:rPr>
                <w:noProof/>
                <w:webHidden/>
              </w:rPr>
            </w:r>
            <w:r w:rsidR="0087146C">
              <w:rPr>
                <w:noProof/>
                <w:webHidden/>
              </w:rPr>
              <w:fldChar w:fldCharType="separate"/>
            </w:r>
            <w:r w:rsidR="00185BAF">
              <w:rPr>
                <w:noProof/>
                <w:webHidden/>
              </w:rPr>
              <w:t>45</w:t>
            </w:r>
            <w:r w:rsidR="0087146C">
              <w:rPr>
                <w:noProof/>
                <w:webHidden/>
              </w:rPr>
              <w:fldChar w:fldCharType="end"/>
            </w:r>
          </w:hyperlink>
        </w:p>
        <w:p w14:paraId="23569197" w14:textId="731DCC9C" w:rsidR="0087146C" w:rsidRDefault="00012E64">
          <w:pPr>
            <w:pStyle w:val="TOC2"/>
            <w:rPr>
              <w:rFonts w:asciiTheme="minorHAnsi" w:eastAsiaTheme="minorEastAsia" w:hAnsiTheme="minorHAnsi" w:cstheme="minorBidi"/>
              <w:lang w:eastAsia="en-GB"/>
            </w:rPr>
          </w:pPr>
          <w:hyperlink w:anchor="_Toc106697788" w:history="1">
            <w:r w:rsidR="0087146C" w:rsidRPr="00AD1D4B">
              <w:rPr>
                <w:rStyle w:val="Hyperlink"/>
                <w:lang w:val="en-US"/>
              </w:rPr>
              <w:t>WS1 and Work Stream 2: Consent</w:t>
            </w:r>
            <w:r w:rsidR="0087146C">
              <w:rPr>
                <w:webHidden/>
              </w:rPr>
              <w:tab/>
            </w:r>
            <w:r w:rsidR="0087146C">
              <w:rPr>
                <w:webHidden/>
              </w:rPr>
              <w:fldChar w:fldCharType="begin"/>
            </w:r>
            <w:r w:rsidR="0087146C">
              <w:rPr>
                <w:webHidden/>
              </w:rPr>
              <w:instrText xml:space="preserve"> PAGEREF _Toc106697788 \h </w:instrText>
            </w:r>
            <w:r w:rsidR="0087146C">
              <w:rPr>
                <w:webHidden/>
              </w:rPr>
            </w:r>
            <w:r w:rsidR="0087146C">
              <w:rPr>
                <w:webHidden/>
              </w:rPr>
              <w:fldChar w:fldCharType="separate"/>
            </w:r>
            <w:r w:rsidR="00185BAF">
              <w:rPr>
                <w:webHidden/>
              </w:rPr>
              <w:t>46</w:t>
            </w:r>
            <w:r w:rsidR="0087146C">
              <w:rPr>
                <w:webHidden/>
              </w:rPr>
              <w:fldChar w:fldCharType="end"/>
            </w:r>
          </w:hyperlink>
        </w:p>
        <w:p w14:paraId="4B1C0261" w14:textId="593F809F" w:rsidR="0087146C" w:rsidRDefault="00012E64">
          <w:pPr>
            <w:pStyle w:val="TOC2"/>
            <w:rPr>
              <w:rFonts w:asciiTheme="minorHAnsi" w:eastAsiaTheme="minorEastAsia" w:hAnsiTheme="minorHAnsi" w:cstheme="minorBidi"/>
              <w:lang w:eastAsia="en-GB"/>
            </w:rPr>
          </w:pPr>
          <w:hyperlink w:anchor="_Toc106697789" w:history="1">
            <w:r w:rsidR="0087146C" w:rsidRPr="00AD1D4B">
              <w:rPr>
                <w:rStyle w:val="Hyperlink"/>
                <w:rFonts w:eastAsiaTheme="majorEastAsia" w:cstheme="majorBidi"/>
                <w:lang w:val="en-US"/>
              </w:rPr>
              <w:t>Data collection</w:t>
            </w:r>
            <w:r w:rsidR="0087146C">
              <w:rPr>
                <w:webHidden/>
              </w:rPr>
              <w:tab/>
            </w:r>
            <w:r w:rsidR="0087146C">
              <w:rPr>
                <w:webHidden/>
              </w:rPr>
              <w:fldChar w:fldCharType="begin"/>
            </w:r>
            <w:r w:rsidR="0087146C">
              <w:rPr>
                <w:webHidden/>
              </w:rPr>
              <w:instrText xml:space="preserve"> PAGEREF _Toc106697789 \h </w:instrText>
            </w:r>
            <w:r w:rsidR="0087146C">
              <w:rPr>
                <w:webHidden/>
              </w:rPr>
            </w:r>
            <w:r w:rsidR="0087146C">
              <w:rPr>
                <w:webHidden/>
              </w:rPr>
              <w:fldChar w:fldCharType="separate"/>
            </w:r>
            <w:r w:rsidR="00185BAF">
              <w:rPr>
                <w:webHidden/>
              </w:rPr>
              <w:t>47</w:t>
            </w:r>
            <w:r w:rsidR="0087146C">
              <w:rPr>
                <w:webHidden/>
              </w:rPr>
              <w:fldChar w:fldCharType="end"/>
            </w:r>
          </w:hyperlink>
        </w:p>
        <w:p w14:paraId="0C9429BE" w14:textId="743628A7" w:rsidR="0087146C" w:rsidRDefault="00012E64">
          <w:pPr>
            <w:pStyle w:val="TOC2"/>
            <w:rPr>
              <w:rFonts w:asciiTheme="minorHAnsi" w:eastAsiaTheme="minorEastAsia" w:hAnsiTheme="minorHAnsi" w:cstheme="minorBidi"/>
              <w:lang w:eastAsia="en-GB"/>
            </w:rPr>
          </w:pPr>
          <w:hyperlink w:anchor="_Toc106697790" w:history="1">
            <w:r w:rsidR="0087146C" w:rsidRPr="00AD1D4B">
              <w:rPr>
                <w:rStyle w:val="Hyperlink"/>
                <w:rFonts w:eastAsiaTheme="majorEastAsia" w:cstheme="majorBidi"/>
                <w:lang w:val="en-US"/>
              </w:rPr>
              <w:t>Case studies WS1</w:t>
            </w:r>
            <w:r w:rsidR="0087146C">
              <w:rPr>
                <w:webHidden/>
              </w:rPr>
              <w:tab/>
            </w:r>
            <w:r w:rsidR="0087146C">
              <w:rPr>
                <w:webHidden/>
              </w:rPr>
              <w:fldChar w:fldCharType="begin"/>
            </w:r>
            <w:r w:rsidR="0087146C">
              <w:rPr>
                <w:webHidden/>
              </w:rPr>
              <w:instrText xml:space="preserve"> PAGEREF _Toc106697790 \h </w:instrText>
            </w:r>
            <w:r w:rsidR="0087146C">
              <w:rPr>
                <w:webHidden/>
              </w:rPr>
            </w:r>
            <w:r w:rsidR="0087146C">
              <w:rPr>
                <w:webHidden/>
              </w:rPr>
              <w:fldChar w:fldCharType="separate"/>
            </w:r>
            <w:r w:rsidR="00185BAF">
              <w:rPr>
                <w:webHidden/>
              </w:rPr>
              <w:t>47</w:t>
            </w:r>
            <w:r w:rsidR="0087146C">
              <w:rPr>
                <w:webHidden/>
              </w:rPr>
              <w:fldChar w:fldCharType="end"/>
            </w:r>
          </w:hyperlink>
        </w:p>
        <w:p w14:paraId="2B122415" w14:textId="5CC28727" w:rsidR="0087146C" w:rsidRDefault="00012E64">
          <w:pPr>
            <w:pStyle w:val="TOC2"/>
            <w:rPr>
              <w:rFonts w:asciiTheme="minorHAnsi" w:eastAsiaTheme="minorEastAsia" w:hAnsiTheme="minorHAnsi" w:cstheme="minorBidi"/>
              <w:lang w:eastAsia="en-GB"/>
            </w:rPr>
          </w:pPr>
          <w:hyperlink w:anchor="_Toc106697791" w:history="1">
            <w:r w:rsidR="0087146C" w:rsidRPr="00AD1D4B">
              <w:rPr>
                <w:rStyle w:val="Hyperlink"/>
                <w:rFonts w:eastAsiaTheme="majorEastAsia" w:cstheme="majorBidi"/>
                <w:lang w:val="en-US"/>
              </w:rPr>
              <w:t>Medical record review</w:t>
            </w:r>
            <w:r w:rsidR="0087146C">
              <w:rPr>
                <w:webHidden/>
              </w:rPr>
              <w:tab/>
            </w:r>
            <w:r w:rsidR="0087146C">
              <w:rPr>
                <w:webHidden/>
              </w:rPr>
              <w:fldChar w:fldCharType="begin"/>
            </w:r>
            <w:r w:rsidR="0087146C">
              <w:rPr>
                <w:webHidden/>
              </w:rPr>
              <w:instrText xml:space="preserve"> PAGEREF _Toc106697791 \h </w:instrText>
            </w:r>
            <w:r w:rsidR="0087146C">
              <w:rPr>
                <w:webHidden/>
              </w:rPr>
            </w:r>
            <w:r w:rsidR="0087146C">
              <w:rPr>
                <w:webHidden/>
              </w:rPr>
              <w:fldChar w:fldCharType="separate"/>
            </w:r>
            <w:r w:rsidR="00185BAF">
              <w:rPr>
                <w:webHidden/>
              </w:rPr>
              <w:t>49</w:t>
            </w:r>
            <w:r w:rsidR="0087146C">
              <w:rPr>
                <w:webHidden/>
              </w:rPr>
              <w:fldChar w:fldCharType="end"/>
            </w:r>
          </w:hyperlink>
        </w:p>
        <w:p w14:paraId="71FF0D19" w14:textId="2DC7C001" w:rsidR="0087146C" w:rsidRDefault="00012E64">
          <w:pPr>
            <w:pStyle w:val="TOC2"/>
            <w:rPr>
              <w:rFonts w:asciiTheme="minorHAnsi" w:eastAsiaTheme="minorEastAsia" w:hAnsiTheme="minorHAnsi" w:cstheme="minorBidi"/>
              <w:lang w:eastAsia="en-GB"/>
            </w:rPr>
          </w:pPr>
          <w:hyperlink w:anchor="_Toc106697792" w:history="1">
            <w:r w:rsidR="0087146C" w:rsidRPr="00AD1D4B">
              <w:rPr>
                <w:rStyle w:val="Hyperlink"/>
                <w:rFonts w:eastAsiaTheme="majorEastAsia" w:cstheme="majorBidi"/>
                <w:lang w:val="en-US"/>
              </w:rPr>
              <w:t>Work Stream 2: Data collection</w:t>
            </w:r>
            <w:r w:rsidR="0087146C">
              <w:rPr>
                <w:webHidden/>
              </w:rPr>
              <w:tab/>
            </w:r>
            <w:r w:rsidR="0087146C">
              <w:rPr>
                <w:webHidden/>
              </w:rPr>
              <w:fldChar w:fldCharType="begin"/>
            </w:r>
            <w:r w:rsidR="0087146C">
              <w:rPr>
                <w:webHidden/>
              </w:rPr>
              <w:instrText xml:space="preserve"> PAGEREF _Toc106697792 \h </w:instrText>
            </w:r>
            <w:r w:rsidR="0087146C">
              <w:rPr>
                <w:webHidden/>
              </w:rPr>
            </w:r>
            <w:r w:rsidR="0087146C">
              <w:rPr>
                <w:webHidden/>
              </w:rPr>
              <w:fldChar w:fldCharType="separate"/>
            </w:r>
            <w:r w:rsidR="00185BAF">
              <w:rPr>
                <w:webHidden/>
              </w:rPr>
              <w:t>50</w:t>
            </w:r>
            <w:r w:rsidR="0087146C">
              <w:rPr>
                <w:webHidden/>
              </w:rPr>
              <w:fldChar w:fldCharType="end"/>
            </w:r>
          </w:hyperlink>
        </w:p>
        <w:p w14:paraId="60A65F42" w14:textId="631DC239" w:rsidR="0087146C" w:rsidRDefault="00012E64">
          <w:pPr>
            <w:pStyle w:val="TOC2"/>
            <w:rPr>
              <w:rFonts w:asciiTheme="minorHAnsi" w:eastAsiaTheme="minorEastAsia" w:hAnsiTheme="minorHAnsi" w:cstheme="minorBidi"/>
              <w:lang w:eastAsia="en-GB"/>
            </w:rPr>
          </w:pPr>
          <w:hyperlink w:anchor="_Toc106697793" w:history="1">
            <w:r w:rsidR="0087146C" w:rsidRPr="00AD1D4B">
              <w:rPr>
                <w:rStyle w:val="Hyperlink"/>
                <w:rFonts w:eastAsiaTheme="majorEastAsia" w:cstheme="majorBidi"/>
                <w:lang w:val="en-US"/>
              </w:rPr>
              <w:t>Interpreters and transcription of interviews</w:t>
            </w:r>
            <w:r w:rsidR="0087146C">
              <w:rPr>
                <w:webHidden/>
              </w:rPr>
              <w:tab/>
            </w:r>
            <w:r w:rsidR="0087146C">
              <w:rPr>
                <w:webHidden/>
              </w:rPr>
              <w:fldChar w:fldCharType="begin"/>
            </w:r>
            <w:r w:rsidR="0087146C">
              <w:rPr>
                <w:webHidden/>
              </w:rPr>
              <w:instrText xml:space="preserve"> PAGEREF _Toc106697793 \h </w:instrText>
            </w:r>
            <w:r w:rsidR="0087146C">
              <w:rPr>
                <w:webHidden/>
              </w:rPr>
            </w:r>
            <w:r w:rsidR="0087146C">
              <w:rPr>
                <w:webHidden/>
              </w:rPr>
              <w:fldChar w:fldCharType="separate"/>
            </w:r>
            <w:r w:rsidR="00185BAF">
              <w:rPr>
                <w:webHidden/>
              </w:rPr>
              <w:t>50</w:t>
            </w:r>
            <w:r w:rsidR="0087146C">
              <w:rPr>
                <w:webHidden/>
              </w:rPr>
              <w:fldChar w:fldCharType="end"/>
            </w:r>
          </w:hyperlink>
        </w:p>
        <w:p w14:paraId="69A14575" w14:textId="07B0F913" w:rsidR="0087146C" w:rsidRDefault="00012E64">
          <w:pPr>
            <w:pStyle w:val="TOC2"/>
            <w:rPr>
              <w:rFonts w:asciiTheme="minorHAnsi" w:eastAsiaTheme="minorEastAsia" w:hAnsiTheme="minorHAnsi" w:cstheme="minorBidi"/>
              <w:lang w:eastAsia="en-GB"/>
            </w:rPr>
          </w:pPr>
          <w:hyperlink w:anchor="_Toc106697794" w:history="1">
            <w:r w:rsidR="0087146C" w:rsidRPr="00AD1D4B">
              <w:rPr>
                <w:rStyle w:val="Hyperlink"/>
                <w:rFonts w:eastAsiaTheme="majorEastAsia" w:cstheme="majorBidi"/>
                <w:lang w:val="en-US"/>
              </w:rPr>
              <w:t>Work Stream 3: Public and professional virtual workshops</w:t>
            </w:r>
            <w:r w:rsidR="0087146C">
              <w:rPr>
                <w:webHidden/>
              </w:rPr>
              <w:tab/>
            </w:r>
            <w:r w:rsidR="0087146C">
              <w:rPr>
                <w:webHidden/>
              </w:rPr>
              <w:fldChar w:fldCharType="begin"/>
            </w:r>
            <w:r w:rsidR="0087146C">
              <w:rPr>
                <w:webHidden/>
              </w:rPr>
              <w:instrText xml:space="preserve"> PAGEREF _Toc106697794 \h </w:instrText>
            </w:r>
            <w:r w:rsidR="0087146C">
              <w:rPr>
                <w:webHidden/>
              </w:rPr>
            </w:r>
            <w:r w:rsidR="0087146C">
              <w:rPr>
                <w:webHidden/>
              </w:rPr>
              <w:fldChar w:fldCharType="separate"/>
            </w:r>
            <w:r w:rsidR="00185BAF">
              <w:rPr>
                <w:webHidden/>
              </w:rPr>
              <w:t>51</w:t>
            </w:r>
            <w:r w:rsidR="0087146C">
              <w:rPr>
                <w:webHidden/>
              </w:rPr>
              <w:fldChar w:fldCharType="end"/>
            </w:r>
          </w:hyperlink>
        </w:p>
        <w:p w14:paraId="6AF29B94" w14:textId="2B5004C0" w:rsidR="0087146C" w:rsidRDefault="00012E64">
          <w:pPr>
            <w:pStyle w:val="TOC2"/>
            <w:rPr>
              <w:rFonts w:asciiTheme="minorHAnsi" w:eastAsiaTheme="minorEastAsia" w:hAnsiTheme="minorHAnsi" w:cstheme="minorBidi"/>
              <w:lang w:eastAsia="en-GB"/>
            </w:rPr>
          </w:pPr>
          <w:hyperlink w:anchor="_Toc106697795" w:history="1">
            <w:r w:rsidR="0087146C" w:rsidRPr="00AD1D4B">
              <w:rPr>
                <w:rStyle w:val="Hyperlink"/>
                <w:rFonts w:eastAsiaTheme="majorEastAsia" w:cstheme="majorBidi"/>
                <w:lang w:val="en-US"/>
              </w:rPr>
              <w:t>Work Stream 3: Sampling and recruitment</w:t>
            </w:r>
            <w:r w:rsidR="0087146C">
              <w:rPr>
                <w:webHidden/>
              </w:rPr>
              <w:tab/>
            </w:r>
            <w:r w:rsidR="0087146C">
              <w:rPr>
                <w:webHidden/>
              </w:rPr>
              <w:fldChar w:fldCharType="begin"/>
            </w:r>
            <w:r w:rsidR="0087146C">
              <w:rPr>
                <w:webHidden/>
              </w:rPr>
              <w:instrText xml:space="preserve"> PAGEREF _Toc106697795 \h </w:instrText>
            </w:r>
            <w:r w:rsidR="0087146C">
              <w:rPr>
                <w:webHidden/>
              </w:rPr>
            </w:r>
            <w:r w:rsidR="0087146C">
              <w:rPr>
                <w:webHidden/>
              </w:rPr>
              <w:fldChar w:fldCharType="separate"/>
            </w:r>
            <w:r w:rsidR="00185BAF">
              <w:rPr>
                <w:webHidden/>
              </w:rPr>
              <w:t>51</w:t>
            </w:r>
            <w:r w:rsidR="0087146C">
              <w:rPr>
                <w:webHidden/>
              </w:rPr>
              <w:fldChar w:fldCharType="end"/>
            </w:r>
          </w:hyperlink>
        </w:p>
        <w:p w14:paraId="78476331" w14:textId="37D31217" w:rsidR="0087146C" w:rsidRDefault="00012E64">
          <w:pPr>
            <w:pStyle w:val="TOC2"/>
            <w:rPr>
              <w:rFonts w:asciiTheme="minorHAnsi" w:eastAsiaTheme="minorEastAsia" w:hAnsiTheme="minorHAnsi" w:cstheme="minorBidi"/>
              <w:lang w:eastAsia="en-GB"/>
            </w:rPr>
          </w:pPr>
          <w:hyperlink w:anchor="_Toc106697796" w:history="1">
            <w:r w:rsidR="0087146C" w:rsidRPr="00AD1D4B">
              <w:rPr>
                <w:rStyle w:val="Hyperlink"/>
                <w:rFonts w:eastAsiaTheme="majorEastAsia" w:cstheme="majorBidi"/>
                <w:lang w:val="en-US"/>
              </w:rPr>
              <w:t>Work Stream 3: Data collection</w:t>
            </w:r>
            <w:r w:rsidR="0087146C">
              <w:rPr>
                <w:webHidden/>
              </w:rPr>
              <w:tab/>
            </w:r>
            <w:r w:rsidR="0087146C">
              <w:rPr>
                <w:webHidden/>
              </w:rPr>
              <w:fldChar w:fldCharType="begin"/>
            </w:r>
            <w:r w:rsidR="0087146C">
              <w:rPr>
                <w:webHidden/>
              </w:rPr>
              <w:instrText xml:space="preserve"> PAGEREF _Toc106697796 \h </w:instrText>
            </w:r>
            <w:r w:rsidR="0087146C">
              <w:rPr>
                <w:webHidden/>
              </w:rPr>
            </w:r>
            <w:r w:rsidR="0087146C">
              <w:rPr>
                <w:webHidden/>
              </w:rPr>
              <w:fldChar w:fldCharType="separate"/>
            </w:r>
            <w:r w:rsidR="00185BAF">
              <w:rPr>
                <w:webHidden/>
              </w:rPr>
              <w:t>51</w:t>
            </w:r>
            <w:r w:rsidR="0087146C">
              <w:rPr>
                <w:webHidden/>
              </w:rPr>
              <w:fldChar w:fldCharType="end"/>
            </w:r>
          </w:hyperlink>
        </w:p>
        <w:p w14:paraId="65B53454" w14:textId="3769DC1D" w:rsidR="0087146C" w:rsidRDefault="00012E64">
          <w:pPr>
            <w:pStyle w:val="TOC2"/>
            <w:rPr>
              <w:rFonts w:asciiTheme="minorHAnsi" w:eastAsiaTheme="minorEastAsia" w:hAnsiTheme="minorHAnsi" w:cstheme="minorBidi"/>
              <w:lang w:eastAsia="en-GB"/>
            </w:rPr>
          </w:pPr>
          <w:hyperlink w:anchor="_Toc106697797" w:history="1">
            <w:r w:rsidR="0087146C" w:rsidRPr="00AD1D4B">
              <w:rPr>
                <w:rStyle w:val="Hyperlink"/>
                <w:rFonts w:eastAsiaTheme="majorEastAsia" w:cstheme="majorBidi"/>
                <w:lang w:val="en-US"/>
              </w:rPr>
              <w:t>Work Stream 3: Process and consent</w:t>
            </w:r>
            <w:r w:rsidR="0087146C">
              <w:rPr>
                <w:webHidden/>
              </w:rPr>
              <w:tab/>
            </w:r>
            <w:r w:rsidR="0087146C">
              <w:rPr>
                <w:webHidden/>
              </w:rPr>
              <w:fldChar w:fldCharType="begin"/>
            </w:r>
            <w:r w:rsidR="0087146C">
              <w:rPr>
                <w:webHidden/>
              </w:rPr>
              <w:instrText xml:space="preserve"> PAGEREF _Toc106697797 \h </w:instrText>
            </w:r>
            <w:r w:rsidR="0087146C">
              <w:rPr>
                <w:webHidden/>
              </w:rPr>
            </w:r>
            <w:r w:rsidR="0087146C">
              <w:rPr>
                <w:webHidden/>
              </w:rPr>
              <w:fldChar w:fldCharType="separate"/>
            </w:r>
            <w:r w:rsidR="00185BAF">
              <w:rPr>
                <w:webHidden/>
              </w:rPr>
              <w:t>52</w:t>
            </w:r>
            <w:r w:rsidR="0087146C">
              <w:rPr>
                <w:webHidden/>
              </w:rPr>
              <w:fldChar w:fldCharType="end"/>
            </w:r>
          </w:hyperlink>
        </w:p>
        <w:p w14:paraId="73A55926" w14:textId="732E239E" w:rsidR="0087146C" w:rsidRDefault="00012E64">
          <w:pPr>
            <w:pStyle w:val="TOC2"/>
            <w:rPr>
              <w:rFonts w:asciiTheme="minorHAnsi" w:eastAsiaTheme="minorEastAsia" w:hAnsiTheme="minorHAnsi" w:cstheme="minorBidi"/>
              <w:lang w:eastAsia="en-GB"/>
            </w:rPr>
          </w:pPr>
          <w:hyperlink w:anchor="_Toc106697798" w:history="1">
            <w:r w:rsidR="0087146C" w:rsidRPr="00AD1D4B">
              <w:rPr>
                <w:rStyle w:val="Hyperlink"/>
                <w:rFonts w:eastAsiaTheme="majorEastAsia" w:cstheme="majorBidi"/>
                <w:lang w:val="en-US"/>
              </w:rPr>
              <w:t>Analysis of Work Stream 1, Work Stream 2 and Work Stream 3: multiple datasets</w:t>
            </w:r>
            <w:r w:rsidR="0087146C">
              <w:rPr>
                <w:webHidden/>
              </w:rPr>
              <w:tab/>
            </w:r>
            <w:r w:rsidR="0087146C">
              <w:rPr>
                <w:webHidden/>
              </w:rPr>
              <w:fldChar w:fldCharType="begin"/>
            </w:r>
            <w:r w:rsidR="0087146C">
              <w:rPr>
                <w:webHidden/>
              </w:rPr>
              <w:instrText xml:space="preserve"> PAGEREF _Toc106697798 \h </w:instrText>
            </w:r>
            <w:r w:rsidR="0087146C">
              <w:rPr>
                <w:webHidden/>
              </w:rPr>
            </w:r>
            <w:r w:rsidR="0087146C">
              <w:rPr>
                <w:webHidden/>
              </w:rPr>
              <w:fldChar w:fldCharType="separate"/>
            </w:r>
            <w:r w:rsidR="00185BAF">
              <w:rPr>
                <w:webHidden/>
              </w:rPr>
              <w:t>52</w:t>
            </w:r>
            <w:r w:rsidR="0087146C">
              <w:rPr>
                <w:webHidden/>
              </w:rPr>
              <w:fldChar w:fldCharType="end"/>
            </w:r>
          </w:hyperlink>
        </w:p>
        <w:p w14:paraId="2959F075" w14:textId="4C19517E" w:rsidR="0087146C" w:rsidRDefault="00012E64">
          <w:pPr>
            <w:pStyle w:val="TOC2"/>
            <w:rPr>
              <w:rFonts w:asciiTheme="minorHAnsi" w:eastAsiaTheme="minorEastAsia" w:hAnsiTheme="minorHAnsi" w:cstheme="minorBidi"/>
              <w:lang w:eastAsia="en-GB"/>
            </w:rPr>
          </w:pPr>
          <w:hyperlink w:anchor="_Toc106697799" w:history="1">
            <w:r w:rsidR="0087146C" w:rsidRPr="00AD1D4B">
              <w:rPr>
                <w:rStyle w:val="Hyperlink"/>
                <w:rFonts w:eastAsiaTheme="majorEastAsia" w:cstheme="majorBidi"/>
                <w:lang w:val="en-US"/>
              </w:rPr>
              <w:t>Work Stream 3: Analysis</w:t>
            </w:r>
            <w:r w:rsidR="0087146C">
              <w:rPr>
                <w:webHidden/>
              </w:rPr>
              <w:tab/>
            </w:r>
            <w:r w:rsidR="0087146C">
              <w:rPr>
                <w:webHidden/>
              </w:rPr>
              <w:fldChar w:fldCharType="begin"/>
            </w:r>
            <w:r w:rsidR="0087146C">
              <w:rPr>
                <w:webHidden/>
              </w:rPr>
              <w:instrText xml:space="preserve"> PAGEREF _Toc106697799 \h </w:instrText>
            </w:r>
            <w:r w:rsidR="0087146C">
              <w:rPr>
                <w:webHidden/>
              </w:rPr>
            </w:r>
            <w:r w:rsidR="0087146C">
              <w:rPr>
                <w:webHidden/>
              </w:rPr>
              <w:fldChar w:fldCharType="separate"/>
            </w:r>
            <w:r w:rsidR="00185BAF">
              <w:rPr>
                <w:webHidden/>
              </w:rPr>
              <w:t>54</w:t>
            </w:r>
            <w:r w:rsidR="0087146C">
              <w:rPr>
                <w:webHidden/>
              </w:rPr>
              <w:fldChar w:fldCharType="end"/>
            </w:r>
          </w:hyperlink>
        </w:p>
        <w:p w14:paraId="7A6A7079" w14:textId="02583A99" w:rsidR="0087146C" w:rsidRDefault="00012E64">
          <w:pPr>
            <w:pStyle w:val="TOC1"/>
            <w:tabs>
              <w:tab w:val="right" w:leader="dot" w:pos="9628"/>
            </w:tabs>
            <w:rPr>
              <w:rFonts w:eastAsiaTheme="minorEastAsia"/>
              <w:noProof/>
              <w:lang w:eastAsia="en-GB"/>
            </w:rPr>
          </w:pPr>
          <w:hyperlink w:anchor="_Toc106697800" w:history="1">
            <w:r w:rsidR="0087146C" w:rsidRPr="00AD1D4B">
              <w:rPr>
                <w:rStyle w:val="Hyperlink"/>
                <w:rFonts w:asciiTheme="majorHAnsi" w:eastAsiaTheme="majorEastAsia" w:hAnsiTheme="majorHAnsi" w:cstheme="majorHAnsi"/>
                <w:noProof/>
              </w:rPr>
              <w:t>Chapter 3: Patient and Public Involvement (PPI)</w:t>
            </w:r>
            <w:r w:rsidR="0087146C">
              <w:rPr>
                <w:noProof/>
                <w:webHidden/>
              </w:rPr>
              <w:tab/>
            </w:r>
            <w:r w:rsidR="0087146C">
              <w:rPr>
                <w:noProof/>
                <w:webHidden/>
              </w:rPr>
              <w:fldChar w:fldCharType="begin"/>
            </w:r>
            <w:r w:rsidR="0087146C">
              <w:rPr>
                <w:noProof/>
                <w:webHidden/>
              </w:rPr>
              <w:instrText xml:space="preserve"> PAGEREF _Toc106697800 \h </w:instrText>
            </w:r>
            <w:r w:rsidR="0087146C">
              <w:rPr>
                <w:noProof/>
                <w:webHidden/>
              </w:rPr>
            </w:r>
            <w:r w:rsidR="0087146C">
              <w:rPr>
                <w:noProof/>
                <w:webHidden/>
              </w:rPr>
              <w:fldChar w:fldCharType="separate"/>
            </w:r>
            <w:r w:rsidR="00185BAF">
              <w:rPr>
                <w:noProof/>
                <w:webHidden/>
              </w:rPr>
              <w:t>55</w:t>
            </w:r>
            <w:r w:rsidR="0087146C">
              <w:rPr>
                <w:noProof/>
                <w:webHidden/>
              </w:rPr>
              <w:fldChar w:fldCharType="end"/>
            </w:r>
          </w:hyperlink>
        </w:p>
        <w:p w14:paraId="6069C618" w14:textId="0DCCC1AC" w:rsidR="0087146C" w:rsidRDefault="00012E64">
          <w:pPr>
            <w:pStyle w:val="TOC2"/>
            <w:rPr>
              <w:rFonts w:asciiTheme="minorHAnsi" w:eastAsiaTheme="minorEastAsia" w:hAnsiTheme="minorHAnsi" w:cstheme="minorBidi"/>
              <w:lang w:eastAsia="en-GB"/>
            </w:rPr>
          </w:pPr>
          <w:hyperlink w:anchor="_Toc106697801" w:history="1">
            <w:r w:rsidR="0087146C" w:rsidRPr="00AD1D4B">
              <w:rPr>
                <w:rStyle w:val="Hyperlink"/>
                <w:rFonts w:eastAsiaTheme="majorEastAsia" w:cstheme="majorBidi"/>
              </w:rPr>
              <w:t>Introduction</w:t>
            </w:r>
            <w:r w:rsidR="0087146C">
              <w:rPr>
                <w:webHidden/>
              </w:rPr>
              <w:tab/>
            </w:r>
            <w:r w:rsidR="0087146C">
              <w:rPr>
                <w:webHidden/>
              </w:rPr>
              <w:fldChar w:fldCharType="begin"/>
            </w:r>
            <w:r w:rsidR="0087146C">
              <w:rPr>
                <w:webHidden/>
              </w:rPr>
              <w:instrText xml:space="preserve"> PAGEREF _Toc106697801 \h </w:instrText>
            </w:r>
            <w:r w:rsidR="0087146C">
              <w:rPr>
                <w:webHidden/>
              </w:rPr>
            </w:r>
            <w:r w:rsidR="0087146C">
              <w:rPr>
                <w:webHidden/>
              </w:rPr>
              <w:fldChar w:fldCharType="separate"/>
            </w:r>
            <w:r w:rsidR="00185BAF">
              <w:rPr>
                <w:webHidden/>
              </w:rPr>
              <w:t>55</w:t>
            </w:r>
            <w:r w:rsidR="0087146C">
              <w:rPr>
                <w:webHidden/>
              </w:rPr>
              <w:fldChar w:fldCharType="end"/>
            </w:r>
          </w:hyperlink>
        </w:p>
        <w:p w14:paraId="54E17589" w14:textId="032E9EE9" w:rsidR="0087146C" w:rsidRDefault="00012E64">
          <w:pPr>
            <w:pStyle w:val="TOC2"/>
            <w:rPr>
              <w:rFonts w:asciiTheme="minorHAnsi" w:eastAsiaTheme="minorEastAsia" w:hAnsiTheme="minorHAnsi" w:cstheme="minorBidi"/>
              <w:lang w:eastAsia="en-GB"/>
            </w:rPr>
          </w:pPr>
          <w:hyperlink w:anchor="_Toc106697802" w:history="1">
            <w:r w:rsidR="0087146C" w:rsidRPr="00AD1D4B">
              <w:rPr>
                <w:rStyle w:val="Hyperlink"/>
                <w:rFonts w:eastAsiaTheme="majorEastAsia" w:cstheme="majorBidi"/>
              </w:rPr>
              <w:t>Pre-award engagement</w:t>
            </w:r>
            <w:r w:rsidR="0087146C">
              <w:rPr>
                <w:webHidden/>
              </w:rPr>
              <w:tab/>
            </w:r>
            <w:r w:rsidR="0087146C">
              <w:rPr>
                <w:webHidden/>
              </w:rPr>
              <w:fldChar w:fldCharType="begin"/>
            </w:r>
            <w:r w:rsidR="0087146C">
              <w:rPr>
                <w:webHidden/>
              </w:rPr>
              <w:instrText xml:space="preserve"> PAGEREF _Toc106697802 \h </w:instrText>
            </w:r>
            <w:r w:rsidR="0087146C">
              <w:rPr>
                <w:webHidden/>
              </w:rPr>
            </w:r>
            <w:r w:rsidR="0087146C">
              <w:rPr>
                <w:webHidden/>
              </w:rPr>
              <w:fldChar w:fldCharType="separate"/>
            </w:r>
            <w:r w:rsidR="00185BAF">
              <w:rPr>
                <w:webHidden/>
              </w:rPr>
              <w:t>55</w:t>
            </w:r>
            <w:r w:rsidR="0087146C">
              <w:rPr>
                <w:webHidden/>
              </w:rPr>
              <w:fldChar w:fldCharType="end"/>
            </w:r>
          </w:hyperlink>
        </w:p>
        <w:p w14:paraId="6866FB68" w14:textId="2E92F656" w:rsidR="0087146C" w:rsidRDefault="00012E64">
          <w:pPr>
            <w:pStyle w:val="TOC2"/>
            <w:rPr>
              <w:rFonts w:asciiTheme="minorHAnsi" w:eastAsiaTheme="minorEastAsia" w:hAnsiTheme="minorHAnsi" w:cstheme="minorBidi"/>
              <w:lang w:eastAsia="en-GB"/>
            </w:rPr>
          </w:pPr>
          <w:hyperlink w:anchor="_Toc106697803" w:history="1">
            <w:r w:rsidR="0087146C" w:rsidRPr="00AD1D4B">
              <w:rPr>
                <w:rStyle w:val="Hyperlink"/>
                <w:rFonts w:eastAsiaTheme="majorEastAsia" w:cstheme="majorBidi"/>
              </w:rPr>
              <w:t>The PCBR group</w:t>
            </w:r>
            <w:r w:rsidR="0087146C">
              <w:rPr>
                <w:webHidden/>
              </w:rPr>
              <w:tab/>
            </w:r>
            <w:r w:rsidR="0087146C">
              <w:rPr>
                <w:webHidden/>
              </w:rPr>
              <w:fldChar w:fldCharType="begin"/>
            </w:r>
            <w:r w:rsidR="0087146C">
              <w:rPr>
                <w:webHidden/>
              </w:rPr>
              <w:instrText xml:space="preserve"> PAGEREF _Toc106697803 \h </w:instrText>
            </w:r>
            <w:r w:rsidR="0087146C">
              <w:rPr>
                <w:webHidden/>
              </w:rPr>
            </w:r>
            <w:r w:rsidR="0087146C">
              <w:rPr>
                <w:webHidden/>
              </w:rPr>
              <w:fldChar w:fldCharType="separate"/>
            </w:r>
            <w:r w:rsidR="00185BAF">
              <w:rPr>
                <w:webHidden/>
              </w:rPr>
              <w:t>55</w:t>
            </w:r>
            <w:r w:rsidR="0087146C">
              <w:rPr>
                <w:webHidden/>
              </w:rPr>
              <w:fldChar w:fldCharType="end"/>
            </w:r>
          </w:hyperlink>
        </w:p>
        <w:p w14:paraId="51C7C189" w14:textId="570102BB" w:rsidR="0087146C" w:rsidRDefault="00012E64">
          <w:pPr>
            <w:pStyle w:val="TOC2"/>
            <w:rPr>
              <w:rFonts w:asciiTheme="minorHAnsi" w:eastAsiaTheme="minorEastAsia" w:hAnsiTheme="minorHAnsi" w:cstheme="minorBidi"/>
              <w:lang w:eastAsia="en-GB"/>
            </w:rPr>
          </w:pPr>
          <w:hyperlink w:anchor="_Toc106697804" w:history="1">
            <w:r w:rsidR="0087146C" w:rsidRPr="00AD1D4B">
              <w:rPr>
                <w:rStyle w:val="Hyperlink"/>
              </w:rPr>
              <w:t>Enhancing interpretations of findings</w:t>
            </w:r>
            <w:r w:rsidR="0087146C">
              <w:rPr>
                <w:webHidden/>
              </w:rPr>
              <w:tab/>
            </w:r>
            <w:r w:rsidR="0087146C">
              <w:rPr>
                <w:webHidden/>
              </w:rPr>
              <w:fldChar w:fldCharType="begin"/>
            </w:r>
            <w:r w:rsidR="0087146C">
              <w:rPr>
                <w:webHidden/>
              </w:rPr>
              <w:instrText xml:space="preserve"> PAGEREF _Toc106697804 \h </w:instrText>
            </w:r>
            <w:r w:rsidR="0087146C">
              <w:rPr>
                <w:webHidden/>
              </w:rPr>
            </w:r>
            <w:r w:rsidR="0087146C">
              <w:rPr>
                <w:webHidden/>
              </w:rPr>
              <w:fldChar w:fldCharType="separate"/>
            </w:r>
            <w:r w:rsidR="00185BAF">
              <w:rPr>
                <w:webHidden/>
              </w:rPr>
              <w:t>57</w:t>
            </w:r>
            <w:r w:rsidR="0087146C">
              <w:rPr>
                <w:webHidden/>
              </w:rPr>
              <w:fldChar w:fldCharType="end"/>
            </w:r>
          </w:hyperlink>
        </w:p>
        <w:p w14:paraId="77588F2A" w14:textId="5CD2A755" w:rsidR="0087146C" w:rsidRDefault="00012E64">
          <w:pPr>
            <w:pStyle w:val="TOC2"/>
            <w:rPr>
              <w:rFonts w:asciiTheme="minorHAnsi" w:eastAsiaTheme="minorEastAsia" w:hAnsiTheme="minorHAnsi" w:cstheme="minorBidi"/>
              <w:lang w:eastAsia="en-GB"/>
            </w:rPr>
          </w:pPr>
          <w:hyperlink w:anchor="_Toc106697805" w:history="1">
            <w:r w:rsidR="0087146C" w:rsidRPr="00AD1D4B">
              <w:rPr>
                <w:rStyle w:val="Hyperlink"/>
                <w:rFonts w:eastAsiaTheme="majorEastAsia" w:cstheme="majorBidi"/>
              </w:rPr>
              <w:t>Work Stream 3: Development of narratives and workbooks</w:t>
            </w:r>
            <w:r w:rsidR="0087146C">
              <w:rPr>
                <w:webHidden/>
              </w:rPr>
              <w:tab/>
            </w:r>
            <w:r w:rsidR="0087146C">
              <w:rPr>
                <w:webHidden/>
              </w:rPr>
              <w:fldChar w:fldCharType="begin"/>
            </w:r>
            <w:r w:rsidR="0087146C">
              <w:rPr>
                <w:webHidden/>
              </w:rPr>
              <w:instrText xml:space="preserve"> PAGEREF _Toc106697805 \h </w:instrText>
            </w:r>
            <w:r w:rsidR="0087146C">
              <w:rPr>
                <w:webHidden/>
              </w:rPr>
            </w:r>
            <w:r w:rsidR="0087146C">
              <w:rPr>
                <w:webHidden/>
              </w:rPr>
              <w:fldChar w:fldCharType="separate"/>
            </w:r>
            <w:r w:rsidR="00185BAF">
              <w:rPr>
                <w:webHidden/>
              </w:rPr>
              <w:t>58</w:t>
            </w:r>
            <w:r w:rsidR="0087146C">
              <w:rPr>
                <w:webHidden/>
              </w:rPr>
              <w:fldChar w:fldCharType="end"/>
            </w:r>
          </w:hyperlink>
        </w:p>
        <w:p w14:paraId="1B793BC4" w14:textId="186A5B32" w:rsidR="0087146C" w:rsidRDefault="00012E64">
          <w:pPr>
            <w:pStyle w:val="TOC2"/>
            <w:rPr>
              <w:rFonts w:asciiTheme="minorHAnsi" w:eastAsiaTheme="minorEastAsia" w:hAnsiTheme="minorHAnsi" w:cstheme="minorBidi"/>
              <w:lang w:eastAsia="en-GB"/>
            </w:rPr>
          </w:pPr>
          <w:hyperlink w:anchor="_Toc106697806" w:history="1">
            <w:r w:rsidR="0087146C" w:rsidRPr="00AD1D4B">
              <w:rPr>
                <w:rStyle w:val="Hyperlink"/>
                <w:rFonts w:eastAsiaTheme="majorEastAsia" w:cstheme="majorBidi"/>
              </w:rPr>
              <w:t>Providing additional cultural contextualisation for all aspects of the study.</w:t>
            </w:r>
            <w:r w:rsidR="0087146C">
              <w:rPr>
                <w:webHidden/>
              </w:rPr>
              <w:tab/>
            </w:r>
            <w:r w:rsidR="0087146C">
              <w:rPr>
                <w:webHidden/>
              </w:rPr>
              <w:fldChar w:fldCharType="begin"/>
            </w:r>
            <w:r w:rsidR="0087146C">
              <w:rPr>
                <w:webHidden/>
              </w:rPr>
              <w:instrText xml:space="preserve"> PAGEREF _Toc106697806 \h </w:instrText>
            </w:r>
            <w:r w:rsidR="0087146C">
              <w:rPr>
                <w:webHidden/>
              </w:rPr>
            </w:r>
            <w:r w:rsidR="0087146C">
              <w:rPr>
                <w:webHidden/>
              </w:rPr>
              <w:fldChar w:fldCharType="separate"/>
            </w:r>
            <w:r w:rsidR="00185BAF">
              <w:rPr>
                <w:webHidden/>
              </w:rPr>
              <w:t>58</w:t>
            </w:r>
            <w:r w:rsidR="0087146C">
              <w:rPr>
                <w:webHidden/>
              </w:rPr>
              <w:fldChar w:fldCharType="end"/>
            </w:r>
          </w:hyperlink>
        </w:p>
        <w:p w14:paraId="14F68B46" w14:textId="4339558C" w:rsidR="0087146C" w:rsidRDefault="00012E64">
          <w:pPr>
            <w:pStyle w:val="TOC2"/>
            <w:rPr>
              <w:rFonts w:asciiTheme="minorHAnsi" w:eastAsiaTheme="minorEastAsia" w:hAnsiTheme="minorHAnsi" w:cstheme="minorBidi"/>
              <w:lang w:eastAsia="en-GB"/>
            </w:rPr>
          </w:pPr>
          <w:hyperlink w:anchor="_Toc106697807" w:history="1">
            <w:r w:rsidR="0087146C" w:rsidRPr="00AD1D4B">
              <w:rPr>
                <w:rStyle w:val="Hyperlink"/>
                <w:rFonts w:eastAsiaTheme="majorEastAsia" w:cstheme="majorBidi"/>
              </w:rPr>
              <w:t>Community engagement, recruitment, dissemination and outputs</w:t>
            </w:r>
            <w:r w:rsidR="0087146C">
              <w:rPr>
                <w:webHidden/>
              </w:rPr>
              <w:tab/>
            </w:r>
            <w:r w:rsidR="0087146C">
              <w:rPr>
                <w:webHidden/>
              </w:rPr>
              <w:fldChar w:fldCharType="begin"/>
            </w:r>
            <w:r w:rsidR="0087146C">
              <w:rPr>
                <w:webHidden/>
              </w:rPr>
              <w:instrText xml:space="preserve"> PAGEREF _Toc106697807 \h </w:instrText>
            </w:r>
            <w:r w:rsidR="0087146C">
              <w:rPr>
                <w:webHidden/>
              </w:rPr>
            </w:r>
            <w:r w:rsidR="0087146C">
              <w:rPr>
                <w:webHidden/>
              </w:rPr>
              <w:fldChar w:fldCharType="separate"/>
            </w:r>
            <w:r w:rsidR="00185BAF">
              <w:rPr>
                <w:webHidden/>
              </w:rPr>
              <w:t>58</w:t>
            </w:r>
            <w:r w:rsidR="0087146C">
              <w:rPr>
                <w:webHidden/>
              </w:rPr>
              <w:fldChar w:fldCharType="end"/>
            </w:r>
          </w:hyperlink>
        </w:p>
        <w:p w14:paraId="5149B154" w14:textId="0993A12C" w:rsidR="0087146C" w:rsidRDefault="00012E64">
          <w:pPr>
            <w:pStyle w:val="TOC2"/>
            <w:rPr>
              <w:rFonts w:asciiTheme="minorHAnsi" w:eastAsiaTheme="minorEastAsia" w:hAnsiTheme="minorHAnsi" w:cstheme="minorBidi"/>
              <w:lang w:eastAsia="en-GB"/>
            </w:rPr>
          </w:pPr>
          <w:hyperlink w:anchor="_Toc106697808" w:history="1">
            <w:r w:rsidR="0087146C" w:rsidRPr="00AD1D4B">
              <w:rPr>
                <w:rStyle w:val="Hyperlink"/>
                <w:rFonts w:eastAsiaTheme="majorEastAsia" w:cstheme="majorBidi"/>
              </w:rPr>
              <w:t>Final report and future research</w:t>
            </w:r>
            <w:r w:rsidR="0087146C">
              <w:rPr>
                <w:webHidden/>
              </w:rPr>
              <w:tab/>
            </w:r>
            <w:r w:rsidR="0087146C">
              <w:rPr>
                <w:webHidden/>
              </w:rPr>
              <w:fldChar w:fldCharType="begin"/>
            </w:r>
            <w:r w:rsidR="0087146C">
              <w:rPr>
                <w:webHidden/>
              </w:rPr>
              <w:instrText xml:space="preserve"> PAGEREF _Toc106697808 \h </w:instrText>
            </w:r>
            <w:r w:rsidR="0087146C">
              <w:rPr>
                <w:webHidden/>
              </w:rPr>
            </w:r>
            <w:r w:rsidR="0087146C">
              <w:rPr>
                <w:webHidden/>
              </w:rPr>
              <w:fldChar w:fldCharType="separate"/>
            </w:r>
            <w:r w:rsidR="00185BAF">
              <w:rPr>
                <w:webHidden/>
              </w:rPr>
              <w:t>59</w:t>
            </w:r>
            <w:r w:rsidR="0087146C">
              <w:rPr>
                <w:webHidden/>
              </w:rPr>
              <w:fldChar w:fldCharType="end"/>
            </w:r>
          </w:hyperlink>
        </w:p>
        <w:p w14:paraId="1324C680" w14:textId="7F9AC922" w:rsidR="0087146C" w:rsidRDefault="00012E64">
          <w:pPr>
            <w:pStyle w:val="TOC1"/>
            <w:tabs>
              <w:tab w:val="right" w:leader="dot" w:pos="9628"/>
            </w:tabs>
            <w:rPr>
              <w:rFonts w:eastAsiaTheme="minorEastAsia"/>
              <w:noProof/>
              <w:lang w:eastAsia="en-GB"/>
            </w:rPr>
          </w:pPr>
          <w:hyperlink w:anchor="_Toc106697809" w:history="1">
            <w:r w:rsidR="0087146C" w:rsidRPr="00AD1D4B">
              <w:rPr>
                <w:rStyle w:val="Hyperlink"/>
                <w:rFonts w:ascii="Calibri Light" w:eastAsia="Times New Roman" w:hAnsi="Calibri Light" w:cs="Times New Roman"/>
                <w:noProof/>
              </w:rPr>
              <w:t>Chapter 4: Participant Recruitment and Demographics</w:t>
            </w:r>
            <w:r w:rsidR="0087146C">
              <w:rPr>
                <w:noProof/>
                <w:webHidden/>
              </w:rPr>
              <w:tab/>
            </w:r>
            <w:r w:rsidR="0087146C">
              <w:rPr>
                <w:noProof/>
                <w:webHidden/>
              </w:rPr>
              <w:fldChar w:fldCharType="begin"/>
            </w:r>
            <w:r w:rsidR="0087146C">
              <w:rPr>
                <w:noProof/>
                <w:webHidden/>
              </w:rPr>
              <w:instrText xml:space="preserve"> PAGEREF _Toc106697809 \h </w:instrText>
            </w:r>
            <w:r w:rsidR="0087146C">
              <w:rPr>
                <w:noProof/>
                <w:webHidden/>
              </w:rPr>
            </w:r>
            <w:r w:rsidR="0087146C">
              <w:rPr>
                <w:noProof/>
                <w:webHidden/>
              </w:rPr>
              <w:fldChar w:fldCharType="separate"/>
            </w:r>
            <w:r w:rsidR="00185BAF">
              <w:rPr>
                <w:noProof/>
                <w:webHidden/>
              </w:rPr>
              <w:t>60</w:t>
            </w:r>
            <w:r w:rsidR="0087146C">
              <w:rPr>
                <w:noProof/>
                <w:webHidden/>
              </w:rPr>
              <w:fldChar w:fldCharType="end"/>
            </w:r>
          </w:hyperlink>
        </w:p>
        <w:p w14:paraId="04DFCDF5" w14:textId="7023075F" w:rsidR="0087146C" w:rsidRDefault="00012E64">
          <w:pPr>
            <w:pStyle w:val="TOC2"/>
            <w:rPr>
              <w:rFonts w:asciiTheme="minorHAnsi" w:eastAsiaTheme="minorEastAsia" w:hAnsiTheme="minorHAnsi" w:cstheme="minorBidi"/>
              <w:lang w:eastAsia="en-GB"/>
            </w:rPr>
          </w:pPr>
          <w:hyperlink w:anchor="_Toc106697810" w:history="1">
            <w:r w:rsidR="0087146C" w:rsidRPr="00AD1D4B">
              <w:rPr>
                <w:rStyle w:val="Hyperlink"/>
                <w:rFonts w:eastAsia="Times New Roman"/>
              </w:rPr>
              <w:t>Work Stream 1: Patient centred case studies</w:t>
            </w:r>
            <w:r w:rsidR="0087146C">
              <w:rPr>
                <w:webHidden/>
              </w:rPr>
              <w:tab/>
            </w:r>
            <w:r w:rsidR="0087146C">
              <w:rPr>
                <w:webHidden/>
              </w:rPr>
              <w:fldChar w:fldCharType="begin"/>
            </w:r>
            <w:r w:rsidR="0087146C">
              <w:rPr>
                <w:webHidden/>
              </w:rPr>
              <w:instrText xml:space="preserve"> PAGEREF _Toc106697810 \h </w:instrText>
            </w:r>
            <w:r w:rsidR="0087146C">
              <w:rPr>
                <w:webHidden/>
              </w:rPr>
            </w:r>
            <w:r w:rsidR="0087146C">
              <w:rPr>
                <w:webHidden/>
              </w:rPr>
              <w:fldChar w:fldCharType="separate"/>
            </w:r>
            <w:r w:rsidR="00185BAF">
              <w:rPr>
                <w:webHidden/>
              </w:rPr>
              <w:t>60</w:t>
            </w:r>
            <w:r w:rsidR="0087146C">
              <w:rPr>
                <w:webHidden/>
              </w:rPr>
              <w:fldChar w:fldCharType="end"/>
            </w:r>
          </w:hyperlink>
        </w:p>
        <w:p w14:paraId="18ECDEFD" w14:textId="0ADEC89E" w:rsidR="0087146C" w:rsidRDefault="00012E64">
          <w:pPr>
            <w:pStyle w:val="TOC2"/>
            <w:rPr>
              <w:rFonts w:asciiTheme="minorHAnsi" w:eastAsiaTheme="minorEastAsia" w:hAnsiTheme="minorHAnsi" w:cstheme="minorBidi"/>
              <w:lang w:eastAsia="en-GB"/>
            </w:rPr>
          </w:pPr>
          <w:hyperlink w:anchor="_Toc106697811" w:history="1">
            <w:r w:rsidR="0087146C" w:rsidRPr="00AD1D4B">
              <w:rPr>
                <w:rStyle w:val="Hyperlink"/>
                <w:rFonts w:ascii="Calibri Light" w:eastAsia="Calibri" w:hAnsi="Calibri Light" w:cs="Times New Roman"/>
              </w:rPr>
              <w:t>Work Stream 2: Bereaved Family Care Givers</w:t>
            </w:r>
            <w:r w:rsidR="0087146C">
              <w:rPr>
                <w:webHidden/>
              </w:rPr>
              <w:tab/>
            </w:r>
            <w:r w:rsidR="0087146C">
              <w:rPr>
                <w:webHidden/>
              </w:rPr>
              <w:fldChar w:fldCharType="begin"/>
            </w:r>
            <w:r w:rsidR="0087146C">
              <w:rPr>
                <w:webHidden/>
              </w:rPr>
              <w:instrText xml:space="preserve"> PAGEREF _Toc106697811 \h </w:instrText>
            </w:r>
            <w:r w:rsidR="0087146C">
              <w:rPr>
                <w:webHidden/>
              </w:rPr>
            </w:r>
            <w:r w:rsidR="0087146C">
              <w:rPr>
                <w:webHidden/>
              </w:rPr>
              <w:fldChar w:fldCharType="separate"/>
            </w:r>
            <w:r w:rsidR="00185BAF">
              <w:rPr>
                <w:webHidden/>
              </w:rPr>
              <w:t>65</w:t>
            </w:r>
            <w:r w:rsidR="0087146C">
              <w:rPr>
                <w:webHidden/>
              </w:rPr>
              <w:fldChar w:fldCharType="end"/>
            </w:r>
          </w:hyperlink>
        </w:p>
        <w:p w14:paraId="52333F1D" w14:textId="1FC307AD" w:rsidR="0087146C" w:rsidRDefault="00012E64">
          <w:pPr>
            <w:pStyle w:val="TOC2"/>
            <w:rPr>
              <w:rFonts w:asciiTheme="minorHAnsi" w:eastAsiaTheme="minorEastAsia" w:hAnsiTheme="minorHAnsi" w:cstheme="minorBidi"/>
              <w:lang w:eastAsia="en-GB"/>
            </w:rPr>
          </w:pPr>
          <w:hyperlink w:anchor="_Toc106697812" w:history="1">
            <w:r w:rsidR="0087146C" w:rsidRPr="00AD1D4B">
              <w:rPr>
                <w:rStyle w:val="Hyperlink"/>
                <w:rFonts w:eastAsia="Calibri" w:cstheme="majorBidi"/>
              </w:rPr>
              <w:t>Work Stream 3: Stakeholder workshops</w:t>
            </w:r>
            <w:r w:rsidR="0087146C">
              <w:rPr>
                <w:webHidden/>
              </w:rPr>
              <w:tab/>
            </w:r>
            <w:r w:rsidR="0087146C">
              <w:rPr>
                <w:webHidden/>
              </w:rPr>
              <w:fldChar w:fldCharType="begin"/>
            </w:r>
            <w:r w:rsidR="0087146C">
              <w:rPr>
                <w:webHidden/>
              </w:rPr>
              <w:instrText xml:space="preserve"> PAGEREF _Toc106697812 \h </w:instrText>
            </w:r>
            <w:r w:rsidR="0087146C">
              <w:rPr>
                <w:webHidden/>
              </w:rPr>
            </w:r>
            <w:r w:rsidR="0087146C">
              <w:rPr>
                <w:webHidden/>
              </w:rPr>
              <w:fldChar w:fldCharType="separate"/>
            </w:r>
            <w:r w:rsidR="00185BAF">
              <w:rPr>
                <w:webHidden/>
              </w:rPr>
              <w:t>68</w:t>
            </w:r>
            <w:r w:rsidR="0087146C">
              <w:rPr>
                <w:webHidden/>
              </w:rPr>
              <w:fldChar w:fldCharType="end"/>
            </w:r>
          </w:hyperlink>
        </w:p>
        <w:p w14:paraId="13092603" w14:textId="180A4D1E" w:rsidR="0087146C" w:rsidRDefault="00012E64">
          <w:pPr>
            <w:pStyle w:val="TOC2"/>
            <w:rPr>
              <w:rFonts w:asciiTheme="minorHAnsi" w:eastAsiaTheme="minorEastAsia" w:hAnsiTheme="minorHAnsi" w:cstheme="minorBidi"/>
              <w:lang w:eastAsia="en-GB"/>
            </w:rPr>
          </w:pPr>
          <w:hyperlink w:anchor="_Toc106697813" w:history="1">
            <w:r w:rsidR="0087146C" w:rsidRPr="00AD1D4B">
              <w:rPr>
                <w:rStyle w:val="Hyperlink"/>
                <w:rFonts w:eastAsia="Calibri"/>
              </w:rPr>
              <w:t>Conclusion</w:t>
            </w:r>
            <w:r w:rsidR="0087146C">
              <w:rPr>
                <w:webHidden/>
              </w:rPr>
              <w:tab/>
            </w:r>
            <w:r w:rsidR="0087146C">
              <w:rPr>
                <w:webHidden/>
              </w:rPr>
              <w:fldChar w:fldCharType="begin"/>
            </w:r>
            <w:r w:rsidR="0087146C">
              <w:rPr>
                <w:webHidden/>
              </w:rPr>
              <w:instrText xml:space="preserve"> PAGEREF _Toc106697813 \h </w:instrText>
            </w:r>
            <w:r w:rsidR="0087146C">
              <w:rPr>
                <w:webHidden/>
              </w:rPr>
            </w:r>
            <w:r w:rsidR="0087146C">
              <w:rPr>
                <w:webHidden/>
              </w:rPr>
              <w:fldChar w:fldCharType="separate"/>
            </w:r>
            <w:r w:rsidR="00185BAF">
              <w:rPr>
                <w:webHidden/>
              </w:rPr>
              <w:t>72</w:t>
            </w:r>
            <w:r w:rsidR="0087146C">
              <w:rPr>
                <w:webHidden/>
              </w:rPr>
              <w:fldChar w:fldCharType="end"/>
            </w:r>
          </w:hyperlink>
        </w:p>
        <w:p w14:paraId="6103F8D6" w14:textId="5E3D467F" w:rsidR="0087146C" w:rsidRDefault="00012E64">
          <w:pPr>
            <w:pStyle w:val="TOC1"/>
            <w:tabs>
              <w:tab w:val="right" w:leader="dot" w:pos="9628"/>
            </w:tabs>
            <w:rPr>
              <w:rFonts w:eastAsiaTheme="minorEastAsia"/>
              <w:noProof/>
              <w:lang w:eastAsia="en-GB"/>
            </w:rPr>
          </w:pPr>
          <w:hyperlink w:anchor="_Toc106697814" w:history="1">
            <w:r w:rsidR="0087146C" w:rsidRPr="00AD1D4B">
              <w:rPr>
                <w:rStyle w:val="Hyperlink"/>
                <w:rFonts w:asciiTheme="majorHAnsi" w:eastAsiaTheme="majorEastAsia" w:hAnsiTheme="majorHAnsi" w:cstheme="majorBidi"/>
                <w:noProof/>
              </w:rPr>
              <w:t>Chapter 5: Work Streams 1 and 2: Findings</w:t>
            </w:r>
            <w:r w:rsidR="0087146C">
              <w:rPr>
                <w:noProof/>
                <w:webHidden/>
              </w:rPr>
              <w:tab/>
            </w:r>
            <w:r w:rsidR="0087146C">
              <w:rPr>
                <w:noProof/>
                <w:webHidden/>
              </w:rPr>
              <w:fldChar w:fldCharType="begin"/>
            </w:r>
            <w:r w:rsidR="0087146C">
              <w:rPr>
                <w:noProof/>
                <w:webHidden/>
              </w:rPr>
              <w:instrText xml:space="preserve"> PAGEREF _Toc106697814 \h </w:instrText>
            </w:r>
            <w:r w:rsidR="0087146C">
              <w:rPr>
                <w:noProof/>
                <w:webHidden/>
              </w:rPr>
            </w:r>
            <w:r w:rsidR="0087146C">
              <w:rPr>
                <w:noProof/>
                <w:webHidden/>
              </w:rPr>
              <w:fldChar w:fldCharType="separate"/>
            </w:r>
            <w:r w:rsidR="00185BAF">
              <w:rPr>
                <w:noProof/>
                <w:webHidden/>
              </w:rPr>
              <w:t>73</w:t>
            </w:r>
            <w:r w:rsidR="0087146C">
              <w:rPr>
                <w:noProof/>
                <w:webHidden/>
              </w:rPr>
              <w:fldChar w:fldCharType="end"/>
            </w:r>
          </w:hyperlink>
        </w:p>
        <w:p w14:paraId="706E08F9" w14:textId="6FC664BA" w:rsidR="0087146C" w:rsidRDefault="00012E64">
          <w:pPr>
            <w:pStyle w:val="TOC2"/>
            <w:rPr>
              <w:rFonts w:asciiTheme="minorHAnsi" w:eastAsiaTheme="minorEastAsia" w:hAnsiTheme="minorHAnsi" w:cstheme="minorBidi"/>
              <w:lang w:eastAsia="en-GB"/>
            </w:rPr>
          </w:pPr>
          <w:hyperlink w:anchor="_Toc106697815" w:history="1">
            <w:r w:rsidR="0087146C" w:rsidRPr="00AD1D4B">
              <w:rPr>
                <w:rStyle w:val="Hyperlink"/>
                <w:rFonts w:eastAsiaTheme="majorEastAsia"/>
              </w:rPr>
              <w:t>Introduction</w:t>
            </w:r>
            <w:r w:rsidR="0087146C">
              <w:rPr>
                <w:webHidden/>
              </w:rPr>
              <w:tab/>
            </w:r>
            <w:r w:rsidR="0087146C">
              <w:rPr>
                <w:webHidden/>
              </w:rPr>
              <w:fldChar w:fldCharType="begin"/>
            </w:r>
            <w:r w:rsidR="0087146C">
              <w:rPr>
                <w:webHidden/>
              </w:rPr>
              <w:instrText xml:space="preserve"> PAGEREF _Toc106697815 \h </w:instrText>
            </w:r>
            <w:r w:rsidR="0087146C">
              <w:rPr>
                <w:webHidden/>
              </w:rPr>
            </w:r>
            <w:r w:rsidR="0087146C">
              <w:rPr>
                <w:webHidden/>
              </w:rPr>
              <w:fldChar w:fldCharType="separate"/>
            </w:r>
            <w:r w:rsidR="00185BAF">
              <w:rPr>
                <w:webHidden/>
              </w:rPr>
              <w:t>73</w:t>
            </w:r>
            <w:r w:rsidR="0087146C">
              <w:rPr>
                <w:webHidden/>
              </w:rPr>
              <w:fldChar w:fldCharType="end"/>
            </w:r>
          </w:hyperlink>
        </w:p>
        <w:p w14:paraId="485B337D" w14:textId="291337AC" w:rsidR="0087146C" w:rsidRDefault="00012E64">
          <w:pPr>
            <w:pStyle w:val="TOC2"/>
            <w:rPr>
              <w:rFonts w:asciiTheme="minorHAnsi" w:eastAsiaTheme="minorEastAsia" w:hAnsiTheme="minorHAnsi" w:cstheme="minorBidi"/>
              <w:lang w:eastAsia="en-GB"/>
            </w:rPr>
          </w:pPr>
          <w:hyperlink w:anchor="_Toc106697816" w:history="1">
            <w:r w:rsidR="0087146C" w:rsidRPr="00AD1D4B">
              <w:rPr>
                <w:rStyle w:val="Hyperlink"/>
                <w:rFonts w:eastAsiaTheme="majorEastAsia" w:cstheme="majorBidi"/>
              </w:rPr>
              <w:t>Patient and family care givers’ perspectives of end-of-life care planning</w:t>
            </w:r>
            <w:r w:rsidR="0087146C">
              <w:rPr>
                <w:webHidden/>
              </w:rPr>
              <w:tab/>
            </w:r>
            <w:r w:rsidR="0087146C">
              <w:rPr>
                <w:webHidden/>
              </w:rPr>
              <w:fldChar w:fldCharType="begin"/>
            </w:r>
            <w:r w:rsidR="0087146C">
              <w:rPr>
                <w:webHidden/>
              </w:rPr>
              <w:instrText xml:space="preserve"> PAGEREF _Toc106697816 \h </w:instrText>
            </w:r>
            <w:r w:rsidR="0087146C">
              <w:rPr>
                <w:webHidden/>
              </w:rPr>
            </w:r>
            <w:r w:rsidR="0087146C">
              <w:rPr>
                <w:webHidden/>
              </w:rPr>
              <w:fldChar w:fldCharType="separate"/>
            </w:r>
            <w:r w:rsidR="00185BAF">
              <w:rPr>
                <w:webHidden/>
              </w:rPr>
              <w:t>73</w:t>
            </w:r>
            <w:r w:rsidR="0087146C">
              <w:rPr>
                <w:webHidden/>
              </w:rPr>
              <w:fldChar w:fldCharType="end"/>
            </w:r>
          </w:hyperlink>
        </w:p>
        <w:p w14:paraId="6DD32623" w14:textId="614B7DF3" w:rsidR="0087146C" w:rsidRDefault="00012E64">
          <w:pPr>
            <w:pStyle w:val="TOC2"/>
            <w:rPr>
              <w:rFonts w:asciiTheme="minorHAnsi" w:eastAsiaTheme="minorEastAsia" w:hAnsiTheme="minorHAnsi" w:cstheme="minorBidi"/>
              <w:lang w:eastAsia="en-GB"/>
            </w:rPr>
          </w:pPr>
          <w:hyperlink w:anchor="_Toc106697817" w:history="1">
            <w:r w:rsidR="0087146C" w:rsidRPr="00AD1D4B">
              <w:rPr>
                <w:rStyle w:val="Hyperlink"/>
                <w:rFonts w:eastAsiaTheme="majorEastAsia" w:cstheme="majorBidi"/>
              </w:rPr>
              <w:t>Health care professional perspectives</w:t>
            </w:r>
            <w:r w:rsidR="0087146C">
              <w:rPr>
                <w:webHidden/>
              </w:rPr>
              <w:tab/>
            </w:r>
            <w:r w:rsidR="0087146C">
              <w:rPr>
                <w:webHidden/>
              </w:rPr>
              <w:fldChar w:fldCharType="begin"/>
            </w:r>
            <w:r w:rsidR="0087146C">
              <w:rPr>
                <w:webHidden/>
              </w:rPr>
              <w:instrText xml:space="preserve"> PAGEREF _Toc106697817 \h </w:instrText>
            </w:r>
            <w:r w:rsidR="0087146C">
              <w:rPr>
                <w:webHidden/>
              </w:rPr>
            </w:r>
            <w:r w:rsidR="0087146C">
              <w:rPr>
                <w:webHidden/>
              </w:rPr>
              <w:fldChar w:fldCharType="separate"/>
            </w:r>
            <w:r w:rsidR="00185BAF">
              <w:rPr>
                <w:webHidden/>
              </w:rPr>
              <w:t>77</w:t>
            </w:r>
            <w:r w:rsidR="0087146C">
              <w:rPr>
                <w:webHidden/>
              </w:rPr>
              <w:fldChar w:fldCharType="end"/>
            </w:r>
          </w:hyperlink>
        </w:p>
        <w:p w14:paraId="586B03DA" w14:textId="282BC386" w:rsidR="0087146C" w:rsidRDefault="00012E64">
          <w:pPr>
            <w:pStyle w:val="TOC2"/>
            <w:rPr>
              <w:rFonts w:asciiTheme="minorHAnsi" w:eastAsiaTheme="minorEastAsia" w:hAnsiTheme="minorHAnsi" w:cstheme="minorBidi"/>
              <w:lang w:eastAsia="en-GB"/>
            </w:rPr>
          </w:pPr>
          <w:hyperlink w:anchor="_Toc106697818" w:history="1">
            <w:r w:rsidR="0087146C" w:rsidRPr="00AD1D4B">
              <w:rPr>
                <w:rStyle w:val="Hyperlink"/>
                <w:rFonts w:eastAsiaTheme="majorEastAsia" w:cstheme="majorBidi"/>
              </w:rPr>
              <w:t>Initiation of end-of-life care planning discussions</w:t>
            </w:r>
            <w:r w:rsidR="0087146C">
              <w:rPr>
                <w:webHidden/>
              </w:rPr>
              <w:tab/>
            </w:r>
            <w:r w:rsidR="0087146C">
              <w:rPr>
                <w:webHidden/>
              </w:rPr>
              <w:fldChar w:fldCharType="begin"/>
            </w:r>
            <w:r w:rsidR="0087146C">
              <w:rPr>
                <w:webHidden/>
              </w:rPr>
              <w:instrText xml:space="preserve"> PAGEREF _Toc106697818 \h </w:instrText>
            </w:r>
            <w:r w:rsidR="0087146C">
              <w:rPr>
                <w:webHidden/>
              </w:rPr>
            </w:r>
            <w:r w:rsidR="0087146C">
              <w:rPr>
                <w:webHidden/>
              </w:rPr>
              <w:fldChar w:fldCharType="separate"/>
            </w:r>
            <w:r w:rsidR="00185BAF">
              <w:rPr>
                <w:webHidden/>
              </w:rPr>
              <w:t>79</w:t>
            </w:r>
            <w:r w:rsidR="0087146C">
              <w:rPr>
                <w:webHidden/>
              </w:rPr>
              <w:fldChar w:fldCharType="end"/>
            </w:r>
          </w:hyperlink>
        </w:p>
        <w:p w14:paraId="1C7F94D8" w14:textId="31F8A2E7" w:rsidR="0087146C" w:rsidRDefault="00012E64">
          <w:pPr>
            <w:pStyle w:val="TOC2"/>
            <w:rPr>
              <w:rFonts w:asciiTheme="minorHAnsi" w:eastAsiaTheme="minorEastAsia" w:hAnsiTheme="minorHAnsi" w:cstheme="minorBidi"/>
              <w:lang w:eastAsia="en-GB"/>
            </w:rPr>
          </w:pPr>
          <w:hyperlink w:anchor="_Toc106697819" w:history="1">
            <w:r w:rsidR="0087146C" w:rsidRPr="00AD1D4B">
              <w:rPr>
                <w:rStyle w:val="Hyperlink"/>
                <w:rFonts w:eastAsiaTheme="majorEastAsia" w:cstheme="majorBidi"/>
              </w:rPr>
              <w:t>Setting for end-of-life care discussions</w:t>
            </w:r>
            <w:r w:rsidR="0087146C">
              <w:rPr>
                <w:webHidden/>
              </w:rPr>
              <w:tab/>
            </w:r>
            <w:r w:rsidR="0087146C">
              <w:rPr>
                <w:webHidden/>
              </w:rPr>
              <w:fldChar w:fldCharType="begin"/>
            </w:r>
            <w:r w:rsidR="0087146C">
              <w:rPr>
                <w:webHidden/>
              </w:rPr>
              <w:instrText xml:space="preserve"> PAGEREF _Toc106697819 \h </w:instrText>
            </w:r>
            <w:r w:rsidR="0087146C">
              <w:rPr>
                <w:webHidden/>
              </w:rPr>
            </w:r>
            <w:r w:rsidR="0087146C">
              <w:rPr>
                <w:webHidden/>
              </w:rPr>
              <w:fldChar w:fldCharType="separate"/>
            </w:r>
            <w:r w:rsidR="00185BAF">
              <w:rPr>
                <w:webHidden/>
              </w:rPr>
              <w:t>80</w:t>
            </w:r>
            <w:r w:rsidR="0087146C">
              <w:rPr>
                <w:webHidden/>
              </w:rPr>
              <w:fldChar w:fldCharType="end"/>
            </w:r>
          </w:hyperlink>
        </w:p>
        <w:p w14:paraId="657DE35B" w14:textId="2A8E4CBD" w:rsidR="0087146C" w:rsidRDefault="00012E64">
          <w:pPr>
            <w:pStyle w:val="TOC2"/>
            <w:rPr>
              <w:rFonts w:asciiTheme="minorHAnsi" w:eastAsiaTheme="minorEastAsia" w:hAnsiTheme="minorHAnsi" w:cstheme="minorBidi"/>
              <w:lang w:eastAsia="en-GB"/>
            </w:rPr>
          </w:pPr>
          <w:hyperlink w:anchor="_Toc106697820" w:history="1">
            <w:r w:rsidR="0087146C" w:rsidRPr="00AD1D4B">
              <w:rPr>
                <w:rStyle w:val="Hyperlink"/>
                <w:rFonts w:eastAsiaTheme="majorEastAsia" w:cstheme="majorBidi"/>
              </w:rPr>
              <w:t>End-of-life care topics</w:t>
            </w:r>
            <w:r w:rsidR="0087146C">
              <w:rPr>
                <w:webHidden/>
              </w:rPr>
              <w:tab/>
            </w:r>
            <w:r w:rsidR="0087146C">
              <w:rPr>
                <w:webHidden/>
              </w:rPr>
              <w:fldChar w:fldCharType="begin"/>
            </w:r>
            <w:r w:rsidR="0087146C">
              <w:rPr>
                <w:webHidden/>
              </w:rPr>
              <w:instrText xml:space="preserve"> PAGEREF _Toc106697820 \h </w:instrText>
            </w:r>
            <w:r w:rsidR="0087146C">
              <w:rPr>
                <w:webHidden/>
              </w:rPr>
            </w:r>
            <w:r w:rsidR="0087146C">
              <w:rPr>
                <w:webHidden/>
              </w:rPr>
              <w:fldChar w:fldCharType="separate"/>
            </w:r>
            <w:r w:rsidR="00185BAF">
              <w:rPr>
                <w:webHidden/>
              </w:rPr>
              <w:t>81</w:t>
            </w:r>
            <w:r w:rsidR="0087146C">
              <w:rPr>
                <w:webHidden/>
              </w:rPr>
              <w:fldChar w:fldCharType="end"/>
            </w:r>
          </w:hyperlink>
        </w:p>
        <w:p w14:paraId="2987FF70" w14:textId="3022B9D1" w:rsidR="0087146C" w:rsidRDefault="00012E64">
          <w:pPr>
            <w:pStyle w:val="TOC3"/>
            <w:tabs>
              <w:tab w:val="right" w:leader="dot" w:pos="9628"/>
            </w:tabs>
            <w:rPr>
              <w:rFonts w:eastAsiaTheme="minorEastAsia"/>
              <w:noProof/>
              <w:lang w:eastAsia="en-GB"/>
            </w:rPr>
          </w:pPr>
          <w:hyperlink w:anchor="_Toc106697821" w:history="1">
            <w:r w:rsidR="0087146C" w:rsidRPr="00AD1D4B">
              <w:rPr>
                <w:rStyle w:val="Hyperlink"/>
                <w:rFonts w:asciiTheme="majorHAnsi" w:eastAsiaTheme="majorEastAsia" w:hAnsiTheme="majorHAnsi" w:cstheme="majorBidi"/>
                <w:noProof/>
              </w:rPr>
              <w:t>DNACPR</w:t>
            </w:r>
            <w:r w:rsidR="0087146C">
              <w:rPr>
                <w:noProof/>
                <w:webHidden/>
              </w:rPr>
              <w:tab/>
            </w:r>
            <w:r w:rsidR="0087146C">
              <w:rPr>
                <w:noProof/>
                <w:webHidden/>
              </w:rPr>
              <w:fldChar w:fldCharType="begin"/>
            </w:r>
            <w:r w:rsidR="0087146C">
              <w:rPr>
                <w:noProof/>
                <w:webHidden/>
              </w:rPr>
              <w:instrText xml:space="preserve"> PAGEREF _Toc106697821 \h </w:instrText>
            </w:r>
            <w:r w:rsidR="0087146C">
              <w:rPr>
                <w:noProof/>
                <w:webHidden/>
              </w:rPr>
            </w:r>
            <w:r w:rsidR="0087146C">
              <w:rPr>
                <w:noProof/>
                <w:webHidden/>
              </w:rPr>
              <w:fldChar w:fldCharType="separate"/>
            </w:r>
            <w:r w:rsidR="00185BAF">
              <w:rPr>
                <w:noProof/>
                <w:webHidden/>
              </w:rPr>
              <w:t>82</w:t>
            </w:r>
            <w:r w:rsidR="0087146C">
              <w:rPr>
                <w:noProof/>
                <w:webHidden/>
              </w:rPr>
              <w:fldChar w:fldCharType="end"/>
            </w:r>
          </w:hyperlink>
        </w:p>
        <w:p w14:paraId="615F3C4F" w14:textId="3F3F4185" w:rsidR="0087146C" w:rsidRDefault="00012E64">
          <w:pPr>
            <w:pStyle w:val="TOC3"/>
            <w:tabs>
              <w:tab w:val="right" w:leader="dot" w:pos="9628"/>
            </w:tabs>
            <w:rPr>
              <w:rFonts w:eastAsiaTheme="minorEastAsia"/>
              <w:noProof/>
              <w:lang w:eastAsia="en-GB"/>
            </w:rPr>
          </w:pPr>
          <w:hyperlink w:anchor="_Toc106697822" w:history="1">
            <w:r w:rsidR="0087146C" w:rsidRPr="00AD1D4B">
              <w:rPr>
                <w:rStyle w:val="Hyperlink"/>
                <w:rFonts w:asciiTheme="majorHAnsi" w:eastAsiaTheme="majorEastAsia" w:hAnsiTheme="majorHAnsi" w:cstheme="majorBidi"/>
                <w:noProof/>
              </w:rPr>
              <w:t>Preferred place of care/death (PPOC/D)</w:t>
            </w:r>
            <w:r w:rsidR="0087146C">
              <w:rPr>
                <w:noProof/>
                <w:webHidden/>
              </w:rPr>
              <w:tab/>
            </w:r>
            <w:r w:rsidR="0087146C">
              <w:rPr>
                <w:noProof/>
                <w:webHidden/>
              </w:rPr>
              <w:fldChar w:fldCharType="begin"/>
            </w:r>
            <w:r w:rsidR="0087146C">
              <w:rPr>
                <w:noProof/>
                <w:webHidden/>
              </w:rPr>
              <w:instrText xml:space="preserve"> PAGEREF _Toc106697822 \h </w:instrText>
            </w:r>
            <w:r w:rsidR="0087146C">
              <w:rPr>
                <w:noProof/>
                <w:webHidden/>
              </w:rPr>
            </w:r>
            <w:r w:rsidR="0087146C">
              <w:rPr>
                <w:noProof/>
                <w:webHidden/>
              </w:rPr>
              <w:fldChar w:fldCharType="separate"/>
            </w:r>
            <w:r w:rsidR="00185BAF">
              <w:rPr>
                <w:noProof/>
                <w:webHidden/>
              </w:rPr>
              <w:t>83</w:t>
            </w:r>
            <w:r w:rsidR="0087146C">
              <w:rPr>
                <w:noProof/>
                <w:webHidden/>
              </w:rPr>
              <w:fldChar w:fldCharType="end"/>
            </w:r>
          </w:hyperlink>
        </w:p>
        <w:p w14:paraId="1D998DA0" w14:textId="78C166CD" w:rsidR="0087146C" w:rsidRDefault="00012E64">
          <w:pPr>
            <w:pStyle w:val="TOC3"/>
            <w:tabs>
              <w:tab w:val="right" w:leader="dot" w:pos="9628"/>
            </w:tabs>
            <w:rPr>
              <w:rFonts w:eastAsiaTheme="minorEastAsia"/>
              <w:noProof/>
              <w:lang w:eastAsia="en-GB"/>
            </w:rPr>
          </w:pPr>
          <w:hyperlink w:anchor="_Toc106697823" w:history="1">
            <w:r w:rsidR="0087146C" w:rsidRPr="00AD1D4B">
              <w:rPr>
                <w:rStyle w:val="Hyperlink"/>
                <w:rFonts w:asciiTheme="majorHAnsi" w:eastAsiaTheme="majorEastAsia" w:hAnsiTheme="majorHAnsi" w:cstheme="majorBidi"/>
                <w:noProof/>
              </w:rPr>
              <w:t>Ceiling of care</w:t>
            </w:r>
            <w:r w:rsidR="0087146C">
              <w:rPr>
                <w:noProof/>
                <w:webHidden/>
              </w:rPr>
              <w:tab/>
            </w:r>
            <w:r w:rsidR="0087146C">
              <w:rPr>
                <w:noProof/>
                <w:webHidden/>
              </w:rPr>
              <w:fldChar w:fldCharType="begin"/>
            </w:r>
            <w:r w:rsidR="0087146C">
              <w:rPr>
                <w:noProof/>
                <w:webHidden/>
              </w:rPr>
              <w:instrText xml:space="preserve"> PAGEREF _Toc106697823 \h </w:instrText>
            </w:r>
            <w:r w:rsidR="0087146C">
              <w:rPr>
                <w:noProof/>
                <w:webHidden/>
              </w:rPr>
            </w:r>
            <w:r w:rsidR="0087146C">
              <w:rPr>
                <w:noProof/>
                <w:webHidden/>
              </w:rPr>
              <w:fldChar w:fldCharType="separate"/>
            </w:r>
            <w:r w:rsidR="00185BAF">
              <w:rPr>
                <w:noProof/>
                <w:webHidden/>
              </w:rPr>
              <w:t>84</w:t>
            </w:r>
            <w:r w:rsidR="0087146C">
              <w:rPr>
                <w:noProof/>
                <w:webHidden/>
              </w:rPr>
              <w:fldChar w:fldCharType="end"/>
            </w:r>
          </w:hyperlink>
        </w:p>
        <w:p w14:paraId="26DAEE52" w14:textId="2E91BE5C" w:rsidR="0087146C" w:rsidRDefault="00012E64">
          <w:pPr>
            <w:pStyle w:val="TOC3"/>
            <w:tabs>
              <w:tab w:val="right" w:leader="dot" w:pos="9628"/>
            </w:tabs>
            <w:rPr>
              <w:rFonts w:eastAsiaTheme="minorEastAsia"/>
              <w:noProof/>
              <w:lang w:eastAsia="en-GB"/>
            </w:rPr>
          </w:pPr>
          <w:hyperlink w:anchor="_Toc106697824" w:history="1">
            <w:r w:rsidR="0087146C" w:rsidRPr="00AD1D4B">
              <w:rPr>
                <w:rStyle w:val="Hyperlink"/>
                <w:rFonts w:asciiTheme="majorHAnsi" w:eastAsiaTheme="majorEastAsia" w:hAnsiTheme="majorHAnsi" w:cstheme="majorBidi"/>
                <w:noProof/>
              </w:rPr>
              <w:t>Documented care plans</w:t>
            </w:r>
            <w:r w:rsidR="0087146C">
              <w:rPr>
                <w:noProof/>
                <w:webHidden/>
              </w:rPr>
              <w:tab/>
            </w:r>
            <w:r w:rsidR="0087146C">
              <w:rPr>
                <w:noProof/>
                <w:webHidden/>
              </w:rPr>
              <w:fldChar w:fldCharType="begin"/>
            </w:r>
            <w:r w:rsidR="0087146C">
              <w:rPr>
                <w:noProof/>
                <w:webHidden/>
              </w:rPr>
              <w:instrText xml:space="preserve"> PAGEREF _Toc106697824 \h </w:instrText>
            </w:r>
            <w:r w:rsidR="0087146C">
              <w:rPr>
                <w:noProof/>
                <w:webHidden/>
              </w:rPr>
            </w:r>
            <w:r w:rsidR="0087146C">
              <w:rPr>
                <w:noProof/>
                <w:webHidden/>
              </w:rPr>
              <w:fldChar w:fldCharType="separate"/>
            </w:r>
            <w:r w:rsidR="00185BAF">
              <w:rPr>
                <w:noProof/>
                <w:webHidden/>
              </w:rPr>
              <w:t>86</w:t>
            </w:r>
            <w:r w:rsidR="0087146C">
              <w:rPr>
                <w:noProof/>
                <w:webHidden/>
              </w:rPr>
              <w:fldChar w:fldCharType="end"/>
            </w:r>
          </w:hyperlink>
        </w:p>
        <w:p w14:paraId="37F5864C" w14:textId="28409AE0" w:rsidR="0087146C" w:rsidRDefault="00012E64">
          <w:pPr>
            <w:pStyle w:val="TOC3"/>
            <w:tabs>
              <w:tab w:val="right" w:leader="dot" w:pos="9628"/>
            </w:tabs>
            <w:rPr>
              <w:rFonts w:eastAsiaTheme="minorEastAsia"/>
              <w:noProof/>
              <w:lang w:eastAsia="en-GB"/>
            </w:rPr>
          </w:pPr>
          <w:hyperlink w:anchor="_Toc106697825" w:history="1">
            <w:r w:rsidR="0087146C" w:rsidRPr="00AD1D4B">
              <w:rPr>
                <w:rStyle w:val="Hyperlink"/>
                <w:rFonts w:asciiTheme="majorHAnsi" w:eastAsiaTheme="majorEastAsia" w:hAnsiTheme="majorHAnsi" w:cstheme="majorBidi"/>
                <w:noProof/>
              </w:rPr>
              <w:t>The difficulty of prognostication</w:t>
            </w:r>
            <w:r w:rsidR="0087146C">
              <w:rPr>
                <w:noProof/>
                <w:webHidden/>
              </w:rPr>
              <w:tab/>
            </w:r>
            <w:r w:rsidR="0087146C">
              <w:rPr>
                <w:noProof/>
                <w:webHidden/>
              </w:rPr>
              <w:fldChar w:fldCharType="begin"/>
            </w:r>
            <w:r w:rsidR="0087146C">
              <w:rPr>
                <w:noProof/>
                <w:webHidden/>
              </w:rPr>
              <w:instrText xml:space="preserve"> PAGEREF _Toc106697825 \h </w:instrText>
            </w:r>
            <w:r w:rsidR="0087146C">
              <w:rPr>
                <w:noProof/>
                <w:webHidden/>
              </w:rPr>
            </w:r>
            <w:r w:rsidR="0087146C">
              <w:rPr>
                <w:noProof/>
                <w:webHidden/>
              </w:rPr>
              <w:fldChar w:fldCharType="separate"/>
            </w:r>
            <w:r w:rsidR="00185BAF">
              <w:rPr>
                <w:noProof/>
                <w:webHidden/>
              </w:rPr>
              <w:t>89</w:t>
            </w:r>
            <w:r w:rsidR="0087146C">
              <w:rPr>
                <w:noProof/>
                <w:webHidden/>
              </w:rPr>
              <w:fldChar w:fldCharType="end"/>
            </w:r>
          </w:hyperlink>
        </w:p>
        <w:p w14:paraId="612DE886" w14:textId="518259D7" w:rsidR="0087146C" w:rsidRDefault="00012E64">
          <w:pPr>
            <w:pStyle w:val="TOC3"/>
            <w:tabs>
              <w:tab w:val="right" w:leader="dot" w:pos="9628"/>
            </w:tabs>
            <w:rPr>
              <w:rFonts w:eastAsiaTheme="minorEastAsia"/>
              <w:noProof/>
              <w:lang w:eastAsia="en-GB"/>
            </w:rPr>
          </w:pPr>
          <w:hyperlink w:anchor="_Toc106697826" w:history="1">
            <w:r w:rsidR="0087146C" w:rsidRPr="00AD1D4B">
              <w:rPr>
                <w:rStyle w:val="Hyperlink"/>
                <w:rFonts w:asciiTheme="majorHAnsi" w:eastAsiaTheme="majorEastAsia" w:hAnsiTheme="majorHAnsi" w:cstheme="majorBidi"/>
                <w:noProof/>
              </w:rPr>
              <w:t>Communication and language</w:t>
            </w:r>
            <w:r w:rsidR="0087146C">
              <w:rPr>
                <w:noProof/>
                <w:webHidden/>
              </w:rPr>
              <w:tab/>
            </w:r>
            <w:r w:rsidR="0087146C">
              <w:rPr>
                <w:noProof/>
                <w:webHidden/>
              </w:rPr>
              <w:fldChar w:fldCharType="begin"/>
            </w:r>
            <w:r w:rsidR="0087146C">
              <w:rPr>
                <w:noProof/>
                <w:webHidden/>
              </w:rPr>
              <w:instrText xml:space="preserve"> PAGEREF _Toc106697826 \h </w:instrText>
            </w:r>
            <w:r w:rsidR="0087146C">
              <w:rPr>
                <w:noProof/>
                <w:webHidden/>
              </w:rPr>
            </w:r>
            <w:r w:rsidR="0087146C">
              <w:rPr>
                <w:noProof/>
                <w:webHidden/>
              </w:rPr>
              <w:fldChar w:fldCharType="separate"/>
            </w:r>
            <w:r w:rsidR="00185BAF">
              <w:rPr>
                <w:noProof/>
                <w:webHidden/>
              </w:rPr>
              <w:t>93</w:t>
            </w:r>
            <w:r w:rsidR="0087146C">
              <w:rPr>
                <w:noProof/>
                <w:webHidden/>
              </w:rPr>
              <w:fldChar w:fldCharType="end"/>
            </w:r>
          </w:hyperlink>
        </w:p>
        <w:p w14:paraId="393E517E" w14:textId="10BD7E7A" w:rsidR="0087146C" w:rsidRDefault="00012E64">
          <w:pPr>
            <w:pStyle w:val="TOC3"/>
            <w:tabs>
              <w:tab w:val="right" w:leader="dot" w:pos="9628"/>
            </w:tabs>
            <w:rPr>
              <w:rFonts w:eastAsiaTheme="minorEastAsia"/>
              <w:noProof/>
              <w:lang w:eastAsia="en-GB"/>
            </w:rPr>
          </w:pPr>
          <w:hyperlink w:anchor="_Toc106697827" w:history="1">
            <w:r w:rsidR="0087146C" w:rsidRPr="00AD1D4B">
              <w:rPr>
                <w:rStyle w:val="Hyperlink"/>
                <w:rFonts w:asciiTheme="majorHAnsi" w:eastAsiaTheme="majorEastAsia" w:hAnsiTheme="majorHAnsi" w:cstheme="majorBidi"/>
                <w:noProof/>
              </w:rPr>
              <w:t>Translation issues</w:t>
            </w:r>
            <w:r w:rsidR="0087146C">
              <w:rPr>
                <w:noProof/>
                <w:webHidden/>
              </w:rPr>
              <w:tab/>
            </w:r>
            <w:r w:rsidR="0087146C">
              <w:rPr>
                <w:noProof/>
                <w:webHidden/>
              </w:rPr>
              <w:fldChar w:fldCharType="begin"/>
            </w:r>
            <w:r w:rsidR="0087146C">
              <w:rPr>
                <w:noProof/>
                <w:webHidden/>
              </w:rPr>
              <w:instrText xml:space="preserve"> PAGEREF _Toc106697827 \h </w:instrText>
            </w:r>
            <w:r w:rsidR="0087146C">
              <w:rPr>
                <w:noProof/>
                <w:webHidden/>
              </w:rPr>
            </w:r>
            <w:r w:rsidR="0087146C">
              <w:rPr>
                <w:noProof/>
                <w:webHidden/>
              </w:rPr>
              <w:fldChar w:fldCharType="separate"/>
            </w:r>
            <w:r w:rsidR="00185BAF">
              <w:rPr>
                <w:noProof/>
                <w:webHidden/>
              </w:rPr>
              <w:t>95</w:t>
            </w:r>
            <w:r w:rsidR="0087146C">
              <w:rPr>
                <w:noProof/>
                <w:webHidden/>
              </w:rPr>
              <w:fldChar w:fldCharType="end"/>
            </w:r>
          </w:hyperlink>
        </w:p>
        <w:p w14:paraId="26C92F6F" w14:textId="50A9BAFA" w:rsidR="0087146C" w:rsidRDefault="00012E64">
          <w:pPr>
            <w:pStyle w:val="TOC3"/>
            <w:tabs>
              <w:tab w:val="right" w:leader="dot" w:pos="9628"/>
            </w:tabs>
            <w:rPr>
              <w:rFonts w:eastAsiaTheme="minorEastAsia"/>
              <w:noProof/>
              <w:lang w:eastAsia="en-GB"/>
            </w:rPr>
          </w:pPr>
          <w:hyperlink w:anchor="_Toc106697828" w:history="1">
            <w:r w:rsidR="0087146C" w:rsidRPr="00AD1D4B">
              <w:rPr>
                <w:rStyle w:val="Hyperlink"/>
                <w:rFonts w:asciiTheme="majorHAnsi" w:eastAsiaTheme="majorEastAsia" w:hAnsiTheme="majorHAnsi" w:cstheme="majorBidi"/>
                <w:noProof/>
              </w:rPr>
              <w:t>Family support</w:t>
            </w:r>
            <w:r w:rsidR="0087146C">
              <w:rPr>
                <w:noProof/>
                <w:webHidden/>
              </w:rPr>
              <w:tab/>
            </w:r>
            <w:r w:rsidR="0087146C">
              <w:rPr>
                <w:noProof/>
                <w:webHidden/>
              </w:rPr>
              <w:fldChar w:fldCharType="begin"/>
            </w:r>
            <w:r w:rsidR="0087146C">
              <w:rPr>
                <w:noProof/>
                <w:webHidden/>
              </w:rPr>
              <w:instrText xml:space="preserve"> PAGEREF _Toc106697828 \h </w:instrText>
            </w:r>
            <w:r w:rsidR="0087146C">
              <w:rPr>
                <w:noProof/>
                <w:webHidden/>
              </w:rPr>
            </w:r>
            <w:r w:rsidR="0087146C">
              <w:rPr>
                <w:noProof/>
                <w:webHidden/>
              </w:rPr>
              <w:fldChar w:fldCharType="separate"/>
            </w:r>
            <w:r w:rsidR="00185BAF">
              <w:rPr>
                <w:noProof/>
                <w:webHidden/>
              </w:rPr>
              <w:t>96</w:t>
            </w:r>
            <w:r w:rsidR="0087146C">
              <w:rPr>
                <w:noProof/>
                <w:webHidden/>
              </w:rPr>
              <w:fldChar w:fldCharType="end"/>
            </w:r>
          </w:hyperlink>
        </w:p>
        <w:p w14:paraId="0F2D74F1" w14:textId="1A76EC8D" w:rsidR="0087146C" w:rsidRDefault="00012E64">
          <w:pPr>
            <w:pStyle w:val="TOC3"/>
            <w:tabs>
              <w:tab w:val="right" w:leader="dot" w:pos="9628"/>
            </w:tabs>
            <w:rPr>
              <w:rFonts w:eastAsiaTheme="minorEastAsia"/>
              <w:noProof/>
              <w:lang w:eastAsia="en-GB"/>
            </w:rPr>
          </w:pPr>
          <w:hyperlink w:anchor="_Toc106697829" w:history="1">
            <w:r w:rsidR="0087146C" w:rsidRPr="00AD1D4B">
              <w:rPr>
                <w:rStyle w:val="Hyperlink"/>
                <w:rFonts w:asciiTheme="majorHAnsi" w:eastAsiaTheme="majorEastAsia" w:hAnsiTheme="majorHAnsi" w:cstheme="majorBidi"/>
                <w:noProof/>
              </w:rPr>
              <w:t>Decision-making</w:t>
            </w:r>
            <w:r w:rsidR="0087146C">
              <w:rPr>
                <w:noProof/>
                <w:webHidden/>
              </w:rPr>
              <w:tab/>
            </w:r>
            <w:r w:rsidR="0087146C">
              <w:rPr>
                <w:noProof/>
                <w:webHidden/>
              </w:rPr>
              <w:fldChar w:fldCharType="begin"/>
            </w:r>
            <w:r w:rsidR="0087146C">
              <w:rPr>
                <w:noProof/>
                <w:webHidden/>
              </w:rPr>
              <w:instrText xml:space="preserve"> PAGEREF _Toc106697829 \h </w:instrText>
            </w:r>
            <w:r w:rsidR="0087146C">
              <w:rPr>
                <w:noProof/>
                <w:webHidden/>
              </w:rPr>
            </w:r>
            <w:r w:rsidR="0087146C">
              <w:rPr>
                <w:noProof/>
                <w:webHidden/>
              </w:rPr>
              <w:fldChar w:fldCharType="separate"/>
            </w:r>
            <w:r w:rsidR="00185BAF">
              <w:rPr>
                <w:noProof/>
                <w:webHidden/>
              </w:rPr>
              <w:t>100</w:t>
            </w:r>
            <w:r w:rsidR="0087146C">
              <w:rPr>
                <w:noProof/>
                <w:webHidden/>
              </w:rPr>
              <w:fldChar w:fldCharType="end"/>
            </w:r>
          </w:hyperlink>
        </w:p>
        <w:p w14:paraId="5DEBFD31" w14:textId="5F5DADFE" w:rsidR="0087146C" w:rsidRDefault="00012E64">
          <w:pPr>
            <w:pStyle w:val="TOC3"/>
            <w:tabs>
              <w:tab w:val="right" w:leader="dot" w:pos="9628"/>
            </w:tabs>
            <w:rPr>
              <w:rFonts w:eastAsiaTheme="minorEastAsia"/>
              <w:noProof/>
              <w:lang w:eastAsia="en-GB"/>
            </w:rPr>
          </w:pPr>
          <w:hyperlink w:anchor="_Toc106697830" w:history="1">
            <w:r w:rsidR="0087146C" w:rsidRPr="00AD1D4B">
              <w:rPr>
                <w:rStyle w:val="Hyperlink"/>
                <w:rFonts w:asciiTheme="majorHAnsi" w:eastAsiaTheme="majorEastAsia" w:hAnsiTheme="majorHAnsi" w:cstheme="majorBidi"/>
                <w:noProof/>
              </w:rPr>
              <w:t>Religious beliefs and influence on end-of-life care planning</w:t>
            </w:r>
            <w:r w:rsidR="0087146C">
              <w:rPr>
                <w:noProof/>
                <w:webHidden/>
              </w:rPr>
              <w:tab/>
            </w:r>
            <w:r w:rsidR="0087146C">
              <w:rPr>
                <w:noProof/>
                <w:webHidden/>
              </w:rPr>
              <w:fldChar w:fldCharType="begin"/>
            </w:r>
            <w:r w:rsidR="0087146C">
              <w:rPr>
                <w:noProof/>
                <w:webHidden/>
              </w:rPr>
              <w:instrText xml:space="preserve"> PAGEREF _Toc106697830 \h </w:instrText>
            </w:r>
            <w:r w:rsidR="0087146C">
              <w:rPr>
                <w:noProof/>
                <w:webHidden/>
              </w:rPr>
            </w:r>
            <w:r w:rsidR="0087146C">
              <w:rPr>
                <w:noProof/>
                <w:webHidden/>
              </w:rPr>
              <w:fldChar w:fldCharType="separate"/>
            </w:r>
            <w:r w:rsidR="00185BAF">
              <w:rPr>
                <w:noProof/>
                <w:webHidden/>
              </w:rPr>
              <w:t>102</w:t>
            </w:r>
            <w:r w:rsidR="0087146C">
              <w:rPr>
                <w:noProof/>
                <w:webHidden/>
              </w:rPr>
              <w:fldChar w:fldCharType="end"/>
            </w:r>
          </w:hyperlink>
        </w:p>
        <w:p w14:paraId="415D311E" w14:textId="27E8E222" w:rsidR="0087146C" w:rsidRDefault="00012E64">
          <w:pPr>
            <w:pStyle w:val="TOC1"/>
            <w:tabs>
              <w:tab w:val="right" w:leader="dot" w:pos="9628"/>
            </w:tabs>
            <w:rPr>
              <w:rFonts w:eastAsiaTheme="minorEastAsia"/>
              <w:noProof/>
              <w:lang w:eastAsia="en-GB"/>
            </w:rPr>
          </w:pPr>
          <w:hyperlink w:anchor="_Toc106697831" w:history="1">
            <w:r w:rsidR="0087146C" w:rsidRPr="00AD1D4B">
              <w:rPr>
                <w:rStyle w:val="Hyperlink"/>
                <w:rFonts w:asciiTheme="majorHAnsi" w:eastAsiaTheme="majorEastAsia" w:hAnsiTheme="majorHAnsi" w:cstheme="majorBidi"/>
                <w:noProof/>
              </w:rPr>
              <w:t>Interaction with professionals and services</w:t>
            </w:r>
            <w:r w:rsidR="0087146C">
              <w:rPr>
                <w:noProof/>
                <w:webHidden/>
              </w:rPr>
              <w:tab/>
            </w:r>
            <w:r w:rsidR="0087146C">
              <w:rPr>
                <w:noProof/>
                <w:webHidden/>
              </w:rPr>
              <w:fldChar w:fldCharType="begin"/>
            </w:r>
            <w:r w:rsidR="0087146C">
              <w:rPr>
                <w:noProof/>
                <w:webHidden/>
              </w:rPr>
              <w:instrText xml:space="preserve"> PAGEREF _Toc106697831 \h </w:instrText>
            </w:r>
            <w:r w:rsidR="0087146C">
              <w:rPr>
                <w:noProof/>
                <w:webHidden/>
              </w:rPr>
            </w:r>
            <w:r w:rsidR="0087146C">
              <w:rPr>
                <w:noProof/>
                <w:webHidden/>
              </w:rPr>
              <w:fldChar w:fldCharType="separate"/>
            </w:r>
            <w:r w:rsidR="00185BAF">
              <w:rPr>
                <w:noProof/>
                <w:webHidden/>
              </w:rPr>
              <w:t>103</w:t>
            </w:r>
            <w:r w:rsidR="0087146C">
              <w:rPr>
                <w:noProof/>
                <w:webHidden/>
              </w:rPr>
              <w:fldChar w:fldCharType="end"/>
            </w:r>
          </w:hyperlink>
        </w:p>
        <w:p w14:paraId="2F323074" w14:textId="7D246660" w:rsidR="0087146C" w:rsidRDefault="00012E64">
          <w:pPr>
            <w:pStyle w:val="TOC1"/>
            <w:tabs>
              <w:tab w:val="right" w:leader="dot" w:pos="9628"/>
            </w:tabs>
            <w:rPr>
              <w:rFonts w:eastAsiaTheme="minorEastAsia"/>
              <w:noProof/>
              <w:lang w:eastAsia="en-GB"/>
            </w:rPr>
          </w:pPr>
          <w:hyperlink w:anchor="_Toc106697832" w:history="1">
            <w:r w:rsidR="0087146C" w:rsidRPr="00AD1D4B">
              <w:rPr>
                <w:rStyle w:val="Hyperlink"/>
                <w:rFonts w:asciiTheme="majorHAnsi" w:eastAsiaTheme="majorEastAsia" w:hAnsiTheme="majorHAnsi" w:cstheme="majorBidi"/>
                <w:noProof/>
              </w:rPr>
              <w:t>Reflexivity</w:t>
            </w:r>
            <w:r w:rsidR="0087146C">
              <w:rPr>
                <w:noProof/>
                <w:webHidden/>
              </w:rPr>
              <w:tab/>
            </w:r>
            <w:r w:rsidR="0087146C">
              <w:rPr>
                <w:noProof/>
                <w:webHidden/>
              </w:rPr>
              <w:fldChar w:fldCharType="begin"/>
            </w:r>
            <w:r w:rsidR="0087146C">
              <w:rPr>
                <w:noProof/>
                <w:webHidden/>
              </w:rPr>
              <w:instrText xml:space="preserve"> PAGEREF _Toc106697832 \h </w:instrText>
            </w:r>
            <w:r w:rsidR="0087146C">
              <w:rPr>
                <w:noProof/>
                <w:webHidden/>
              </w:rPr>
            </w:r>
            <w:r w:rsidR="0087146C">
              <w:rPr>
                <w:noProof/>
                <w:webHidden/>
              </w:rPr>
              <w:fldChar w:fldCharType="separate"/>
            </w:r>
            <w:r w:rsidR="00185BAF">
              <w:rPr>
                <w:noProof/>
                <w:webHidden/>
              </w:rPr>
              <w:t>107</w:t>
            </w:r>
            <w:r w:rsidR="0087146C">
              <w:rPr>
                <w:noProof/>
                <w:webHidden/>
              </w:rPr>
              <w:fldChar w:fldCharType="end"/>
            </w:r>
          </w:hyperlink>
        </w:p>
        <w:p w14:paraId="3379A2D7" w14:textId="7878671C" w:rsidR="0087146C" w:rsidRDefault="00012E64">
          <w:pPr>
            <w:pStyle w:val="TOC2"/>
            <w:rPr>
              <w:rFonts w:asciiTheme="minorHAnsi" w:eastAsiaTheme="minorEastAsia" w:hAnsiTheme="minorHAnsi" w:cstheme="minorBidi"/>
              <w:lang w:eastAsia="en-GB"/>
            </w:rPr>
          </w:pPr>
          <w:hyperlink w:anchor="_Toc106697833" w:history="1">
            <w:r w:rsidR="0087146C" w:rsidRPr="00AD1D4B">
              <w:rPr>
                <w:rStyle w:val="Hyperlink"/>
                <w:rFonts w:eastAsiaTheme="majorEastAsia" w:cstheme="majorBidi"/>
              </w:rPr>
              <w:t>Conclusion</w:t>
            </w:r>
            <w:r w:rsidR="0087146C">
              <w:rPr>
                <w:webHidden/>
              </w:rPr>
              <w:tab/>
            </w:r>
            <w:r w:rsidR="0087146C">
              <w:rPr>
                <w:webHidden/>
              </w:rPr>
              <w:fldChar w:fldCharType="begin"/>
            </w:r>
            <w:r w:rsidR="0087146C">
              <w:rPr>
                <w:webHidden/>
              </w:rPr>
              <w:instrText xml:space="preserve"> PAGEREF _Toc106697833 \h </w:instrText>
            </w:r>
            <w:r w:rsidR="0087146C">
              <w:rPr>
                <w:webHidden/>
              </w:rPr>
            </w:r>
            <w:r w:rsidR="0087146C">
              <w:rPr>
                <w:webHidden/>
              </w:rPr>
              <w:fldChar w:fldCharType="separate"/>
            </w:r>
            <w:r w:rsidR="00185BAF">
              <w:rPr>
                <w:webHidden/>
              </w:rPr>
              <w:t>108</w:t>
            </w:r>
            <w:r w:rsidR="0087146C">
              <w:rPr>
                <w:webHidden/>
              </w:rPr>
              <w:fldChar w:fldCharType="end"/>
            </w:r>
          </w:hyperlink>
        </w:p>
        <w:p w14:paraId="5C68DDA2" w14:textId="3E188F4A" w:rsidR="0087146C" w:rsidRDefault="00012E64">
          <w:pPr>
            <w:pStyle w:val="TOC1"/>
            <w:tabs>
              <w:tab w:val="right" w:leader="dot" w:pos="9628"/>
            </w:tabs>
            <w:rPr>
              <w:rFonts w:eastAsiaTheme="minorEastAsia"/>
              <w:noProof/>
              <w:lang w:eastAsia="en-GB"/>
            </w:rPr>
          </w:pPr>
          <w:hyperlink w:anchor="_Toc106697834" w:history="1">
            <w:r w:rsidR="0087146C" w:rsidRPr="00AD1D4B">
              <w:rPr>
                <w:rStyle w:val="Hyperlink"/>
                <w:rFonts w:asciiTheme="majorHAnsi" w:eastAsia="Times New Roman" w:hAnsiTheme="majorHAnsi" w:cstheme="majorHAnsi"/>
                <w:noProof/>
                <w:lang w:val="en-US"/>
              </w:rPr>
              <w:t>Chapter 6: Work Stream 3: Findings</w:t>
            </w:r>
            <w:r w:rsidR="0087146C" w:rsidRPr="00AD1D4B">
              <w:rPr>
                <w:rStyle w:val="Hyperlink"/>
                <w:rFonts w:asciiTheme="majorHAnsi" w:eastAsia="Calibri" w:hAnsiTheme="majorHAnsi" w:cstheme="majorHAnsi"/>
                <w:noProof/>
              </w:rPr>
              <w:t xml:space="preserve"> </w:t>
            </w:r>
            <w:r w:rsidR="0087146C" w:rsidRPr="00AD1D4B">
              <w:rPr>
                <w:rStyle w:val="Hyperlink"/>
                <w:rFonts w:asciiTheme="majorHAnsi" w:eastAsia="Times New Roman" w:hAnsiTheme="majorHAnsi" w:cstheme="majorHAnsi"/>
                <w:noProof/>
              </w:rPr>
              <w:t>from Public and Professional Stakeholder Workshops</w:t>
            </w:r>
            <w:r w:rsidR="0087146C">
              <w:rPr>
                <w:noProof/>
                <w:webHidden/>
              </w:rPr>
              <w:tab/>
            </w:r>
            <w:r w:rsidR="0087146C">
              <w:rPr>
                <w:noProof/>
                <w:webHidden/>
              </w:rPr>
              <w:fldChar w:fldCharType="begin"/>
            </w:r>
            <w:r w:rsidR="0087146C">
              <w:rPr>
                <w:noProof/>
                <w:webHidden/>
              </w:rPr>
              <w:instrText xml:space="preserve"> PAGEREF _Toc106697834 \h </w:instrText>
            </w:r>
            <w:r w:rsidR="0087146C">
              <w:rPr>
                <w:noProof/>
                <w:webHidden/>
              </w:rPr>
            </w:r>
            <w:r w:rsidR="0087146C">
              <w:rPr>
                <w:noProof/>
                <w:webHidden/>
              </w:rPr>
              <w:fldChar w:fldCharType="separate"/>
            </w:r>
            <w:r w:rsidR="00185BAF">
              <w:rPr>
                <w:noProof/>
                <w:webHidden/>
              </w:rPr>
              <w:t>109</w:t>
            </w:r>
            <w:r w:rsidR="0087146C">
              <w:rPr>
                <w:noProof/>
                <w:webHidden/>
              </w:rPr>
              <w:fldChar w:fldCharType="end"/>
            </w:r>
          </w:hyperlink>
        </w:p>
        <w:p w14:paraId="3E0B6D4A" w14:textId="238D3A0A" w:rsidR="0087146C" w:rsidRDefault="00D74EFC">
          <w:pPr>
            <w:pStyle w:val="TOC2"/>
            <w:rPr>
              <w:rFonts w:asciiTheme="minorHAnsi" w:eastAsiaTheme="minorEastAsia" w:hAnsiTheme="minorHAnsi" w:cstheme="minorBidi"/>
              <w:lang w:eastAsia="en-GB"/>
            </w:rPr>
          </w:pPr>
          <w:hyperlink w:anchor="_Toc106697835" w:history="1">
            <w:r w:rsidR="0087146C" w:rsidRPr="00AD1D4B">
              <w:rPr>
                <w:rStyle w:val="Hyperlink"/>
                <w:rFonts w:eastAsiaTheme="majorEastAsia" w:cstheme="majorBidi"/>
              </w:rPr>
              <w:t>Barriers to engaging in end-of-life care planning</w:t>
            </w:r>
            <w:r w:rsidR="0087146C">
              <w:rPr>
                <w:webHidden/>
              </w:rPr>
              <w:tab/>
            </w:r>
            <w:r w:rsidR="0087146C">
              <w:rPr>
                <w:webHidden/>
              </w:rPr>
              <w:fldChar w:fldCharType="begin"/>
            </w:r>
            <w:r w:rsidR="0087146C">
              <w:rPr>
                <w:webHidden/>
              </w:rPr>
              <w:instrText xml:space="preserve"> PAGEREF _Toc106697835 \h </w:instrText>
            </w:r>
            <w:r w:rsidR="0087146C">
              <w:rPr>
                <w:webHidden/>
              </w:rPr>
            </w:r>
            <w:r w:rsidR="0087146C">
              <w:rPr>
                <w:webHidden/>
              </w:rPr>
              <w:fldChar w:fldCharType="separate"/>
            </w:r>
            <w:r w:rsidR="00185BAF">
              <w:rPr>
                <w:webHidden/>
              </w:rPr>
              <w:t>115</w:t>
            </w:r>
            <w:r w:rsidR="0087146C">
              <w:rPr>
                <w:webHidden/>
              </w:rPr>
              <w:fldChar w:fldCharType="end"/>
            </w:r>
          </w:hyperlink>
        </w:p>
        <w:p w14:paraId="576C76C4" w14:textId="69274C33" w:rsidR="0087146C" w:rsidRDefault="00D74EFC">
          <w:pPr>
            <w:pStyle w:val="TOC3"/>
            <w:tabs>
              <w:tab w:val="right" w:leader="dot" w:pos="9628"/>
            </w:tabs>
            <w:rPr>
              <w:rFonts w:eastAsiaTheme="minorEastAsia"/>
              <w:noProof/>
              <w:lang w:eastAsia="en-GB"/>
            </w:rPr>
          </w:pPr>
          <w:hyperlink w:anchor="_Toc106697836" w:history="1">
            <w:r w:rsidR="0087146C" w:rsidRPr="00AD1D4B">
              <w:rPr>
                <w:rStyle w:val="Hyperlink"/>
                <w:rFonts w:asciiTheme="majorHAnsi" w:eastAsia="Times New Roman" w:hAnsiTheme="majorHAnsi" w:cstheme="majorBidi"/>
                <w:noProof/>
                <w:lang w:val="en-US"/>
              </w:rPr>
              <w:t>Religious beliefs, community pressure and cultural expectations</w:t>
            </w:r>
            <w:r w:rsidR="0087146C">
              <w:rPr>
                <w:noProof/>
                <w:webHidden/>
              </w:rPr>
              <w:tab/>
            </w:r>
            <w:r w:rsidR="0087146C">
              <w:rPr>
                <w:noProof/>
                <w:webHidden/>
              </w:rPr>
              <w:fldChar w:fldCharType="begin"/>
            </w:r>
            <w:r w:rsidR="0087146C">
              <w:rPr>
                <w:noProof/>
                <w:webHidden/>
              </w:rPr>
              <w:instrText xml:space="preserve"> PAGEREF _Toc106697836 \h </w:instrText>
            </w:r>
            <w:r w:rsidR="0087146C">
              <w:rPr>
                <w:noProof/>
                <w:webHidden/>
              </w:rPr>
            </w:r>
            <w:r w:rsidR="0087146C">
              <w:rPr>
                <w:noProof/>
                <w:webHidden/>
              </w:rPr>
              <w:fldChar w:fldCharType="separate"/>
            </w:r>
            <w:r w:rsidR="00185BAF">
              <w:rPr>
                <w:noProof/>
                <w:webHidden/>
              </w:rPr>
              <w:t>115</w:t>
            </w:r>
            <w:r w:rsidR="0087146C">
              <w:rPr>
                <w:noProof/>
                <w:webHidden/>
              </w:rPr>
              <w:fldChar w:fldCharType="end"/>
            </w:r>
          </w:hyperlink>
        </w:p>
        <w:p w14:paraId="77151098" w14:textId="271C7CB2" w:rsidR="0087146C" w:rsidRDefault="00D74EFC">
          <w:pPr>
            <w:pStyle w:val="TOC3"/>
            <w:tabs>
              <w:tab w:val="right" w:leader="dot" w:pos="9628"/>
            </w:tabs>
            <w:rPr>
              <w:rFonts w:eastAsiaTheme="minorEastAsia"/>
              <w:noProof/>
              <w:lang w:eastAsia="en-GB"/>
            </w:rPr>
          </w:pPr>
          <w:hyperlink w:anchor="_Toc106697837" w:history="1">
            <w:r w:rsidR="0087146C" w:rsidRPr="00AD1D4B">
              <w:rPr>
                <w:rStyle w:val="Hyperlink"/>
                <w:rFonts w:asciiTheme="majorHAnsi" w:eastAsia="Times New Roman" w:hAnsiTheme="majorHAnsi" w:cstheme="majorBidi"/>
                <w:noProof/>
              </w:rPr>
              <w:t>Lack of trust</w:t>
            </w:r>
            <w:r w:rsidR="0087146C">
              <w:rPr>
                <w:noProof/>
                <w:webHidden/>
              </w:rPr>
              <w:tab/>
            </w:r>
            <w:r w:rsidR="0087146C">
              <w:rPr>
                <w:noProof/>
                <w:webHidden/>
              </w:rPr>
              <w:fldChar w:fldCharType="begin"/>
            </w:r>
            <w:r w:rsidR="0087146C">
              <w:rPr>
                <w:noProof/>
                <w:webHidden/>
              </w:rPr>
              <w:instrText xml:space="preserve"> PAGEREF _Toc106697837 \h </w:instrText>
            </w:r>
            <w:r w:rsidR="0087146C">
              <w:rPr>
                <w:noProof/>
                <w:webHidden/>
              </w:rPr>
            </w:r>
            <w:r w:rsidR="0087146C">
              <w:rPr>
                <w:noProof/>
                <w:webHidden/>
              </w:rPr>
              <w:fldChar w:fldCharType="separate"/>
            </w:r>
            <w:r w:rsidR="00185BAF">
              <w:rPr>
                <w:noProof/>
                <w:webHidden/>
              </w:rPr>
              <w:t>115</w:t>
            </w:r>
            <w:r w:rsidR="0087146C">
              <w:rPr>
                <w:noProof/>
                <w:webHidden/>
              </w:rPr>
              <w:fldChar w:fldCharType="end"/>
            </w:r>
          </w:hyperlink>
        </w:p>
        <w:p w14:paraId="7E2A9DC9" w14:textId="4F3DD5EF" w:rsidR="0087146C" w:rsidRDefault="00012E64">
          <w:pPr>
            <w:pStyle w:val="TOC3"/>
            <w:tabs>
              <w:tab w:val="right" w:leader="dot" w:pos="9628"/>
            </w:tabs>
            <w:rPr>
              <w:rFonts w:eastAsiaTheme="minorEastAsia"/>
              <w:noProof/>
              <w:lang w:eastAsia="en-GB"/>
            </w:rPr>
          </w:pPr>
          <w:hyperlink w:anchor="_Toc106697838" w:history="1">
            <w:r w:rsidR="0087146C" w:rsidRPr="00AD1D4B">
              <w:rPr>
                <w:rStyle w:val="Hyperlink"/>
                <w:rFonts w:asciiTheme="majorHAnsi" w:eastAsiaTheme="majorEastAsia" w:hAnsiTheme="majorHAnsi" w:cstheme="majorBidi"/>
                <w:noProof/>
              </w:rPr>
              <w:t>Communication needs and inaccessibility of language</w:t>
            </w:r>
            <w:r w:rsidR="0087146C">
              <w:rPr>
                <w:noProof/>
                <w:webHidden/>
              </w:rPr>
              <w:tab/>
            </w:r>
            <w:r w:rsidR="0087146C">
              <w:rPr>
                <w:noProof/>
                <w:webHidden/>
              </w:rPr>
              <w:fldChar w:fldCharType="begin"/>
            </w:r>
            <w:r w:rsidR="0087146C">
              <w:rPr>
                <w:noProof/>
                <w:webHidden/>
              </w:rPr>
              <w:instrText xml:space="preserve"> PAGEREF _Toc106697838 \h </w:instrText>
            </w:r>
            <w:r w:rsidR="0087146C">
              <w:rPr>
                <w:noProof/>
                <w:webHidden/>
              </w:rPr>
            </w:r>
            <w:r w:rsidR="0087146C">
              <w:rPr>
                <w:noProof/>
                <w:webHidden/>
              </w:rPr>
              <w:fldChar w:fldCharType="separate"/>
            </w:r>
            <w:r w:rsidR="00185BAF">
              <w:rPr>
                <w:noProof/>
                <w:webHidden/>
              </w:rPr>
              <w:t>116</w:t>
            </w:r>
            <w:r w:rsidR="0087146C">
              <w:rPr>
                <w:noProof/>
                <w:webHidden/>
              </w:rPr>
              <w:fldChar w:fldCharType="end"/>
            </w:r>
          </w:hyperlink>
        </w:p>
        <w:p w14:paraId="43F430EA" w14:textId="6FF7BB96" w:rsidR="0087146C" w:rsidRDefault="00D74EFC">
          <w:pPr>
            <w:pStyle w:val="TOC3"/>
            <w:tabs>
              <w:tab w:val="right" w:leader="dot" w:pos="9628"/>
            </w:tabs>
            <w:rPr>
              <w:rFonts w:eastAsiaTheme="minorEastAsia"/>
              <w:noProof/>
              <w:lang w:eastAsia="en-GB"/>
            </w:rPr>
          </w:pPr>
          <w:hyperlink w:anchor="_Toc106697839" w:history="1">
            <w:r w:rsidR="0087146C" w:rsidRPr="00AD1D4B">
              <w:rPr>
                <w:rStyle w:val="Hyperlink"/>
                <w:rFonts w:asciiTheme="majorHAnsi" w:eastAsia="Times New Roman" w:hAnsiTheme="majorHAnsi" w:cstheme="majorBidi"/>
                <w:noProof/>
              </w:rPr>
              <w:t>Lack of cultural and religious literacy</w:t>
            </w:r>
            <w:r w:rsidR="0087146C">
              <w:rPr>
                <w:noProof/>
                <w:webHidden/>
              </w:rPr>
              <w:tab/>
            </w:r>
            <w:r w:rsidR="0087146C">
              <w:rPr>
                <w:noProof/>
                <w:webHidden/>
              </w:rPr>
              <w:fldChar w:fldCharType="begin"/>
            </w:r>
            <w:r w:rsidR="0087146C">
              <w:rPr>
                <w:noProof/>
                <w:webHidden/>
              </w:rPr>
              <w:instrText xml:space="preserve"> PAGEREF _Toc106697839 \h </w:instrText>
            </w:r>
            <w:r w:rsidR="0087146C">
              <w:rPr>
                <w:noProof/>
                <w:webHidden/>
              </w:rPr>
            </w:r>
            <w:r w:rsidR="0087146C">
              <w:rPr>
                <w:noProof/>
                <w:webHidden/>
              </w:rPr>
              <w:fldChar w:fldCharType="separate"/>
            </w:r>
            <w:r w:rsidR="00185BAF">
              <w:rPr>
                <w:noProof/>
                <w:webHidden/>
              </w:rPr>
              <w:t>116</w:t>
            </w:r>
            <w:r w:rsidR="0087146C">
              <w:rPr>
                <w:noProof/>
                <w:webHidden/>
              </w:rPr>
              <w:fldChar w:fldCharType="end"/>
            </w:r>
          </w:hyperlink>
        </w:p>
        <w:p w14:paraId="0A055575" w14:textId="7368B79E" w:rsidR="0087146C" w:rsidRDefault="00D74EFC">
          <w:pPr>
            <w:pStyle w:val="TOC3"/>
            <w:tabs>
              <w:tab w:val="right" w:leader="dot" w:pos="9628"/>
            </w:tabs>
            <w:rPr>
              <w:rFonts w:eastAsiaTheme="minorEastAsia"/>
              <w:noProof/>
              <w:lang w:eastAsia="en-GB"/>
            </w:rPr>
          </w:pPr>
          <w:hyperlink w:anchor="_Toc106697840" w:history="1">
            <w:r w:rsidR="0087146C" w:rsidRPr="00AD1D4B">
              <w:rPr>
                <w:rStyle w:val="Hyperlink"/>
                <w:rFonts w:asciiTheme="majorHAnsi" w:eastAsia="Times New Roman" w:hAnsiTheme="majorHAnsi" w:cstheme="majorBidi"/>
                <w:noProof/>
              </w:rPr>
              <w:t>Preconceived stereotypes and own agenda</w:t>
            </w:r>
            <w:r w:rsidR="0087146C">
              <w:rPr>
                <w:noProof/>
                <w:webHidden/>
              </w:rPr>
              <w:tab/>
            </w:r>
            <w:r w:rsidR="0087146C">
              <w:rPr>
                <w:noProof/>
                <w:webHidden/>
              </w:rPr>
              <w:fldChar w:fldCharType="begin"/>
            </w:r>
            <w:r w:rsidR="0087146C">
              <w:rPr>
                <w:noProof/>
                <w:webHidden/>
              </w:rPr>
              <w:instrText xml:space="preserve"> PAGEREF _Toc106697840 \h </w:instrText>
            </w:r>
            <w:r w:rsidR="0087146C">
              <w:rPr>
                <w:noProof/>
                <w:webHidden/>
              </w:rPr>
            </w:r>
            <w:r w:rsidR="0087146C">
              <w:rPr>
                <w:noProof/>
                <w:webHidden/>
              </w:rPr>
              <w:fldChar w:fldCharType="separate"/>
            </w:r>
            <w:r w:rsidR="00185BAF">
              <w:rPr>
                <w:noProof/>
                <w:webHidden/>
              </w:rPr>
              <w:t>116</w:t>
            </w:r>
            <w:r w:rsidR="0087146C">
              <w:rPr>
                <w:noProof/>
                <w:webHidden/>
              </w:rPr>
              <w:fldChar w:fldCharType="end"/>
            </w:r>
          </w:hyperlink>
        </w:p>
        <w:p w14:paraId="09AC11D2" w14:textId="7D90273F" w:rsidR="0087146C" w:rsidRDefault="00D74EFC">
          <w:pPr>
            <w:pStyle w:val="TOC3"/>
            <w:tabs>
              <w:tab w:val="right" w:leader="dot" w:pos="9628"/>
            </w:tabs>
            <w:rPr>
              <w:rFonts w:eastAsiaTheme="minorEastAsia"/>
              <w:noProof/>
              <w:lang w:eastAsia="en-GB"/>
            </w:rPr>
          </w:pPr>
          <w:hyperlink w:anchor="_Toc106697841" w:history="1">
            <w:r w:rsidR="0087146C" w:rsidRPr="00AD1D4B">
              <w:rPr>
                <w:rStyle w:val="Hyperlink"/>
                <w:rFonts w:asciiTheme="majorHAnsi" w:eastAsia="Times New Roman" w:hAnsiTheme="majorHAnsi" w:cstheme="majorBidi"/>
                <w:noProof/>
              </w:rPr>
              <w:t>Lack of training, opportunities and time</w:t>
            </w:r>
            <w:r w:rsidR="0087146C">
              <w:rPr>
                <w:noProof/>
                <w:webHidden/>
              </w:rPr>
              <w:tab/>
            </w:r>
            <w:r w:rsidR="0087146C">
              <w:rPr>
                <w:noProof/>
                <w:webHidden/>
              </w:rPr>
              <w:fldChar w:fldCharType="begin"/>
            </w:r>
            <w:r w:rsidR="0087146C">
              <w:rPr>
                <w:noProof/>
                <w:webHidden/>
              </w:rPr>
              <w:instrText xml:space="preserve"> PAGEREF _Toc106697841 \h </w:instrText>
            </w:r>
            <w:r w:rsidR="0087146C">
              <w:rPr>
                <w:noProof/>
                <w:webHidden/>
              </w:rPr>
            </w:r>
            <w:r w:rsidR="0087146C">
              <w:rPr>
                <w:noProof/>
                <w:webHidden/>
              </w:rPr>
              <w:fldChar w:fldCharType="separate"/>
            </w:r>
            <w:r w:rsidR="00185BAF">
              <w:rPr>
                <w:noProof/>
                <w:webHidden/>
              </w:rPr>
              <w:t>117</w:t>
            </w:r>
            <w:r w:rsidR="0087146C">
              <w:rPr>
                <w:noProof/>
                <w:webHidden/>
              </w:rPr>
              <w:fldChar w:fldCharType="end"/>
            </w:r>
          </w:hyperlink>
        </w:p>
        <w:p w14:paraId="29344E20" w14:textId="7FAFA6BA" w:rsidR="0087146C" w:rsidRDefault="00D74EFC">
          <w:pPr>
            <w:pStyle w:val="TOC2"/>
            <w:rPr>
              <w:rFonts w:asciiTheme="minorHAnsi" w:eastAsiaTheme="minorEastAsia" w:hAnsiTheme="minorHAnsi" w:cstheme="minorBidi"/>
              <w:lang w:eastAsia="en-GB"/>
            </w:rPr>
          </w:pPr>
          <w:hyperlink w:anchor="_Toc106697842" w:history="1">
            <w:r w:rsidR="0087146C" w:rsidRPr="00AD1D4B">
              <w:rPr>
                <w:rStyle w:val="Hyperlink"/>
                <w:rFonts w:eastAsia="Times New Roman" w:cstheme="majorBidi"/>
              </w:rPr>
              <w:t>Enablers to engaging in end-of-life care planning</w:t>
            </w:r>
            <w:r w:rsidR="0087146C">
              <w:rPr>
                <w:webHidden/>
              </w:rPr>
              <w:tab/>
            </w:r>
            <w:r w:rsidR="0087146C">
              <w:rPr>
                <w:webHidden/>
              </w:rPr>
              <w:fldChar w:fldCharType="begin"/>
            </w:r>
            <w:r w:rsidR="0087146C">
              <w:rPr>
                <w:webHidden/>
              </w:rPr>
              <w:instrText xml:space="preserve"> PAGEREF _Toc106697842 \h </w:instrText>
            </w:r>
            <w:r w:rsidR="0087146C">
              <w:rPr>
                <w:webHidden/>
              </w:rPr>
            </w:r>
            <w:r w:rsidR="0087146C">
              <w:rPr>
                <w:webHidden/>
              </w:rPr>
              <w:fldChar w:fldCharType="separate"/>
            </w:r>
            <w:r w:rsidR="00185BAF">
              <w:rPr>
                <w:webHidden/>
              </w:rPr>
              <w:t>117</w:t>
            </w:r>
            <w:r w:rsidR="0087146C">
              <w:rPr>
                <w:webHidden/>
              </w:rPr>
              <w:fldChar w:fldCharType="end"/>
            </w:r>
          </w:hyperlink>
        </w:p>
        <w:p w14:paraId="56A5FB3D" w14:textId="52257ADE" w:rsidR="0087146C" w:rsidRDefault="00D74EFC">
          <w:pPr>
            <w:pStyle w:val="TOC3"/>
            <w:tabs>
              <w:tab w:val="right" w:leader="dot" w:pos="9628"/>
            </w:tabs>
            <w:rPr>
              <w:rFonts w:eastAsiaTheme="minorEastAsia"/>
              <w:noProof/>
              <w:lang w:eastAsia="en-GB"/>
            </w:rPr>
          </w:pPr>
          <w:hyperlink w:anchor="_Toc106697843" w:history="1">
            <w:r w:rsidR="0087146C" w:rsidRPr="00AD1D4B">
              <w:rPr>
                <w:rStyle w:val="Hyperlink"/>
                <w:rFonts w:asciiTheme="majorHAnsi" w:eastAsia="Times New Roman" w:hAnsiTheme="majorHAnsi" w:cstheme="majorBidi"/>
                <w:noProof/>
              </w:rPr>
              <w:t>Trust</w:t>
            </w:r>
            <w:r w:rsidR="0087146C">
              <w:rPr>
                <w:noProof/>
                <w:webHidden/>
              </w:rPr>
              <w:tab/>
            </w:r>
            <w:r w:rsidR="0087146C">
              <w:rPr>
                <w:noProof/>
                <w:webHidden/>
              </w:rPr>
              <w:fldChar w:fldCharType="begin"/>
            </w:r>
            <w:r w:rsidR="0087146C">
              <w:rPr>
                <w:noProof/>
                <w:webHidden/>
              </w:rPr>
              <w:instrText xml:space="preserve"> PAGEREF _Toc106697843 \h </w:instrText>
            </w:r>
            <w:r w:rsidR="0087146C">
              <w:rPr>
                <w:noProof/>
                <w:webHidden/>
              </w:rPr>
            </w:r>
            <w:r w:rsidR="0087146C">
              <w:rPr>
                <w:noProof/>
                <w:webHidden/>
              </w:rPr>
              <w:fldChar w:fldCharType="separate"/>
            </w:r>
            <w:r w:rsidR="00185BAF">
              <w:rPr>
                <w:noProof/>
                <w:webHidden/>
              </w:rPr>
              <w:t>117</w:t>
            </w:r>
            <w:r w:rsidR="0087146C">
              <w:rPr>
                <w:noProof/>
                <w:webHidden/>
              </w:rPr>
              <w:fldChar w:fldCharType="end"/>
            </w:r>
          </w:hyperlink>
        </w:p>
        <w:p w14:paraId="38A4364B" w14:textId="124519AE" w:rsidR="0087146C" w:rsidRDefault="00012E64">
          <w:pPr>
            <w:pStyle w:val="TOC3"/>
            <w:tabs>
              <w:tab w:val="right" w:leader="dot" w:pos="9628"/>
            </w:tabs>
            <w:rPr>
              <w:rFonts w:eastAsiaTheme="minorEastAsia"/>
              <w:noProof/>
              <w:lang w:eastAsia="en-GB"/>
            </w:rPr>
          </w:pPr>
          <w:hyperlink w:anchor="_Toc106697844" w:history="1">
            <w:r w:rsidR="0087146C" w:rsidRPr="00AD1D4B">
              <w:rPr>
                <w:rStyle w:val="Hyperlink"/>
                <w:rFonts w:asciiTheme="majorHAnsi" w:eastAsiaTheme="majorEastAsia" w:hAnsiTheme="majorHAnsi" w:cstheme="majorBidi"/>
                <w:noProof/>
              </w:rPr>
              <w:t>Effective communication</w:t>
            </w:r>
            <w:r w:rsidR="0087146C">
              <w:rPr>
                <w:noProof/>
                <w:webHidden/>
              </w:rPr>
              <w:tab/>
            </w:r>
            <w:r w:rsidR="0087146C">
              <w:rPr>
                <w:noProof/>
                <w:webHidden/>
              </w:rPr>
              <w:fldChar w:fldCharType="begin"/>
            </w:r>
            <w:r w:rsidR="0087146C">
              <w:rPr>
                <w:noProof/>
                <w:webHidden/>
              </w:rPr>
              <w:instrText xml:space="preserve"> PAGEREF _Toc106697844 \h </w:instrText>
            </w:r>
            <w:r w:rsidR="0087146C">
              <w:rPr>
                <w:noProof/>
                <w:webHidden/>
              </w:rPr>
            </w:r>
            <w:r w:rsidR="0087146C">
              <w:rPr>
                <w:noProof/>
                <w:webHidden/>
              </w:rPr>
              <w:fldChar w:fldCharType="separate"/>
            </w:r>
            <w:r w:rsidR="00185BAF">
              <w:rPr>
                <w:noProof/>
                <w:webHidden/>
              </w:rPr>
              <w:t>118</w:t>
            </w:r>
            <w:r w:rsidR="0087146C">
              <w:rPr>
                <w:noProof/>
                <w:webHidden/>
              </w:rPr>
              <w:fldChar w:fldCharType="end"/>
            </w:r>
          </w:hyperlink>
        </w:p>
        <w:p w14:paraId="0EC39AA4" w14:textId="09CA88DD" w:rsidR="0087146C" w:rsidRDefault="00D74EFC">
          <w:pPr>
            <w:pStyle w:val="TOC3"/>
            <w:tabs>
              <w:tab w:val="right" w:leader="dot" w:pos="9628"/>
            </w:tabs>
            <w:rPr>
              <w:rFonts w:eastAsiaTheme="minorEastAsia"/>
              <w:noProof/>
              <w:lang w:eastAsia="en-GB"/>
            </w:rPr>
          </w:pPr>
          <w:hyperlink w:anchor="_Toc106697845" w:history="1">
            <w:r w:rsidR="0087146C" w:rsidRPr="00AD1D4B">
              <w:rPr>
                <w:rStyle w:val="Hyperlink"/>
                <w:rFonts w:asciiTheme="majorHAnsi" w:eastAsia="Times New Roman" w:hAnsiTheme="majorHAnsi" w:cstheme="majorBidi"/>
                <w:noProof/>
              </w:rPr>
              <w:t>Developing a personalised approach to end-of-life care planning</w:t>
            </w:r>
            <w:r w:rsidR="0087146C">
              <w:rPr>
                <w:noProof/>
                <w:webHidden/>
              </w:rPr>
              <w:tab/>
            </w:r>
            <w:r w:rsidR="0087146C">
              <w:rPr>
                <w:noProof/>
                <w:webHidden/>
              </w:rPr>
              <w:fldChar w:fldCharType="begin"/>
            </w:r>
            <w:r w:rsidR="0087146C">
              <w:rPr>
                <w:noProof/>
                <w:webHidden/>
              </w:rPr>
              <w:instrText xml:space="preserve"> PAGEREF _Toc106697845 \h </w:instrText>
            </w:r>
            <w:r w:rsidR="0087146C">
              <w:rPr>
                <w:noProof/>
                <w:webHidden/>
              </w:rPr>
            </w:r>
            <w:r w:rsidR="0087146C">
              <w:rPr>
                <w:noProof/>
                <w:webHidden/>
              </w:rPr>
              <w:fldChar w:fldCharType="separate"/>
            </w:r>
            <w:r w:rsidR="00185BAF">
              <w:rPr>
                <w:noProof/>
                <w:webHidden/>
              </w:rPr>
              <w:t>118</w:t>
            </w:r>
            <w:r w:rsidR="0087146C">
              <w:rPr>
                <w:noProof/>
                <w:webHidden/>
              </w:rPr>
              <w:fldChar w:fldCharType="end"/>
            </w:r>
          </w:hyperlink>
        </w:p>
        <w:p w14:paraId="01102C52" w14:textId="7FF6D23E" w:rsidR="0087146C" w:rsidRDefault="00012E64">
          <w:pPr>
            <w:pStyle w:val="TOC3"/>
            <w:tabs>
              <w:tab w:val="right" w:leader="dot" w:pos="9628"/>
            </w:tabs>
            <w:rPr>
              <w:rFonts w:eastAsiaTheme="minorEastAsia"/>
              <w:noProof/>
              <w:lang w:eastAsia="en-GB"/>
            </w:rPr>
          </w:pPr>
          <w:hyperlink w:anchor="_Toc106697846" w:history="1">
            <w:r w:rsidR="0087146C" w:rsidRPr="00AD1D4B">
              <w:rPr>
                <w:rStyle w:val="Hyperlink"/>
                <w:rFonts w:asciiTheme="majorHAnsi" w:eastAsia="Times New Roman" w:hAnsiTheme="majorHAnsi" w:cstheme="majorBidi"/>
                <w:noProof/>
              </w:rPr>
              <w:t>Knowing the patient</w:t>
            </w:r>
            <w:r w:rsidR="0087146C">
              <w:rPr>
                <w:noProof/>
                <w:webHidden/>
              </w:rPr>
              <w:tab/>
            </w:r>
            <w:r w:rsidR="0087146C">
              <w:rPr>
                <w:noProof/>
                <w:webHidden/>
              </w:rPr>
              <w:fldChar w:fldCharType="begin"/>
            </w:r>
            <w:r w:rsidR="0087146C">
              <w:rPr>
                <w:noProof/>
                <w:webHidden/>
              </w:rPr>
              <w:instrText xml:space="preserve"> PAGEREF _Toc106697846 \h </w:instrText>
            </w:r>
            <w:r w:rsidR="0087146C">
              <w:rPr>
                <w:noProof/>
                <w:webHidden/>
              </w:rPr>
            </w:r>
            <w:r w:rsidR="0087146C">
              <w:rPr>
                <w:noProof/>
                <w:webHidden/>
              </w:rPr>
              <w:fldChar w:fldCharType="separate"/>
            </w:r>
            <w:r w:rsidR="00185BAF">
              <w:rPr>
                <w:noProof/>
                <w:webHidden/>
              </w:rPr>
              <w:t>119</w:t>
            </w:r>
            <w:r w:rsidR="0087146C">
              <w:rPr>
                <w:noProof/>
                <w:webHidden/>
              </w:rPr>
              <w:fldChar w:fldCharType="end"/>
            </w:r>
          </w:hyperlink>
        </w:p>
        <w:p w14:paraId="6480F5BE" w14:textId="4D03150D" w:rsidR="0087146C" w:rsidRDefault="00D74EFC">
          <w:pPr>
            <w:pStyle w:val="TOC3"/>
            <w:tabs>
              <w:tab w:val="right" w:leader="dot" w:pos="9628"/>
            </w:tabs>
            <w:rPr>
              <w:rFonts w:eastAsiaTheme="minorEastAsia"/>
              <w:noProof/>
              <w:lang w:eastAsia="en-GB"/>
            </w:rPr>
          </w:pPr>
          <w:hyperlink w:anchor="_Toc106697847" w:history="1">
            <w:r w:rsidR="0087146C" w:rsidRPr="00AD1D4B">
              <w:rPr>
                <w:rStyle w:val="Hyperlink"/>
                <w:rFonts w:asciiTheme="majorHAnsi" w:eastAsia="Times New Roman" w:hAnsiTheme="majorHAnsi" w:cstheme="majorBidi"/>
                <w:noProof/>
              </w:rPr>
              <w:t>Working with the patient in their families</w:t>
            </w:r>
            <w:r w:rsidR="0087146C">
              <w:rPr>
                <w:noProof/>
                <w:webHidden/>
              </w:rPr>
              <w:tab/>
            </w:r>
            <w:r w:rsidR="0087146C">
              <w:rPr>
                <w:noProof/>
                <w:webHidden/>
              </w:rPr>
              <w:fldChar w:fldCharType="begin"/>
            </w:r>
            <w:r w:rsidR="0087146C">
              <w:rPr>
                <w:noProof/>
                <w:webHidden/>
              </w:rPr>
              <w:instrText xml:space="preserve"> PAGEREF _Toc106697847 \h </w:instrText>
            </w:r>
            <w:r w:rsidR="0087146C">
              <w:rPr>
                <w:noProof/>
                <w:webHidden/>
              </w:rPr>
            </w:r>
            <w:r w:rsidR="0087146C">
              <w:rPr>
                <w:noProof/>
                <w:webHidden/>
              </w:rPr>
              <w:fldChar w:fldCharType="separate"/>
            </w:r>
            <w:r w:rsidR="00185BAF">
              <w:rPr>
                <w:noProof/>
                <w:webHidden/>
              </w:rPr>
              <w:t>119</w:t>
            </w:r>
            <w:r w:rsidR="0087146C">
              <w:rPr>
                <w:noProof/>
                <w:webHidden/>
              </w:rPr>
              <w:fldChar w:fldCharType="end"/>
            </w:r>
          </w:hyperlink>
        </w:p>
        <w:p w14:paraId="42605D74" w14:textId="3AEC90E8" w:rsidR="0087146C" w:rsidRDefault="00012E64">
          <w:pPr>
            <w:pStyle w:val="TOC3"/>
            <w:tabs>
              <w:tab w:val="right" w:leader="dot" w:pos="9628"/>
            </w:tabs>
            <w:rPr>
              <w:rFonts w:eastAsiaTheme="minorEastAsia"/>
              <w:noProof/>
              <w:lang w:eastAsia="en-GB"/>
            </w:rPr>
          </w:pPr>
          <w:hyperlink w:anchor="_Toc106697848" w:history="1">
            <w:r w:rsidR="0087146C" w:rsidRPr="00AD1D4B">
              <w:rPr>
                <w:rStyle w:val="Hyperlink"/>
                <w:rFonts w:asciiTheme="majorHAnsi" w:eastAsia="Times New Roman" w:hAnsiTheme="majorHAnsi" w:cstheme="majorBidi"/>
                <w:noProof/>
              </w:rPr>
              <w:t>Raising awareness</w:t>
            </w:r>
            <w:r w:rsidR="0087146C">
              <w:rPr>
                <w:noProof/>
                <w:webHidden/>
              </w:rPr>
              <w:tab/>
            </w:r>
            <w:r w:rsidR="0087146C">
              <w:rPr>
                <w:noProof/>
                <w:webHidden/>
              </w:rPr>
              <w:fldChar w:fldCharType="begin"/>
            </w:r>
            <w:r w:rsidR="0087146C">
              <w:rPr>
                <w:noProof/>
                <w:webHidden/>
              </w:rPr>
              <w:instrText xml:space="preserve"> PAGEREF _Toc106697848 \h </w:instrText>
            </w:r>
            <w:r w:rsidR="0087146C">
              <w:rPr>
                <w:noProof/>
                <w:webHidden/>
              </w:rPr>
            </w:r>
            <w:r w:rsidR="0087146C">
              <w:rPr>
                <w:noProof/>
                <w:webHidden/>
              </w:rPr>
              <w:fldChar w:fldCharType="separate"/>
            </w:r>
            <w:r w:rsidR="00185BAF">
              <w:rPr>
                <w:noProof/>
                <w:webHidden/>
              </w:rPr>
              <w:t>120</w:t>
            </w:r>
            <w:r w:rsidR="0087146C">
              <w:rPr>
                <w:noProof/>
                <w:webHidden/>
              </w:rPr>
              <w:fldChar w:fldCharType="end"/>
            </w:r>
          </w:hyperlink>
        </w:p>
        <w:p w14:paraId="05EE11DF" w14:textId="71D1D228" w:rsidR="0087146C" w:rsidRDefault="00D74EFC">
          <w:pPr>
            <w:pStyle w:val="TOC3"/>
            <w:tabs>
              <w:tab w:val="right" w:leader="dot" w:pos="9628"/>
            </w:tabs>
            <w:rPr>
              <w:rFonts w:eastAsiaTheme="minorEastAsia"/>
              <w:noProof/>
              <w:lang w:eastAsia="en-GB"/>
            </w:rPr>
          </w:pPr>
          <w:hyperlink w:anchor="_Toc106697849" w:history="1">
            <w:r w:rsidR="0087146C" w:rsidRPr="00AD1D4B">
              <w:rPr>
                <w:rStyle w:val="Hyperlink"/>
                <w:rFonts w:asciiTheme="majorHAnsi" w:eastAsia="Times New Roman" w:hAnsiTheme="majorHAnsi" w:cstheme="majorBidi"/>
                <w:noProof/>
              </w:rPr>
              <w:t>Further training</w:t>
            </w:r>
            <w:r w:rsidR="0087146C">
              <w:rPr>
                <w:noProof/>
                <w:webHidden/>
              </w:rPr>
              <w:tab/>
            </w:r>
            <w:r w:rsidR="0087146C">
              <w:rPr>
                <w:noProof/>
                <w:webHidden/>
              </w:rPr>
              <w:fldChar w:fldCharType="begin"/>
            </w:r>
            <w:r w:rsidR="0087146C">
              <w:rPr>
                <w:noProof/>
                <w:webHidden/>
              </w:rPr>
              <w:instrText xml:space="preserve"> PAGEREF _Toc106697849 \h </w:instrText>
            </w:r>
            <w:r w:rsidR="0087146C">
              <w:rPr>
                <w:noProof/>
                <w:webHidden/>
              </w:rPr>
            </w:r>
            <w:r w:rsidR="0087146C">
              <w:rPr>
                <w:noProof/>
                <w:webHidden/>
              </w:rPr>
              <w:fldChar w:fldCharType="separate"/>
            </w:r>
            <w:r w:rsidR="00185BAF">
              <w:rPr>
                <w:noProof/>
                <w:webHidden/>
              </w:rPr>
              <w:t>120</w:t>
            </w:r>
            <w:r w:rsidR="0087146C">
              <w:rPr>
                <w:noProof/>
                <w:webHidden/>
              </w:rPr>
              <w:fldChar w:fldCharType="end"/>
            </w:r>
          </w:hyperlink>
        </w:p>
        <w:p w14:paraId="19304C9D" w14:textId="207FDBD7" w:rsidR="0087146C" w:rsidRDefault="00012E64">
          <w:pPr>
            <w:pStyle w:val="TOC3"/>
            <w:tabs>
              <w:tab w:val="right" w:leader="dot" w:pos="9628"/>
            </w:tabs>
            <w:rPr>
              <w:rFonts w:eastAsiaTheme="minorEastAsia"/>
              <w:noProof/>
              <w:lang w:eastAsia="en-GB"/>
            </w:rPr>
          </w:pPr>
          <w:hyperlink w:anchor="_Toc106697850" w:history="1">
            <w:r w:rsidR="0087146C" w:rsidRPr="00AD1D4B">
              <w:rPr>
                <w:rStyle w:val="Hyperlink"/>
                <w:rFonts w:asciiTheme="majorHAnsi" w:eastAsia="Times New Roman" w:hAnsiTheme="majorHAnsi" w:cstheme="majorBidi"/>
                <w:noProof/>
              </w:rPr>
              <w:t>Developing training materials</w:t>
            </w:r>
            <w:r w:rsidR="0087146C">
              <w:rPr>
                <w:noProof/>
                <w:webHidden/>
              </w:rPr>
              <w:tab/>
            </w:r>
            <w:r w:rsidR="0087146C">
              <w:rPr>
                <w:noProof/>
                <w:webHidden/>
              </w:rPr>
              <w:fldChar w:fldCharType="begin"/>
            </w:r>
            <w:r w:rsidR="0087146C">
              <w:rPr>
                <w:noProof/>
                <w:webHidden/>
              </w:rPr>
              <w:instrText xml:space="preserve"> PAGEREF _Toc106697850 \h </w:instrText>
            </w:r>
            <w:r w:rsidR="0087146C">
              <w:rPr>
                <w:noProof/>
                <w:webHidden/>
              </w:rPr>
            </w:r>
            <w:r w:rsidR="0087146C">
              <w:rPr>
                <w:noProof/>
                <w:webHidden/>
              </w:rPr>
              <w:fldChar w:fldCharType="separate"/>
            </w:r>
            <w:r w:rsidR="00185BAF">
              <w:rPr>
                <w:noProof/>
                <w:webHidden/>
              </w:rPr>
              <w:t>121</w:t>
            </w:r>
            <w:r w:rsidR="0087146C">
              <w:rPr>
                <w:noProof/>
                <w:webHidden/>
              </w:rPr>
              <w:fldChar w:fldCharType="end"/>
            </w:r>
          </w:hyperlink>
        </w:p>
        <w:p w14:paraId="6CF7EA24" w14:textId="64218C7D" w:rsidR="0087146C" w:rsidRDefault="00012E64">
          <w:pPr>
            <w:pStyle w:val="TOC2"/>
            <w:rPr>
              <w:rFonts w:asciiTheme="minorHAnsi" w:eastAsiaTheme="minorEastAsia" w:hAnsiTheme="minorHAnsi" w:cstheme="minorBidi"/>
              <w:lang w:eastAsia="en-GB"/>
            </w:rPr>
          </w:pPr>
          <w:hyperlink w:anchor="_Toc106697851" w:history="1">
            <w:r w:rsidR="0087146C" w:rsidRPr="00AD1D4B">
              <w:rPr>
                <w:rStyle w:val="Hyperlink"/>
                <w:rFonts w:eastAsiaTheme="majorEastAsia" w:cstheme="majorBidi"/>
              </w:rPr>
              <w:t>Conclusions</w:t>
            </w:r>
            <w:r w:rsidR="0087146C">
              <w:rPr>
                <w:webHidden/>
              </w:rPr>
              <w:tab/>
            </w:r>
            <w:r w:rsidR="0087146C">
              <w:rPr>
                <w:webHidden/>
              </w:rPr>
              <w:fldChar w:fldCharType="begin"/>
            </w:r>
            <w:r w:rsidR="0087146C">
              <w:rPr>
                <w:webHidden/>
              </w:rPr>
              <w:instrText xml:space="preserve"> PAGEREF _Toc106697851 \h </w:instrText>
            </w:r>
            <w:r w:rsidR="0087146C">
              <w:rPr>
                <w:webHidden/>
              </w:rPr>
            </w:r>
            <w:r w:rsidR="0087146C">
              <w:rPr>
                <w:webHidden/>
              </w:rPr>
              <w:fldChar w:fldCharType="separate"/>
            </w:r>
            <w:r w:rsidR="00185BAF">
              <w:rPr>
                <w:webHidden/>
              </w:rPr>
              <w:t>126</w:t>
            </w:r>
            <w:r w:rsidR="0087146C">
              <w:rPr>
                <w:webHidden/>
              </w:rPr>
              <w:fldChar w:fldCharType="end"/>
            </w:r>
          </w:hyperlink>
        </w:p>
        <w:p w14:paraId="7DDE4F60" w14:textId="761778E4" w:rsidR="0087146C" w:rsidRDefault="00012E64">
          <w:pPr>
            <w:pStyle w:val="TOC2"/>
            <w:rPr>
              <w:rFonts w:asciiTheme="minorHAnsi" w:eastAsiaTheme="minorEastAsia" w:hAnsiTheme="minorHAnsi" w:cstheme="minorBidi"/>
              <w:lang w:eastAsia="en-GB"/>
            </w:rPr>
          </w:pPr>
          <w:hyperlink w:anchor="_Toc106697852" w:history="1">
            <w:r w:rsidR="0087146C" w:rsidRPr="00AD1D4B">
              <w:rPr>
                <w:rStyle w:val="Hyperlink"/>
                <w:rFonts w:eastAsiaTheme="majorEastAsia" w:cstheme="majorBidi"/>
              </w:rPr>
              <w:t>Chapter 7: Discussion and Conclusions</w:t>
            </w:r>
            <w:r w:rsidR="0087146C">
              <w:rPr>
                <w:webHidden/>
              </w:rPr>
              <w:tab/>
            </w:r>
            <w:r w:rsidR="0087146C">
              <w:rPr>
                <w:webHidden/>
              </w:rPr>
              <w:fldChar w:fldCharType="begin"/>
            </w:r>
            <w:r w:rsidR="0087146C">
              <w:rPr>
                <w:webHidden/>
              </w:rPr>
              <w:instrText xml:space="preserve"> PAGEREF _Toc106697852 \h </w:instrText>
            </w:r>
            <w:r w:rsidR="0087146C">
              <w:rPr>
                <w:webHidden/>
              </w:rPr>
            </w:r>
            <w:r w:rsidR="0087146C">
              <w:rPr>
                <w:webHidden/>
              </w:rPr>
              <w:fldChar w:fldCharType="separate"/>
            </w:r>
            <w:r w:rsidR="00185BAF">
              <w:rPr>
                <w:webHidden/>
              </w:rPr>
              <w:t>128</w:t>
            </w:r>
            <w:r w:rsidR="0087146C">
              <w:rPr>
                <w:webHidden/>
              </w:rPr>
              <w:fldChar w:fldCharType="end"/>
            </w:r>
          </w:hyperlink>
        </w:p>
        <w:p w14:paraId="54981015" w14:textId="7D85A8BA" w:rsidR="0087146C" w:rsidRDefault="00012E64">
          <w:pPr>
            <w:pStyle w:val="TOC2"/>
            <w:rPr>
              <w:rFonts w:asciiTheme="minorHAnsi" w:eastAsiaTheme="minorEastAsia" w:hAnsiTheme="minorHAnsi" w:cstheme="minorBidi"/>
              <w:lang w:eastAsia="en-GB"/>
            </w:rPr>
          </w:pPr>
          <w:hyperlink w:anchor="_Toc106697853" w:history="1">
            <w:r w:rsidR="0087146C" w:rsidRPr="00AD1D4B">
              <w:rPr>
                <w:rStyle w:val="Hyperlink"/>
                <w:rFonts w:eastAsiaTheme="majorEastAsia" w:cstheme="majorBidi"/>
              </w:rPr>
              <w:t>Introduction</w:t>
            </w:r>
            <w:r w:rsidR="0087146C">
              <w:rPr>
                <w:webHidden/>
              </w:rPr>
              <w:tab/>
            </w:r>
            <w:r w:rsidR="0087146C">
              <w:rPr>
                <w:webHidden/>
              </w:rPr>
              <w:fldChar w:fldCharType="begin"/>
            </w:r>
            <w:r w:rsidR="0087146C">
              <w:rPr>
                <w:webHidden/>
              </w:rPr>
              <w:instrText xml:space="preserve"> PAGEREF _Toc106697853 \h </w:instrText>
            </w:r>
            <w:r w:rsidR="0087146C">
              <w:rPr>
                <w:webHidden/>
              </w:rPr>
            </w:r>
            <w:r w:rsidR="0087146C">
              <w:rPr>
                <w:webHidden/>
              </w:rPr>
              <w:fldChar w:fldCharType="separate"/>
            </w:r>
            <w:r w:rsidR="00185BAF">
              <w:rPr>
                <w:webHidden/>
              </w:rPr>
              <w:t>128</w:t>
            </w:r>
            <w:r w:rsidR="0087146C">
              <w:rPr>
                <w:webHidden/>
              </w:rPr>
              <w:fldChar w:fldCharType="end"/>
            </w:r>
          </w:hyperlink>
        </w:p>
        <w:p w14:paraId="68ADD95B" w14:textId="0BA6E8FA" w:rsidR="0087146C" w:rsidRDefault="00012E64">
          <w:pPr>
            <w:pStyle w:val="TOC2"/>
            <w:rPr>
              <w:rFonts w:asciiTheme="minorHAnsi" w:eastAsiaTheme="minorEastAsia" w:hAnsiTheme="minorHAnsi" w:cstheme="minorBidi"/>
              <w:lang w:eastAsia="en-GB"/>
            </w:rPr>
          </w:pPr>
          <w:hyperlink w:anchor="_Toc106697854" w:history="1">
            <w:r w:rsidR="0087146C" w:rsidRPr="00AD1D4B">
              <w:rPr>
                <w:rStyle w:val="Hyperlink"/>
                <w:rFonts w:eastAsiaTheme="majorEastAsia" w:cstheme="majorBidi"/>
              </w:rPr>
              <w:t>Understanding and engaging with end-of-life care planning</w:t>
            </w:r>
            <w:r w:rsidR="0087146C">
              <w:rPr>
                <w:webHidden/>
              </w:rPr>
              <w:tab/>
            </w:r>
            <w:r w:rsidR="0087146C">
              <w:rPr>
                <w:webHidden/>
              </w:rPr>
              <w:fldChar w:fldCharType="begin"/>
            </w:r>
            <w:r w:rsidR="0087146C">
              <w:rPr>
                <w:webHidden/>
              </w:rPr>
              <w:instrText xml:space="preserve"> PAGEREF _Toc106697854 \h </w:instrText>
            </w:r>
            <w:r w:rsidR="0087146C">
              <w:rPr>
                <w:webHidden/>
              </w:rPr>
            </w:r>
            <w:r w:rsidR="0087146C">
              <w:rPr>
                <w:webHidden/>
              </w:rPr>
              <w:fldChar w:fldCharType="separate"/>
            </w:r>
            <w:r w:rsidR="00185BAF">
              <w:rPr>
                <w:webHidden/>
              </w:rPr>
              <w:t>129</w:t>
            </w:r>
            <w:r w:rsidR="0087146C">
              <w:rPr>
                <w:webHidden/>
              </w:rPr>
              <w:fldChar w:fldCharType="end"/>
            </w:r>
          </w:hyperlink>
        </w:p>
        <w:p w14:paraId="70786F31" w14:textId="1D44669C" w:rsidR="0087146C" w:rsidRDefault="00012E64">
          <w:pPr>
            <w:pStyle w:val="TOC2"/>
            <w:rPr>
              <w:rFonts w:asciiTheme="minorHAnsi" w:eastAsiaTheme="minorEastAsia" w:hAnsiTheme="minorHAnsi" w:cstheme="minorBidi"/>
              <w:lang w:eastAsia="en-GB"/>
            </w:rPr>
          </w:pPr>
          <w:hyperlink w:anchor="_Toc106697855" w:history="1">
            <w:r w:rsidR="0087146C" w:rsidRPr="00AD1D4B">
              <w:rPr>
                <w:rStyle w:val="Hyperlink"/>
                <w:rFonts w:eastAsiaTheme="majorEastAsia" w:cstheme="majorBidi"/>
              </w:rPr>
              <w:t>Prognosis, awareness of dying and reluctance to think ahead</w:t>
            </w:r>
            <w:r w:rsidR="0087146C">
              <w:rPr>
                <w:webHidden/>
              </w:rPr>
              <w:tab/>
            </w:r>
            <w:r w:rsidR="0087146C">
              <w:rPr>
                <w:webHidden/>
              </w:rPr>
              <w:fldChar w:fldCharType="begin"/>
            </w:r>
            <w:r w:rsidR="0087146C">
              <w:rPr>
                <w:webHidden/>
              </w:rPr>
              <w:instrText xml:space="preserve"> PAGEREF _Toc106697855 \h </w:instrText>
            </w:r>
            <w:r w:rsidR="0087146C">
              <w:rPr>
                <w:webHidden/>
              </w:rPr>
            </w:r>
            <w:r w:rsidR="0087146C">
              <w:rPr>
                <w:webHidden/>
              </w:rPr>
              <w:fldChar w:fldCharType="separate"/>
            </w:r>
            <w:r w:rsidR="00185BAF">
              <w:rPr>
                <w:webHidden/>
              </w:rPr>
              <w:t>133</w:t>
            </w:r>
            <w:r w:rsidR="0087146C">
              <w:rPr>
                <w:webHidden/>
              </w:rPr>
              <w:fldChar w:fldCharType="end"/>
            </w:r>
          </w:hyperlink>
        </w:p>
        <w:p w14:paraId="574EA3A9" w14:textId="64213374" w:rsidR="0087146C" w:rsidRDefault="00012E64">
          <w:pPr>
            <w:pStyle w:val="TOC2"/>
            <w:rPr>
              <w:rFonts w:asciiTheme="minorHAnsi" w:eastAsiaTheme="minorEastAsia" w:hAnsiTheme="minorHAnsi" w:cstheme="minorBidi"/>
              <w:lang w:eastAsia="en-GB"/>
            </w:rPr>
          </w:pPr>
          <w:hyperlink w:anchor="_Toc106697856" w:history="1">
            <w:r w:rsidR="0087146C" w:rsidRPr="00AD1D4B">
              <w:rPr>
                <w:rStyle w:val="Hyperlink"/>
                <w:rFonts w:eastAsiaTheme="majorEastAsia" w:cstheme="majorBidi"/>
              </w:rPr>
              <w:t>Language, communication, and decision-making</w:t>
            </w:r>
            <w:r w:rsidR="0087146C">
              <w:rPr>
                <w:webHidden/>
              </w:rPr>
              <w:tab/>
            </w:r>
            <w:r w:rsidR="0087146C">
              <w:rPr>
                <w:webHidden/>
              </w:rPr>
              <w:fldChar w:fldCharType="begin"/>
            </w:r>
            <w:r w:rsidR="0087146C">
              <w:rPr>
                <w:webHidden/>
              </w:rPr>
              <w:instrText xml:space="preserve"> PAGEREF _Toc106697856 \h </w:instrText>
            </w:r>
            <w:r w:rsidR="0087146C">
              <w:rPr>
                <w:webHidden/>
              </w:rPr>
            </w:r>
            <w:r w:rsidR="0087146C">
              <w:rPr>
                <w:webHidden/>
              </w:rPr>
              <w:fldChar w:fldCharType="separate"/>
            </w:r>
            <w:r w:rsidR="00185BAF">
              <w:rPr>
                <w:webHidden/>
              </w:rPr>
              <w:t>134</w:t>
            </w:r>
            <w:r w:rsidR="0087146C">
              <w:rPr>
                <w:webHidden/>
              </w:rPr>
              <w:fldChar w:fldCharType="end"/>
            </w:r>
          </w:hyperlink>
        </w:p>
        <w:p w14:paraId="7EE963C8" w14:textId="68BFDF9A" w:rsidR="0087146C" w:rsidRDefault="00012E64">
          <w:pPr>
            <w:pStyle w:val="TOC2"/>
            <w:rPr>
              <w:rFonts w:asciiTheme="minorHAnsi" w:eastAsiaTheme="minorEastAsia" w:hAnsiTheme="minorHAnsi" w:cstheme="minorBidi"/>
              <w:lang w:eastAsia="en-GB"/>
            </w:rPr>
          </w:pPr>
          <w:hyperlink w:anchor="_Toc106697857" w:history="1">
            <w:r w:rsidR="0087146C" w:rsidRPr="00AD1D4B">
              <w:rPr>
                <w:rStyle w:val="Hyperlink"/>
                <w:rFonts w:eastAsiaTheme="majorEastAsia" w:cstheme="majorBidi"/>
              </w:rPr>
              <w:t>Models of care</w:t>
            </w:r>
            <w:r w:rsidR="0087146C">
              <w:rPr>
                <w:webHidden/>
              </w:rPr>
              <w:tab/>
            </w:r>
            <w:r w:rsidR="0087146C">
              <w:rPr>
                <w:webHidden/>
              </w:rPr>
              <w:fldChar w:fldCharType="begin"/>
            </w:r>
            <w:r w:rsidR="0087146C">
              <w:rPr>
                <w:webHidden/>
              </w:rPr>
              <w:instrText xml:space="preserve"> PAGEREF _Toc106697857 \h </w:instrText>
            </w:r>
            <w:r w:rsidR="0087146C">
              <w:rPr>
                <w:webHidden/>
              </w:rPr>
            </w:r>
            <w:r w:rsidR="0087146C">
              <w:rPr>
                <w:webHidden/>
              </w:rPr>
              <w:fldChar w:fldCharType="separate"/>
            </w:r>
            <w:r w:rsidR="00185BAF">
              <w:rPr>
                <w:webHidden/>
              </w:rPr>
              <w:t>137</w:t>
            </w:r>
            <w:r w:rsidR="0087146C">
              <w:rPr>
                <w:webHidden/>
              </w:rPr>
              <w:fldChar w:fldCharType="end"/>
            </w:r>
          </w:hyperlink>
        </w:p>
        <w:p w14:paraId="5AA5E43E" w14:textId="23F1F774" w:rsidR="0087146C" w:rsidRDefault="00012E64">
          <w:pPr>
            <w:pStyle w:val="TOC2"/>
            <w:rPr>
              <w:rFonts w:asciiTheme="minorHAnsi" w:eastAsiaTheme="minorEastAsia" w:hAnsiTheme="minorHAnsi" w:cstheme="minorBidi"/>
              <w:lang w:eastAsia="en-GB"/>
            </w:rPr>
          </w:pPr>
          <w:hyperlink w:anchor="_Toc106697858" w:history="1">
            <w:r w:rsidR="0087146C" w:rsidRPr="00AD1D4B">
              <w:rPr>
                <w:rStyle w:val="Hyperlink"/>
                <w:rFonts w:eastAsiaTheme="majorEastAsia" w:cstheme="majorBidi"/>
              </w:rPr>
              <w:t>Navigating a complex system of health care</w:t>
            </w:r>
            <w:r w:rsidR="0087146C">
              <w:rPr>
                <w:webHidden/>
              </w:rPr>
              <w:tab/>
            </w:r>
            <w:r w:rsidR="0087146C">
              <w:rPr>
                <w:webHidden/>
              </w:rPr>
              <w:fldChar w:fldCharType="begin"/>
            </w:r>
            <w:r w:rsidR="0087146C">
              <w:rPr>
                <w:webHidden/>
              </w:rPr>
              <w:instrText xml:space="preserve"> PAGEREF _Toc106697858 \h </w:instrText>
            </w:r>
            <w:r w:rsidR="0087146C">
              <w:rPr>
                <w:webHidden/>
              </w:rPr>
            </w:r>
            <w:r w:rsidR="0087146C">
              <w:rPr>
                <w:webHidden/>
              </w:rPr>
              <w:fldChar w:fldCharType="separate"/>
            </w:r>
            <w:r w:rsidR="00185BAF">
              <w:rPr>
                <w:webHidden/>
              </w:rPr>
              <w:t>138</w:t>
            </w:r>
            <w:r w:rsidR="0087146C">
              <w:rPr>
                <w:webHidden/>
              </w:rPr>
              <w:fldChar w:fldCharType="end"/>
            </w:r>
          </w:hyperlink>
        </w:p>
        <w:p w14:paraId="293210A4" w14:textId="14AEF52F" w:rsidR="0087146C" w:rsidRDefault="00012E64">
          <w:pPr>
            <w:pStyle w:val="TOC2"/>
            <w:rPr>
              <w:rFonts w:asciiTheme="minorHAnsi" w:eastAsiaTheme="minorEastAsia" w:hAnsiTheme="minorHAnsi" w:cstheme="minorBidi"/>
              <w:lang w:eastAsia="en-GB"/>
            </w:rPr>
          </w:pPr>
          <w:hyperlink w:anchor="_Toc106697859" w:history="1">
            <w:r w:rsidR="0087146C" w:rsidRPr="00AD1D4B">
              <w:rPr>
                <w:rStyle w:val="Hyperlink"/>
                <w:rFonts w:eastAsiaTheme="majorEastAsia" w:cstheme="majorBidi"/>
              </w:rPr>
              <w:t>Being Known: Summary of Work Stream 1 and Work Stream 2 findings</w:t>
            </w:r>
            <w:r w:rsidR="0087146C">
              <w:rPr>
                <w:webHidden/>
              </w:rPr>
              <w:tab/>
            </w:r>
            <w:r w:rsidR="0087146C">
              <w:rPr>
                <w:webHidden/>
              </w:rPr>
              <w:fldChar w:fldCharType="begin"/>
            </w:r>
            <w:r w:rsidR="0087146C">
              <w:rPr>
                <w:webHidden/>
              </w:rPr>
              <w:instrText xml:space="preserve"> PAGEREF _Toc106697859 \h </w:instrText>
            </w:r>
            <w:r w:rsidR="0087146C">
              <w:rPr>
                <w:webHidden/>
              </w:rPr>
            </w:r>
            <w:r w:rsidR="0087146C">
              <w:rPr>
                <w:webHidden/>
              </w:rPr>
              <w:fldChar w:fldCharType="separate"/>
            </w:r>
            <w:r w:rsidR="00185BAF">
              <w:rPr>
                <w:webHidden/>
              </w:rPr>
              <w:t>140</w:t>
            </w:r>
            <w:r w:rsidR="0087146C">
              <w:rPr>
                <w:webHidden/>
              </w:rPr>
              <w:fldChar w:fldCharType="end"/>
            </w:r>
          </w:hyperlink>
        </w:p>
        <w:p w14:paraId="00B52F8F" w14:textId="1700CFF6" w:rsidR="0087146C" w:rsidRDefault="00012E64">
          <w:pPr>
            <w:pStyle w:val="TOC2"/>
            <w:rPr>
              <w:rFonts w:asciiTheme="minorHAnsi" w:eastAsiaTheme="minorEastAsia" w:hAnsiTheme="minorHAnsi" w:cstheme="minorBidi"/>
              <w:lang w:eastAsia="en-GB"/>
            </w:rPr>
          </w:pPr>
          <w:hyperlink w:anchor="_Toc106697860" w:history="1">
            <w:r w:rsidR="0087146C" w:rsidRPr="00AD1D4B">
              <w:rPr>
                <w:rStyle w:val="Hyperlink"/>
                <w:rFonts w:eastAsiaTheme="majorEastAsia" w:cstheme="majorBidi"/>
              </w:rPr>
              <w:t>Stakeholders views on the barriers and enablers to ED patients, FCGs and HCPs engaging in end-of-life care planning</w:t>
            </w:r>
            <w:r w:rsidR="0087146C">
              <w:rPr>
                <w:webHidden/>
              </w:rPr>
              <w:tab/>
            </w:r>
            <w:r w:rsidR="0087146C">
              <w:rPr>
                <w:webHidden/>
              </w:rPr>
              <w:fldChar w:fldCharType="begin"/>
            </w:r>
            <w:r w:rsidR="0087146C">
              <w:rPr>
                <w:webHidden/>
              </w:rPr>
              <w:instrText xml:space="preserve"> PAGEREF _Toc106697860 \h </w:instrText>
            </w:r>
            <w:r w:rsidR="0087146C">
              <w:rPr>
                <w:webHidden/>
              </w:rPr>
            </w:r>
            <w:r w:rsidR="0087146C">
              <w:rPr>
                <w:webHidden/>
              </w:rPr>
              <w:fldChar w:fldCharType="separate"/>
            </w:r>
            <w:r w:rsidR="00185BAF">
              <w:rPr>
                <w:webHidden/>
              </w:rPr>
              <w:t>143</w:t>
            </w:r>
            <w:r w:rsidR="0087146C">
              <w:rPr>
                <w:webHidden/>
              </w:rPr>
              <w:fldChar w:fldCharType="end"/>
            </w:r>
          </w:hyperlink>
        </w:p>
        <w:p w14:paraId="41EE3B78" w14:textId="1536D993" w:rsidR="0087146C" w:rsidRDefault="00012E64">
          <w:pPr>
            <w:pStyle w:val="TOC2"/>
            <w:rPr>
              <w:rFonts w:asciiTheme="minorHAnsi" w:eastAsiaTheme="minorEastAsia" w:hAnsiTheme="minorHAnsi" w:cstheme="minorBidi"/>
              <w:lang w:eastAsia="en-GB"/>
            </w:rPr>
          </w:pPr>
          <w:hyperlink w:anchor="_Toc106697861" w:history="1">
            <w:r w:rsidR="0087146C" w:rsidRPr="00AD1D4B">
              <w:rPr>
                <w:rStyle w:val="Hyperlink"/>
                <w:rFonts w:eastAsiaTheme="majorEastAsia" w:cstheme="majorBidi"/>
              </w:rPr>
              <w:t>Key barriers</w:t>
            </w:r>
            <w:r w:rsidR="0087146C">
              <w:rPr>
                <w:webHidden/>
              </w:rPr>
              <w:tab/>
            </w:r>
            <w:r w:rsidR="0087146C">
              <w:rPr>
                <w:webHidden/>
              </w:rPr>
              <w:fldChar w:fldCharType="begin"/>
            </w:r>
            <w:r w:rsidR="0087146C">
              <w:rPr>
                <w:webHidden/>
              </w:rPr>
              <w:instrText xml:space="preserve"> PAGEREF _Toc106697861 \h </w:instrText>
            </w:r>
            <w:r w:rsidR="0087146C">
              <w:rPr>
                <w:webHidden/>
              </w:rPr>
            </w:r>
            <w:r w:rsidR="0087146C">
              <w:rPr>
                <w:webHidden/>
              </w:rPr>
              <w:fldChar w:fldCharType="separate"/>
            </w:r>
            <w:r w:rsidR="00185BAF">
              <w:rPr>
                <w:webHidden/>
              </w:rPr>
              <w:t>143</w:t>
            </w:r>
            <w:r w:rsidR="0087146C">
              <w:rPr>
                <w:webHidden/>
              </w:rPr>
              <w:fldChar w:fldCharType="end"/>
            </w:r>
          </w:hyperlink>
        </w:p>
        <w:p w14:paraId="6B6C3F1D" w14:textId="7445A1A2" w:rsidR="0087146C" w:rsidRDefault="00012E64">
          <w:pPr>
            <w:pStyle w:val="TOC2"/>
            <w:rPr>
              <w:rFonts w:asciiTheme="minorHAnsi" w:eastAsiaTheme="minorEastAsia" w:hAnsiTheme="minorHAnsi" w:cstheme="minorBidi"/>
              <w:lang w:eastAsia="en-GB"/>
            </w:rPr>
          </w:pPr>
          <w:hyperlink w:anchor="_Toc106697862" w:history="1">
            <w:r w:rsidR="0087146C" w:rsidRPr="00AD1D4B">
              <w:rPr>
                <w:rStyle w:val="Hyperlink"/>
                <w:rFonts w:eastAsiaTheme="majorEastAsia" w:cstheme="majorBidi"/>
              </w:rPr>
              <w:t>Strengths and limitations of the study</w:t>
            </w:r>
            <w:r w:rsidR="0087146C">
              <w:rPr>
                <w:webHidden/>
              </w:rPr>
              <w:tab/>
            </w:r>
            <w:r w:rsidR="0087146C">
              <w:rPr>
                <w:webHidden/>
              </w:rPr>
              <w:fldChar w:fldCharType="begin"/>
            </w:r>
            <w:r w:rsidR="0087146C">
              <w:rPr>
                <w:webHidden/>
              </w:rPr>
              <w:instrText xml:space="preserve"> PAGEREF _Toc106697862 \h </w:instrText>
            </w:r>
            <w:r w:rsidR="0087146C">
              <w:rPr>
                <w:webHidden/>
              </w:rPr>
            </w:r>
            <w:r w:rsidR="0087146C">
              <w:rPr>
                <w:webHidden/>
              </w:rPr>
              <w:fldChar w:fldCharType="separate"/>
            </w:r>
            <w:r w:rsidR="00185BAF">
              <w:rPr>
                <w:webHidden/>
              </w:rPr>
              <w:t>144</w:t>
            </w:r>
            <w:r w:rsidR="0087146C">
              <w:rPr>
                <w:webHidden/>
              </w:rPr>
              <w:fldChar w:fldCharType="end"/>
            </w:r>
          </w:hyperlink>
        </w:p>
        <w:p w14:paraId="32BE1CA5" w14:textId="2E56BDC3" w:rsidR="0087146C" w:rsidRDefault="00012E64">
          <w:pPr>
            <w:pStyle w:val="TOC2"/>
            <w:rPr>
              <w:rFonts w:asciiTheme="minorHAnsi" w:eastAsiaTheme="minorEastAsia" w:hAnsiTheme="minorHAnsi" w:cstheme="minorBidi"/>
              <w:lang w:eastAsia="en-GB"/>
            </w:rPr>
          </w:pPr>
          <w:hyperlink w:anchor="_Toc106697863" w:history="1">
            <w:r w:rsidR="0087146C" w:rsidRPr="00AD1D4B">
              <w:rPr>
                <w:rStyle w:val="Hyperlink"/>
                <w:rFonts w:eastAsiaTheme="majorEastAsia" w:cstheme="majorBidi"/>
              </w:rPr>
              <w:t>Implications for health professional practice and training</w:t>
            </w:r>
            <w:r w:rsidR="0087146C">
              <w:rPr>
                <w:webHidden/>
              </w:rPr>
              <w:tab/>
            </w:r>
            <w:r w:rsidR="0087146C">
              <w:rPr>
                <w:webHidden/>
              </w:rPr>
              <w:fldChar w:fldCharType="begin"/>
            </w:r>
            <w:r w:rsidR="0087146C">
              <w:rPr>
                <w:webHidden/>
              </w:rPr>
              <w:instrText xml:space="preserve"> PAGEREF _Toc106697863 \h </w:instrText>
            </w:r>
            <w:r w:rsidR="0087146C">
              <w:rPr>
                <w:webHidden/>
              </w:rPr>
            </w:r>
            <w:r w:rsidR="0087146C">
              <w:rPr>
                <w:webHidden/>
              </w:rPr>
              <w:fldChar w:fldCharType="separate"/>
            </w:r>
            <w:r w:rsidR="00185BAF">
              <w:rPr>
                <w:webHidden/>
              </w:rPr>
              <w:t>145</w:t>
            </w:r>
            <w:r w:rsidR="0087146C">
              <w:rPr>
                <w:webHidden/>
              </w:rPr>
              <w:fldChar w:fldCharType="end"/>
            </w:r>
          </w:hyperlink>
        </w:p>
        <w:p w14:paraId="425DA901" w14:textId="50BAA9B2" w:rsidR="0087146C" w:rsidRDefault="00012E64">
          <w:pPr>
            <w:pStyle w:val="TOC2"/>
            <w:rPr>
              <w:rFonts w:asciiTheme="minorHAnsi" w:eastAsiaTheme="minorEastAsia" w:hAnsiTheme="minorHAnsi" w:cstheme="minorBidi"/>
              <w:lang w:eastAsia="en-GB"/>
            </w:rPr>
          </w:pPr>
          <w:hyperlink w:anchor="_Toc106697864" w:history="1">
            <w:r w:rsidR="0087146C" w:rsidRPr="00AD1D4B">
              <w:rPr>
                <w:rStyle w:val="Hyperlink"/>
                <w:rFonts w:eastAsiaTheme="majorEastAsia" w:cstheme="majorBidi"/>
              </w:rPr>
              <w:t>Implications for research</w:t>
            </w:r>
            <w:r w:rsidR="0087146C">
              <w:rPr>
                <w:webHidden/>
              </w:rPr>
              <w:tab/>
            </w:r>
            <w:r w:rsidR="0087146C">
              <w:rPr>
                <w:webHidden/>
              </w:rPr>
              <w:fldChar w:fldCharType="begin"/>
            </w:r>
            <w:r w:rsidR="0087146C">
              <w:rPr>
                <w:webHidden/>
              </w:rPr>
              <w:instrText xml:space="preserve"> PAGEREF _Toc106697864 \h </w:instrText>
            </w:r>
            <w:r w:rsidR="0087146C">
              <w:rPr>
                <w:webHidden/>
              </w:rPr>
            </w:r>
            <w:r w:rsidR="0087146C">
              <w:rPr>
                <w:webHidden/>
              </w:rPr>
              <w:fldChar w:fldCharType="separate"/>
            </w:r>
            <w:r w:rsidR="00185BAF">
              <w:rPr>
                <w:webHidden/>
              </w:rPr>
              <w:t>147</w:t>
            </w:r>
            <w:r w:rsidR="0087146C">
              <w:rPr>
                <w:webHidden/>
              </w:rPr>
              <w:fldChar w:fldCharType="end"/>
            </w:r>
          </w:hyperlink>
        </w:p>
        <w:p w14:paraId="1E2954A5" w14:textId="240CF2EC" w:rsidR="0087146C" w:rsidRDefault="00012E64">
          <w:pPr>
            <w:pStyle w:val="TOC2"/>
            <w:rPr>
              <w:rFonts w:asciiTheme="minorHAnsi" w:eastAsiaTheme="minorEastAsia" w:hAnsiTheme="minorHAnsi" w:cstheme="minorBidi"/>
              <w:lang w:eastAsia="en-GB"/>
            </w:rPr>
          </w:pPr>
          <w:hyperlink w:anchor="_Toc106697865" w:history="1">
            <w:r w:rsidR="0087146C" w:rsidRPr="00AD1D4B">
              <w:rPr>
                <w:rStyle w:val="Hyperlink"/>
                <w:rFonts w:eastAsiaTheme="majorEastAsia" w:cstheme="majorBidi"/>
              </w:rPr>
              <w:t>Conclusion</w:t>
            </w:r>
            <w:r w:rsidR="0087146C">
              <w:rPr>
                <w:webHidden/>
              </w:rPr>
              <w:tab/>
            </w:r>
            <w:r w:rsidR="0087146C">
              <w:rPr>
                <w:webHidden/>
              </w:rPr>
              <w:fldChar w:fldCharType="begin"/>
            </w:r>
            <w:r w:rsidR="0087146C">
              <w:rPr>
                <w:webHidden/>
              </w:rPr>
              <w:instrText xml:space="preserve"> PAGEREF _Toc106697865 \h </w:instrText>
            </w:r>
            <w:r w:rsidR="0087146C">
              <w:rPr>
                <w:webHidden/>
              </w:rPr>
            </w:r>
            <w:r w:rsidR="0087146C">
              <w:rPr>
                <w:webHidden/>
              </w:rPr>
              <w:fldChar w:fldCharType="separate"/>
            </w:r>
            <w:r w:rsidR="00185BAF">
              <w:rPr>
                <w:webHidden/>
              </w:rPr>
              <w:t>148</w:t>
            </w:r>
            <w:r w:rsidR="0087146C">
              <w:rPr>
                <w:webHidden/>
              </w:rPr>
              <w:fldChar w:fldCharType="end"/>
            </w:r>
          </w:hyperlink>
        </w:p>
        <w:p w14:paraId="32A10A25" w14:textId="1FD018BC" w:rsidR="0087146C" w:rsidRDefault="00012E64">
          <w:pPr>
            <w:pStyle w:val="TOC1"/>
            <w:tabs>
              <w:tab w:val="right" w:leader="dot" w:pos="9628"/>
            </w:tabs>
            <w:rPr>
              <w:rFonts w:eastAsiaTheme="minorEastAsia"/>
              <w:noProof/>
              <w:lang w:eastAsia="en-GB"/>
            </w:rPr>
          </w:pPr>
          <w:hyperlink w:anchor="_Toc106697866" w:history="1">
            <w:r w:rsidR="0087146C" w:rsidRPr="00AD1D4B">
              <w:rPr>
                <w:rStyle w:val="Hyperlink"/>
                <w:rFonts w:asciiTheme="majorHAnsi" w:eastAsiaTheme="majorEastAsia" w:hAnsiTheme="majorHAnsi" w:cstheme="majorBidi"/>
                <w:noProof/>
              </w:rPr>
              <w:t>Chapter 8: Outputs, Dissemination and Impact</w:t>
            </w:r>
            <w:r w:rsidR="0087146C">
              <w:rPr>
                <w:noProof/>
                <w:webHidden/>
              </w:rPr>
              <w:tab/>
            </w:r>
            <w:r w:rsidR="0087146C">
              <w:rPr>
                <w:noProof/>
                <w:webHidden/>
              </w:rPr>
              <w:fldChar w:fldCharType="begin"/>
            </w:r>
            <w:r w:rsidR="0087146C">
              <w:rPr>
                <w:noProof/>
                <w:webHidden/>
              </w:rPr>
              <w:instrText xml:space="preserve"> PAGEREF _Toc106697866 \h </w:instrText>
            </w:r>
            <w:r w:rsidR="0087146C">
              <w:rPr>
                <w:noProof/>
                <w:webHidden/>
              </w:rPr>
            </w:r>
            <w:r w:rsidR="0087146C">
              <w:rPr>
                <w:noProof/>
                <w:webHidden/>
              </w:rPr>
              <w:fldChar w:fldCharType="separate"/>
            </w:r>
            <w:r w:rsidR="00185BAF">
              <w:rPr>
                <w:noProof/>
                <w:webHidden/>
              </w:rPr>
              <w:t>150</w:t>
            </w:r>
            <w:r w:rsidR="0087146C">
              <w:rPr>
                <w:noProof/>
                <w:webHidden/>
              </w:rPr>
              <w:fldChar w:fldCharType="end"/>
            </w:r>
          </w:hyperlink>
        </w:p>
        <w:p w14:paraId="670EFCDD" w14:textId="0D51A557" w:rsidR="0087146C" w:rsidRDefault="00012E64">
          <w:pPr>
            <w:pStyle w:val="TOC2"/>
            <w:rPr>
              <w:rFonts w:asciiTheme="minorHAnsi" w:eastAsiaTheme="minorEastAsia" w:hAnsiTheme="minorHAnsi" w:cstheme="minorBidi"/>
              <w:lang w:eastAsia="en-GB"/>
            </w:rPr>
          </w:pPr>
          <w:hyperlink w:anchor="_Toc106697867" w:history="1">
            <w:r w:rsidR="0087146C" w:rsidRPr="00AD1D4B">
              <w:rPr>
                <w:rStyle w:val="Hyperlink"/>
                <w:rFonts w:eastAsiaTheme="majorEastAsia" w:cstheme="majorBidi"/>
              </w:rPr>
              <w:t>Working with diverse ethnic and faith communities</w:t>
            </w:r>
            <w:r w:rsidR="0087146C">
              <w:rPr>
                <w:webHidden/>
              </w:rPr>
              <w:tab/>
            </w:r>
            <w:r w:rsidR="0087146C">
              <w:rPr>
                <w:webHidden/>
              </w:rPr>
              <w:fldChar w:fldCharType="begin"/>
            </w:r>
            <w:r w:rsidR="0087146C">
              <w:rPr>
                <w:webHidden/>
              </w:rPr>
              <w:instrText xml:space="preserve"> PAGEREF _Toc106697867 \h </w:instrText>
            </w:r>
            <w:r w:rsidR="0087146C">
              <w:rPr>
                <w:webHidden/>
              </w:rPr>
            </w:r>
            <w:r w:rsidR="0087146C">
              <w:rPr>
                <w:webHidden/>
              </w:rPr>
              <w:fldChar w:fldCharType="separate"/>
            </w:r>
            <w:r w:rsidR="00185BAF">
              <w:rPr>
                <w:webHidden/>
              </w:rPr>
              <w:t>150</w:t>
            </w:r>
            <w:r w:rsidR="0087146C">
              <w:rPr>
                <w:webHidden/>
              </w:rPr>
              <w:fldChar w:fldCharType="end"/>
            </w:r>
          </w:hyperlink>
        </w:p>
        <w:p w14:paraId="450798CE" w14:textId="1040A132" w:rsidR="0087146C" w:rsidRDefault="00012E64">
          <w:pPr>
            <w:pStyle w:val="TOC2"/>
            <w:rPr>
              <w:rFonts w:asciiTheme="minorHAnsi" w:eastAsiaTheme="minorEastAsia" w:hAnsiTheme="minorHAnsi" w:cstheme="minorBidi"/>
              <w:lang w:eastAsia="en-GB"/>
            </w:rPr>
          </w:pPr>
          <w:hyperlink w:anchor="_Toc106697868" w:history="1">
            <w:r w:rsidR="0087146C" w:rsidRPr="00AD1D4B">
              <w:rPr>
                <w:rStyle w:val="Hyperlink"/>
                <w:rFonts w:eastAsiaTheme="majorEastAsia" w:cstheme="majorBidi"/>
              </w:rPr>
              <w:t>EAVA FM ‘take over’ July 2021</w:t>
            </w:r>
            <w:r w:rsidR="0087146C">
              <w:rPr>
                <w:webHidden/>
              </w:rPr>
              <w:tab/>
            </w:r>
            <w:r w:rsidR="0087146C">
              <w:rPr>
                <w:webHidden/>
              </w:rPr>
              <w:fldChar w:fldCharType="begin"/>
            </w:r>
            <w:r w:rsidR="0087146C">
              <w:rPr>
                <w:webHidden/>
              </w:rPr>
              <w:instrText xml:space="preserve"> PAGEREF _Toc106697868 \h </w:instrText>
            </w:r>
            <w:r w:rsidR="0087146C">
              <w:rPr>
                <w:webHidden/>
              </w:rPr>
            </w:r>
            <w:r w:rsidR="0087146C">
              <w:rPr>
                <w:webHidden/>
              </w:rPr>
              <w:fldChar w:fldCharType="separate"/>
            </w:r>
            <w:r w:rsidR="00185BAF">
              <w:rPr>
                <w:webHidden/>
              </w:rPr>
              <w:t>151</w:t>
            </w:r>
            <w:r w:rsidR="0087146C">
              <w:rPr>
                <w:webHidden/>
              </w:rPr>
              <w:fldChar w:fldCharType="end"/>
            </w:r>
          </w:hyperlink>
        </w:p>
        <w:p w14:paraId="4F7DED9A" w14:textId="1A74C38C" w:rsidR="0087146C" w:rsidRDefault="00012E64">
          <w:pPr>
            <w:pStyle w:val="TOC2"/>
            <w:rPr>
              <w:rFonts w:asciiTheme="minorHAnsi" w:eastAsiaTheme="minorEastAsia" w:hAnsiTheme="minorHAnsi" w:cstheme="minorBidi"/>
              <w:lang w:eastAsia="en-GB"/>
            </w:rPr>
          </w:pPr>
          <w:hyperlink w:anchor="_Toc106697869" w:history="1">
            <w:r w:rsidR="0087146C" w:rsidRPr="00AD1D4B">
              <w:rPr>
                <w:rStyle w:val="Hyperlink"/>
                <w:rFonts w:eastAsiaTheme="majorEastAsia" w:cstheme="majorBidi"/>
              </w:rPr>
              <w:t>Community Network Liaison workers (CNLWs)</w:t>
            </w:r>
            <w:r w:rsidR="0087146C">
              <w:rPr>
                <w:webHidden/>
              </w:rPr>
              <w:tab/>
            </w:r>
            <w:r w:rsidR="0087146C">
              <w:rPr>
                <w:webHidden/>
              </w:rPr>
              <w:fldChar w:fldCharType="begin"/>
            </w:r>
            <w:r w:rsidR="0087146C">
              <w:rPr>
                <w:webHidden/>
              </w:rPr>
              <w:instrText xml:space="preserve"> PAGEREF _Toc106697869 \h </w:instrText>
            </w:r>
            <w:r w:rsidR="0087146C">
              <w:rPr>
                <w:webHidden/>
              </w:rPr>
            </w:r>
            <w:r w:rsidR="0087146C">
              <w:rPr>
                <w:webHidden/>
              </w:rPr>
              <w:fldChar w:fldCharType="separate"/>
            </w:r>
            <w:r w:rsidR="00185BAF">
              <w:rPr>
                <w:webHidden/>
              </w:rPr>
              <w:t>152</w:t>
            </w:r>
            <w:r w:rsidR="0087146C">
              <w:rPr>
                <w:webHidden/>
              </w:rPr>
              <w:fldChar w:fldCharType="end"/>
            </w:r>
          </w:hyperlink>
        </w:p>
        <w:p w14:paraId="2D1113D3" w14:textId="0C7E972C" w:rsidR="0087146C" w:rsidRDefault="00012E64">
          <w:pPr>
            <w:pStyle w:val="TOC2"/>
            <w:rPr>
              <w:rFonts w:asciiTheme="minorHAnsi" w:eastAsiaTheme="minorEastAsia" w:hAnsiTheme="minorHAnsi" w:cstheme="minorBidi"/>
              <w:lang w:eastAsia="en-GB"/>
            </w:rPr>
          </w:pPr>
          <w:hyperlink w:anchor="_Toc106697870" w:history="1">
            <w:r w:rsidR="0087146C" w:rsidRPr="00AD1D4B">
              <w:rPr>
                <w:rStyle w:val="Hyperlink"/>
                <w:rFonts w:eastAsiaTheme="majorEastAsia" w:cstheme="majorBidi"/>
              </w:rPr>
              <w:t>Key findings so far</w:t>
            </w:r>
            <w:r w:rsidR="0087146C">
              <w:rPr>
                <w:webHidden/>
              </w:rPr>
              <w:tab/>
            </w:r>
            <w:r w:rsidR="0087146C">
              <w:rPr>
                <w:webHidden/>
              </w:rPr>
              <w:fldChar w:fldCharType="begin"/>
            </w:r>
            <w:r w:rsidR="0087146C">
              <w:rPr>
                <w:webHidden/>
              </w:rPr>
              <w:instrText xml:space="preserve"> PAGEREF _Toc106697870 \h </w:instrText>
            </w:r>
            <w:r w:rsidR="0087146C">
              <w:rPr>
                <w:webHidden/>
              </w:rPr>
            </w:r>
            <w:r w:rsidR="0087146C">
              <w:rPr>
                <w:webHidden/>
              </w:rPr>
              <w:fldChar w:fldCharType="separate"/>
            </w:r>
            <w:r w:rsidR="00185BAF">
              <w:rPr>
                <w:webHidden/>
              </w:rPr>
              <w:t>152</w:t>
            </w:r>
            <w:r w:rsidR="0087146C">
              <w:rPr>
                <w:webHidden/>
              </w:rPr>
              <w:fldChar w:fldCharType="end"/>
            </w:r>
          </w:hyperlink>
        </w:p>
        <w:p w14:paraId="03324831" w14:textId="6F7A2722" w:rsidR="0087146C" w:rsidRDefault="00012E64">
          <w:pPr>
            <w:pStyle w:val="TOC2"/>
            <w:rPr>
              <w:rFonts w:asciiTheme="minorHAnsi" w:eastAsiaTheme="minorEastAsia" w:hAnsiTheme="minorHAnsi" w:cstheme="minorBidi"/>
              <w:lang w:eastAsia="en-GB"/>
            </w:rPr>
          </w:pPr>
          <w:hyperlink w:anchor="_Toc106697871" w:history="1">
            <w:r w:rsidR="0087146C" w:rsidRPr="00AD1D4B">
              <w:rPr>
                <w:rStyle w:val="Hyperlink"/>
                <w:rFonts w:eastAsiaTheme="majorEastAsia" w:cstheme="majorBidi"/>
              </w:rPr>
              <w:t>Training for professionals</w:t>
            </w:r>
            <w:r w:rsidR="0087146C">
              <w:rPr>
                <w:webHidden/>
              </w:rPr>
              <w:tab/>
            </w:r>
            <w:r w:rsidR="0087146C">
              <w:rPr>
                <w:webHidden/>
              </w:rPr>
              <w:fldChar w:fldCharType="begin"/>
            </w:r>
            <w:r w:rsidR="0087146C">
              <w:rPr>
                <w:webHidden/>
              </w:rPr>
              <w:instrText xml:space="preserve"> PAGEREF _Toc106697871 \h </w:instrText>
            </w:r>
            <w:r w:rsidR="0087146C">
              <w:rPr>
                <w:webHidden/>
              </w:rPr>
            </w:r>
            <w:r w:rsidR="0087146C">
              <w:rPr>
                <w:webHidden/>
              </w:rPr>
              <w:fldChar w:fldCharType="separate"/>
            </w:r>
            <w:r w:rsidR="00185BAF">
              <w:rPr>
                <w:webHidden/>
              </w:rPr>
              <w:t>154</w:t>
            </w:r>
            <w:r w:rsidR="0087146C">
              <w:rPr>
                <w:webHidden/>
              </w:rPr>
              <w:fldChar w:fldCharType="end"/>
            </w:r>
          </w:hyperlink>
        </w:p>
        <w:p w14:paraId="3B083EAB" w14:textId="3C3C2D60" w:rsidR="0087146C" w:rsidRDefault="00012E64">
          <w:pPr>
            <w:pStyle w:val="TOC3"/>
            <w:tabs>
              <w:tab w:val="right" w:leader="dot" w:pos="9628"/>
            </w:tabs>
            <w:rPr>
              <w:rFonts w:eastAsiaTheme="minorEastAsia"/>
              <w:noProof/>
              <w:lang w:eastAsia="en-GB"/>
            </w:rPr>
          </w:pPr>
          <w:hyperlink w:anchor="_Toc106697872" w:history="1">
            <w:r w:rsidR="0087146C" w:rsidRPr="00AD1D4B">
              <w:rPr>
                <w:rStyle w:val="Hyperlink"/>
                <w:rFonts w:asciiTheme="majorHAnsi" w:eastAsiaTheme="majorEastAsia" w:hAnsiTheme="majorHAnsi" w:cstheme="majorBidi"/>
                <w:noProof/>
              </w:rPr>
              <w:t>Fictionalised evidence-based narratives</w:t>
            </w:r>
            <w:r w:rsidR="0087146C">
              <w:rPr>
                <w:noProof/>
                <w:webHidden/>
              </w:rPr>
              <w:tab/>
            </w:r>
            <w:r w:rsidR="0087146C">
              <w:rPr>
                <w:noProof/>
                <w:webHidden/>
              </w:rPr>
              <w:fldChar w:fldCharType="begin"/>
            </w:r>
            <w:r w:rsidR="0087146C">
              <w:rPr>
                <w:noProof/>
                <w:webHidden/>
              </w:rPr>
              <w:instrText xml:space="preserve"> PAGEREF _Toc106697872 \h </w:instrText>
            </w:r>
            <w:r w:rsidR="0087146C">
              <w:rPr>
                <w:noProof/>
                <w:webHidden/>
              </w:rPr>
            </w:r>
            <w:r w:rsidR="0087146C">
              <w:rPr>
                <w:noProof/>
                <w:webHidden/>
              </w:rPr>
              <w:fldChar w:fldCharType="separate"/>
            </w:r>
            <w:r w:rsidR="00185BAF">
              <w:rPr>
                <w:noProof/>
                <w:webHidden/>
              </w:rPr>
              <w:t>154</w:t>
            </w:r>
            <w:r w:rsidR="0087146C">
              <w:rPr>
                <w:noProof/>
                <w:webHidden/>
              </w:rPr>
              <w:fldChar w:fldCharType="end"/>
            </w:r>
          </w:hyperlink>
        </w:p>
        <w:p w14:paraId="4658E8CF" w14:textId="6BA5969C" w:rsidR="0087146C" w:rsidRDefault="00012E64">
          <w:pPr>
            <w:pStyle w:val="TOC3"/>
            <w:tabs>
              <w:tab w:val="right" w:leader="dot" w:pos="9628"/>
            </w:tabs>
            <w:rPr>
              <w:rFonts w:eastAsiaTheme="minorEastAsia"/>
              <w:noProof/>
              <w:lang w:eastAsia="en-GB"/>
            </w:rPr>
          </w:pPr>
          <w:hyperlink w:anchor="_Toc106697873" w:history="1">
            <w:r w:rsidR="0087146C" w:rsidRPr="00AD1D4B">
              <w:rPr>
                <w:rStyle w:val="Hyperlink"/>
                <w:rFonts w:asciiTheme="majorHAnsi" w:eastAsiaTheme="majorEastAsia" w:hAnsiTheme="majorHAnsi" w:cstheme="majorBidi"/>
                <w:noProof/>
              </w:rPr>
              <w:t>Open access e-learning</w:t>
            </w:r>
            <w:r w:rsidR="0087146C">
              <w:rPr>
                <w:noProof/>
                <w:webHidden/>
              </w:rPr>
              <w:tab/>
            </w:r>
            <w:r w:rsidR="0087146C">
              <w:rPr>
                <w:noProof/>
                <w:webHidden/>
              </w:rPr>
              <w:fldChar w:fldCharType="begin"/>
            </w:r>
            <w:r w:rsidR="0087146C">
              <w:rPr>
                <w:noProof/>
                <w:webHidden/>
              </w:rPr>
              <w:instrText xml:space="preserve"> PAGEREF _Toc106697873 \h </w:instrText>
            </w:r>
            <w:r w:rsidR="0087146C">
              <w:rPr>
                <w:noProof/>
                <w:webHidden/>
              </w:rPr>
            </w:r>
            <w:r w:rsidR="0087146C">
              <w:rPr>
                <w:noProof/>
                <w:webHidden/>
              </w:rPr>
              <w:fldChar w:fldCharType="separate"/>
            </w:r>
            <w:r w:rsidR="00185BAF">
              <w:rPr>
                <w:noProof/>
                <w:webHidden/>
              </w:rPr>
              <w:t>156</w:t>
            </w:r>
            <w:r w:rsidR="0087146C">
              <w:rPr>
                <w:noProof/>
                <w:webHidden/>
              </w:rPr>
              <w:fldChar w:fldCharType="end"/>
            </w:r>
          </w:hyperlink>
        </w:p>
        <w:p w14:paraId="5BE83101" w14:textId="4A8FDD9A" w:rsidR="0087146C" w:rsidRDefault="00012E64">
          <w:pPr>
            <w:pStyle w:val="TOC1"/>
            <w:tabs>
              <w:tab w:val="right" w:leader="dot" w:pos="9628"/>
            </w:tabs>
            <w:rPr>
              <w:rFonts w:eastAsiaTheme="minorEastAsia"/>
              <w:noProof/>
              <w:lang w:eastAsia="en-GB"/>
            </w:rPr>
          </w:pPr>
          <w:hyperlink w:anchor="_Toc106697874" w:history="1">
            <w:r w:rsidR="0087146C" w:rsidRPr="00AD1D4B">
              <w:rPr>
                <w:rStyle w:val="Hyperlink"/>
                <w:rFonts w:asciiTheme="majorHAnsi" w:eastAsiaTheme="majorEastAsia" w:hAnsiTheme="majorHAnsi" w:cstheme="majorBidi"/>
                <w:noProof/>
                <w:lang w:eastAsia="en-GB"/>
              </w:rPr>
              <w:t>Acknowledgements</w:t>
            </w:r>
            <w:r w:rsidR="0087146C">
              <w:rPr>
                <w:noProof/>
                <w:webHidden/>
              </w:rPr>
              <w:tab/>
            </w:r>
            <w:r w:rsidR="0087146C">
              <w:rPr>
                <w:noProof/>
                <w:webHidden/>
              </w:rPr>
              <w:fldChar w:fldCharType="begin"/>
            </w:r>
            <w:r w:rsidR="0087146C">
              <w:rPr>
                <w:noProof/>
                <w:webHidden/>
              </w:rPr>
              <w:instrText xml:space="preserve"> PAGEREF _Toc106697874 \h </w:instrText>
            </w:r>
            <w:r w:rsidR="0087146C">
              <w:rPr>
                <w:noProof/>
                <w:webHidden/>
              </w:rPr>
            </w:r>
            <w:r w:rsidR="0087146C">
              <w:rPr>
                <w:noProof/>
                <w:webHidden/>
              </w:rPr>
              <w:fldChar w:fldCharType="separate"/>
            </w:r>
            <w:r w:rsidR="00185BAF">
              <w:rPr>
                <w:noProof/>
                <w:webHidden/>
              </w:rPr>
              <w:t>160</w:t>
            </w:r>
            <w:r w:rsidR="0087146C">
              <w:rPr>
                <w:noProof/>
                <w:webHidden/>
              </w:rPr>
              <w:fldChar w:fldCharType="end"/>
            </w:r>
          </w:hyperlink>
        </w:p>
        <w:p w14:paraId="75ACCB1A" w14:textId="0C352B66" w:rsidR="0087146C" w:rsidRDefault="00012E64">
          <w:pPr>
            <w:pStyle w:val="TOC2"/>
            <w:rPr>
              <w:rFonts w:asciiTheme="minorHAnsi" w:eastAsiaTheme="minorEastAsia" w:hAnsiTheme="minorHAnsi" w:cstheme="minorBidi"/>
              <w:lang w:eastAsia="en-GB"/>
            </w:rPr>
          </w:pPr>
          <w:hyperlink w:anchor="_Toc106697875" w:history="1">
            <w:r w:rsidR="0087146C" w:rsidRPr="00AD1D4B">
              <w:rPr>
                <w:rStyle w:val="Hyperlink"/>
                <w:rFonts w:eastAsiaTheme="majorEastAsia" w:cstheme="majorBidi"/>
                <w:bdr w:val="none" w:sz="0" w:space="0" w:color="auto" w:frame="1"/>
                <w:lang w:eastAsia="en-GB"/>
              </w:rPr>
              <w:t>Contribution of authors</w:t>
            </w:r>
            <w:r w:rsidR="0087146C">
              <w:rPr>
                <w:webHidden/>
              </w:rPr>
              <w:tab/>
            </w:r>
            <w:r w:rsidR="0087146C">
              <w:rPr>
                <w:webHidden/>
              </w:rPr>
              <w:fldChar w:fldCharType="begin"/>
            </w:r>
            <w:r w:rsidR="0087146C">
              <w:rPr>
                <w:webHidden/>
              </w:rPr>
              <w:instrText xml:space="preserve"> PAGEREF _Toc106697875 \h </w:instrText>
            </w:r>
            <w:r w:rsidR="0087146C">
              <w:rPr>
                <w:webHidden/>
              </w:rPr>
            </w:r>
            <w:r w:rsidR="0087146C">
              <w:rPr>
                <w:webHidden/>
              </w:rPr>
              <w:fldChar w:fldCharType="separate"/>
            </w:r>
            <w:r w:rsidR="00185BAF">
              <w:rPr>
                <w:webHidden/>
              </w:rPr>
              <w:t>161</w:t>
            </w:r>
            <w:r w:rsidR="0087146C">
              <w:rPr>
                <w:webHidden/>
              </w:rPr>
              <w:fldChar w:fldCharType="end"/>
            </w:r>
          </w:hyperlink>
        </w:p>
        <w:p w14:paraId="00F89930" w14:textId="6ECEA259" w:rsidR="0087146C" w:rsidRDefault="00012E64">
          <w:pPr>
            <w:pStyle w:val="TOC2"/>
            <w:rPr>
              <w:rFonts w:asciiTheme="minorHAnsi" w:eastAsiaTheme="minorEastAsia" w:hAnsiTheme="minorHAnsi" w:cstheme="minorBidi"/>
              <w:lang w:eastAsia="en-GB"/>
            </w:rPr>
          </w:pPr>
          <w:hyperlink w:anchor="_Toc106697876" w:history="1">
            <w:r w:rsidR="0087146C" w:rsidRPr="00AD1D4B">
              <w:rPr>
                <w:rStyle w:val="Hyperlink"/>
                <w:rFonts w:eastAsiaTheme="majorEastAsia" w:cstheme="majorBidi"/>
                <w:bdr w:val="none" w:sz="0" w:space="0" w:color="auto" w:frame="1"/>
                <w:lang w:eastAsia="en-GB"/>
              </w:rPr>
              <w:t>Data sharing</w:t>
            </w:r>
            <w:r w:rsidR="0087146C">
              <w:rPr>
                <w:webHidden/>
              </w:rPr>
              <w:tab/>
            </w:r>
            <w:r w:rsidR="0087146C">
              <w:rPr>
                <w:webHidden/>
              </w:rPr>
              <w:fldChar w:fldCharType="begin"/>
            </w:r>
            <w:r w:rsidR="0087146C">
              <w:rPr>
                <w:webHidden/>
              </w:rPr>
              <w:instrText xml:space="preserve"> PAGEREF _Toc106697876 \h </w:instrText>
            </w:r>
            <w:r w:rsidR="0087146C">
              <w:rPr>
                <w:webHidden/>
              </w:rPr>
            </w:r>
            <w:r w:rsidR="0087146C">
              <w:rPr>
                <w:webHidden/>
              </w:rPr>
              <w:fldChar w:fldCharType="separate"/>
            </w:r>
            <w:r w:rsidR="00185BAF">
              <w:rPr>
                <w:webHidden/>
              </w:rPr>
              <w:t>161</w:t>
            </w:r>
            <w:r w:rsidR="0087146C">
              <w:rPr>
                <w:webHidden/>
              </w:rPr>
              <w:fldChar w:fldCharType="end"/>
            </w:r>
          </w:hyperlink>
        </w:p>
        <w:p w14:paraId="5C1979E9" w14:textId="08371650" w:rsidR="0087146C" w:rsidRDefault="00012E64">
          <w:pPr>
            <w:pStyle w:val="TOC2"/>
            <w:rPr>
              <w:rFonts w:asciiTheme="minorHAnsi" w:eastAsiaTheme="minorEastAsia" w:hAnsiTheme="minorHAnsi" w:cstheme="minorBidi"/>
              <w:lang w:eastAsia="en-GB"/>
            </w:rPr>
          </w:pPr>
          <w:hyperlink w:anchor="_Toc106697877" w:history="1">
            <w:r w:rsidR="0087146C" w:rsidRPr="00AD1D4B">
              <w:rPr>
                <w:rStyle w:val="Hyperlink"/>
                <w:rFonts w:eastAsiaTheme="majorEastAsia" w:cstheme="majorBidi"/>
              </w:rPr>
              <w:t>References</w:t>
            </w:r>
            <w:r w:rsidR="0087146C">
              <w:rPr>
                <w:webHidden/>
              </w:rPr>
              <w:tab/>
            </w:r>
            <w:r w:rsidR="0087146C">
              <w:rPr>
                <w:webHidden/>
              </w:rPr>
              <w:fldChar w:fldCharType="begin"/>
            </w:r>
            <w:r w:rsidR="0087146C">
              <w:rPr>
                <w:webHidden/>
              </w:rPr>
              <w:instrText xml:space="preserve"> PAGEREF _Toc106697877 \h </w:instrText>
            </w:r>
            <w:r w:rsidR="0087146C">
              <w:rPr>
                <w:webHidden/>
              </w:rPr>
            </w:r>
            <w:r w:rsidR="0087146C">
              <w:rPr>
                <w:webHidden/>
              </w:rPr>
              <w:fldChar w:fldCharType="separate"/>
            </w:r>
            <w:r w:rsidR="00185BAF">
              <w:rPr>
                <w:webHidden/>
              </w:rPr>
              <w:t>162</w:t>
            </w:r>
            <w:r w:rsidR="0087146C">
              <w:rPr>
                <w:webHidden/>
              </w:rPr>
              <w:fldChar w:fldCharType="end"/>
            </w:r>
          </w:hyperlink>
        </w:p>
        <w:p w14:paraId="5866D7AE" w14:textId="445FB6C8" w:rsidR="0087146C" w:rsidRDefault="00012E64">
          <w:pPr>
            <w:pStyle w:val="TOC1"/>
            <w:tabs>
              <w:tab w:val="right" w:leader="dot" w:pos="9628"/>
            </w:tabs>
            <w:rPr>
              <w:rFonts w:eastAsiaTheme="minorEastAsia"/>
              <w:noProof/>
              <w:lang w:eastAsia="en-GB"/>
            </w:rPr>
          </w:pPr>
          <w:hyperlink w:anchor="_Toc106697878" w:history="1">
            <w:r w:rsidR="0087146C" w:rsidRPr="00AD1D4B">
              <w:rPr>
                <w:rStyle w:val="Hyperlink"/>
                <w:rFonts w:ascii="Calibri Light" w:eastAsia="SimSun" w:hAnsi="Calibri Light" w:cs="Times New Roman"/>
                <w:noProof/>
                <w:lang w:eastAsia="en-GB"/>
              </w:rPr>
              <w:t>Appendices</w:t>
            </w:r>
            <w:r w:rsidR="0087146C">
              <w:rPr>
                <w:noProof/>
                <w:webHidden/>
              </w:rPr>
              <w:tab/>
            </w:r>
            <w:r w:rsidR="0087146C">
              <w:rPr>
                <w:noProof/>
                <w:webHidden/>
              </w:rPr>
              <w:fldChar w:fldCharType="begin"/>
            </w:r>
            <w:r w:rsidR="0087146C">
              <w:rPr>
                <w:noProof/>
                <w:webHidden/>
              </w:rPr>
              <w:instrText xml:space="preserve"> PAGEREF _Toc106697878 \h </w:instrText>
            </w:r>
            <w:r w:rsidR="0087146C">
              <w:rPr>
                <w:noProof/>
                <w:webHidden/>
              </w:rPr>
            </w:r>
            <w:r w:rsidR="0087146C">
              <w:rPr>
                <w:noProof/>
                <w:webHidden/>
              </w:rPr>
              <w:fldChar w:fldCharType="separate"/>
            </w:r>
            <w:r w:rsidR="00185BAF">
              <w:rPr>
                <w:noProof/>
                <w:webHidden/>
              </w:rPr>
              <w:t>173</w:t>
            </w:r>
            <w:r w:rsidR="0087146C">
              <w:rPr>
                <w:noProof/>
                <w:webHidden/>
              </w:rPr>
              <w:fldChar w:fldCharType="end"/>
            </w:r>
          </w:hyperlink>
        </w:p>
        <w:p w14:paraId="7C6D1310" w14:textId="26F3E795" w:rsidR="0087146C" w:rsidRDefault="00012E64">
          <w:pPr>
            <w:pStyle w:val="TOC1"/>
            <w:tabs>
              <w:tab w:val="right" w:leader="dot" w:pos="9628"/>
            </w:tabs>
            <w:rPr>
              <w:rFonts w:eastAsiaTheme="minorEastAsia"/>
              <w:noProof/>
              <w:lang w:eastAsia="en-GB"/>
            </w:rPr>
          </w:pPr>
          <w:hyperlink w:anchor="_Toc106697879" w:history="1">
            <w:r w:rsidR="0087146C" w:rsidRPr="00AD1D4B">
              <w:rPr>
                <w:rStyle w:val="Hyperlink"/>
                <w:rFonts w:ascii="Calibri Light" w:eastAsia="SimSun" w:hAnsi="Calibri Light" w:cs="Times New Roman"/>
                <w:noProof/>
                <w:lang w:eastAsia="en-GB"/>
              </w:rPr>
              <w:t>Appendix 1 Workshop stories</w:t>
            </w:r>
            <w:r w:rsidR="0087146C">
              <w:rPr>
                <w:noProof/>
                <w:webHidden/>
              </w:rPr>
              <w:tab/>
            </w:r>
            <w:r w:rsidR="0087146C">
              <w:rPr>
                <w:noProof/>
                <w:webHidden/>
              </w:rPr>
              <w:fldChar w:fldCharType="begin"/>
            </w:r>
            <w:r w:rsidR="0087146C">
              <w:rPr>
                <w:noProof/>
                <w:webHidden/>
              </w:rPr>
              <w:instrText xml:space="preserve"> PAGEREF _Toc106697879 \h </w:instrText>
            </w:r>
            <w:r w:rsidR="0087146C">
              <w:rPr>
                <w:noProof/>
                <w:webHidden/>
              </w:rPr>
            </w:r>
            <w:r w:rsidR="0087146C">
              <w:rPr>
                <w:noProof/>
                <w:webHidden/>
              </w:rPr>
              <w:fldChar w:fldCharType="separate"/>
            </w:r>
            <w:r w:rsidR="00185BAF">
              <w:rPr>
                <w:noProof/>
                <w:webHidden/>
              </w:rPr>
              <w:t>173</w:t>
            </w:r>
            <w:r w:rsidR="0087146C">
              <w:rPr>
                <w:noProof/>
                <w:webHidden/>
              </w:rPr>
              <w:fldChar w:fldCharType="end"/>
            </w:r>
          </w:hyperlink>
        </w:p>
        <w:p w14:paraId="7F813961" w14:textId="7607F932" w:rsidR="0087146C" w:rsidRDefault="00012E64">
          <w:pPr>
            <w:pStyle w:val="TOC1"/>
            <w:tabs>
              <w:tab w:val="right" w:leader="dot" w:pos="9628"/>
            </w:tabs>
            <w:rPr>
              <w:rFonts w:eastAsiaTheme="minorEastAsia"/>
              <w:noProof/>
              <w:lang w:eastAsia="en-GB"/>
            </w:rPr>
          </w:pPr>
          <w:hyperlink w:anchor="_Toc106697880" w:history="1">
            <w:r w:rsidR="0087146C" w:rsidRPr="00AD1D4B">
              <w:rPr>
                <w:rStyle w:val="Hyperlink"/>
                <w:rFonts w:ascii="Calibri Light" w:eastAsia="SimSun" w:hAnsi="Calibri Light" w:cs="Times New Roman"/>
                <w:noProof/>
                <w:lang w:eastAsia="en-GB"/>
              </w:rPr>
              <w:t>Appendix 2 Brief case narrative summaries</w:t>
            </w:r>
            <w:r w:rsidR="0087146C">
              <w:rPr>
                <w:noProof/>
                <w:webHidden/>
              </w:rPr>
              <w:tab/>
            </w:r>
            <w:r w:rsidR="0087146C">
              <w:rPr>
                <w:noProof/>
                <w:webHidden/>
              </w:rPr>
              <w:fldChar w:fldCharType="begin"/>
            </w:r>
            <w:r w:rsidR="0087146C">
              <w:rPr>
                <w:noProof/>
                <w:webHidden/>
              </w:rPr>
              <w:instrText xml:space="preserve"> PAGEREF _Toc106697880 \h </w:instrText>
            </w:r>
            <w:r w:rsidR="0087146C">
              <w:rPr>
                <w:noProof/>
                <w:webHidden/>
              </w:rPr>
            </w:r>
            <w:r w:rsidR="0087146C">
              <w:rPr>
                <w:noProof/>
                <w:webHidden/>
              </w:rPr>
              <w:fldChar w:fldCharType="separate"/>
            </w:r>
            <w:r w:rsidR="00185BAF">
              <w:rPr>
                <w:noProof/>
                <w:webHidden/>
              </w:rPr>
              <w:t>183</w:t>
            </w:r>
            <w:r w:rsidR="0087146C">
              <w:rPr>
                <w:noProof/>
                <w:webHidden/>
              </w:rPr>
              <w:fldChar w:fldCharType="end"/>
            </w:r>
          </w:hyperlink>
        </w:p>
        <w:p w14:paraId="1B834616" w14:textId="2AEFEA9A" w:rsidR="0087146C" w:rsidRDefault="00012E64">
          <w:pPr>
            <w:pStyle w:val="TOC1"/>
            <w:tabs>
              <w:tab w:val="right" w:leader="dot" w:pos="9628"/>
            </w:tabs>
            <w:rPr>
              <w:rFonts w:eastAsiaTheme="minorEastAsia"/>
              <w:noProof/>
              <w:lang w:eastAsia="en-GB"/>
            </w:rPr>
          </w:pPr>
          <w:hyperlink w:anchor="_Toc106697881" w:history="1">
            <w:r w:rsidR="0087146C" w:rsidRPr="00AD1D4B">
              <w:rPr>
                <w:rStyle w:val="Hyperlink"/>
                <w:rFonts w:ascii="Calibri Light" w:eastAsia="SimSun" w:hAnsi="Calibri Light" w:cs="Times New Roman"/>
                <w:noProof/>
                <w:lang w:eastAsia="en-GB"/>
              </w:rPr>
              <w:t>Appendix 3 Fictionalised evidence-based narratives</w:t>
            </w:r>
            <w:r w:rsidR="0087146C">
              <w:rPr>
                <w:noProof/>
                <w:webHidden/>
              </w:rPr>
              <w:tab/>
            </w:r>
            <w:r w:rsidR="0087146C">
              <w:rPr>
                <w:noProof/>
                <w:webHidden/>
              </w:rPr>
              <w:fldChar w:fldCharType="begin"/>
            </w:r>
            <w:r w:rsidR="0087146C">
              <w:rPr>
                <w:noProof/>
                <w:webHidden/>
              </w:rPr>
              <w:instrText xml:space="preserve"> PAGEREF _Toc106697881 \h </w:instrText>
            </w:r>
            <w:r w:rsidR="0087146C">
              <w:rPr>
                <w:noProof/>
                <w:webHidden/>
              </w:rPr>
            </w:r>
            <w:r w:rsidR="0087146C">
              <w:rPr>
                <w:noProof/>
                <w:webHidden/>
              </w:rPr>
              <w:fldChar w:fldCharType="separate"/>
            </w:r>
            <w:r w:rsidR="00185BAF">
              <w:rPr>
                <w:noProof/>
                <w:webHidden/>
              </w:rPr>
              <w:t>190</w:t>
            </w:r>
            <w:r w:rsidR="0087146C">
              <w:rPr>
                <w:noProof/>
                <w:webHidden/>
              </w:rPr>
              <w:fldChar w:fldCharType="end"/>
            </w:r>
          </w:hyperlink>
        </w:p>
        <w:p w14:paraId="33D93AAE" w14:textId="58CA3668" w:rsidR="000F7E56" w:rsidRPr="00835B60" w:rsidRDefault="000F7E56" w:rsidP="00835B60">
          <w:r w:rsidRPr="000F7E56">
            <w:rPr>
              <w:b/>
              <w:bCs/>
              <w:noProof/>
            </w:rPr>
            <w:fldChar w:fldCharType="end"/>
          </w:r>
        </w:p>
      </w:sdtContent>
    </w:sdt>
    <w:p w14:paraId="2FACF4A3" w14:textId="77777777" w:rsidR="000F7E56" w:rsidRPr="000F7E56" w:rsidRDefault="000F7E56" w:rsidP="000F7E56">
      <w:pPr>
        <w:rPr>
          <w:rFonts w:asciiTheme="majorHAnsi" w:eastAsiaTheme="majorEastAsia" w:hAnsiTheme="majorHAnsi" w:cstheme="majorBidi"/>
          <w:color w:val="2F5496" w:themeColor="accent1" w:themeShade="BF"/>
          <w:sz w:val="32"/>
          <w:szCs w:val="32"/>
          <w:lang w:val="en-US"/>
        </w:rPr>
      </w:pPr>
      <w:r w:rsidRPr="000F7E56">
        <w:br w:type="page"/>
      </w:r>
    </w:p>
    <w:p w14:paraId="1931D960" w14:textId="77777777" w:rsidR="000F7E56" w:rsidRPr="000F7E56" w:rsidRDefault="000F7E56" w:rsidP="000F7E56">
      <w:pPr>
        <w:keepNext/>
        <w:keepLines/>
        <w:spacing w:before="320" w:after="120" w:line="240" w:lineRule="auto"/>
        <w:jc w:val="center"/>
        <w:outlineLvl w:val="0"/>
        <w:rPr>
          <w:rFonts w:ascii="Calibri Light" w:eastAsia="SimSun" w:hAnsi="Calibri Light" w:cs="Times New Roman"/>
          <w:color w:val="2E74B5"/>
          <w:sz w:val="56"/>
          <w:szCs w:val="32"/>
          <w:lang w:eastAsia="en-GB"/>
        </w:rPr>
      </w:pPr>
      <w:bookmarkStart w:id="2" w:name="_Toc38365563"/>
      <w:bookmarkStart w:id="3" w:name="_Toc89763937"/>
      <w:bookmarkStart w:id="4" w:name="_Toc106697746"/>
      <w:r w:rsidRPr="000F7E56">
        <w:rPr>
          <w:rFonts w:ascii="Calibri Light" w:eastAsia="SimSun" w:hAnsi="Calibri Light" w:cs="Times New Roman"/>
          <w:color w:val="2E74B5"/>
          <w:sz w:val="56"/>
          <w:szCs w:val="32"/>
          <w:lang w:eastAsia="en-GB"/>
        </w:rPr>
        <w:lastRenderedPageBreak/>
        <w:t>Figures, Tables and Boxes</w:t>
      </w:r>
      <w:bookmarkEnd w:id="2"/>
      <w:bookmarkEnd w:id="3"/>
      <w:bookmarkEnd w:id="4"/>
    </w:p>
    <w:p w14:paraId="72BAA6DE" w14:textId="12A265B7" w:rsidR="00A9593A" w:rsidRDefault="000F7E56">
      <w:pPr>
        <w:pStyle w:val="TableofFigures"/>
        <w:tabs>
          <w:tab w:val="right" w:leader="dot" w:pos="9628"/>
        </w:tabs>
        <w:rPr>
          <w:rFonts w:eastAsiaTheme="minorEastAsia"/>
          <w:noProof/>
          <w:lang w:eastAsia="en-GB"/>
        </w:rPr>
      </w:pPr>
      <w:r w:rsidRPr="000F7E56">
        <w:rPr>
          <w:lang w:val="en-US"/>
        </w:rPr>
        <w:fldChar w:fldCharType="begin"/>
      </w:r>
      <w:r w:rsidRPr="000F7E56">
        <w:rPr>
          <w:lang w:val="en-US"/>
        </w:rPr>
        <w:instrText xml:space="preserve"> TOC \h \z \c "Figure" </w:instrText>
      </w:r>
      <w:r w:rsidRPr="000F7E56">
        <w:rPr>
          <w:lang w:val="en-US"/>
        </w:rPr>
        <w:fldChar w:fldCharType="separate"/>
      </w:r>
      <w:hyperlink w:anchor="_Toc90545000" w:history="1">
        <w:r w:rsidR="00A9593A" w:rsidRPr="0035458E">
          <w:rPr>
            <w:rStyle w:val="Hyperlink"/>
            <w:rFonts w:cstheme="minorHAnsi"/>
            <w:iCs/>
            <w:noProof/>
          </w:rPr>
          <w:t>FIGURE 1 - Work Stream 1: Patient recruitment flowchart</w:t>
        </w:r>
        <w:r w:rsidR="00A9593A">
          <w:rPr>
            <w:noProof/>
            <w:webHidden/>
          </w:rPr>
          <w:tab/>
        </w:r>
        <w:r w:rsidR="00A9593A">
          <w:rPr>
            <w:noProof/>
            <w:webHidden/>
          </w:rPr>
          <w:fldChar w:fldCharType="begin"/>
        </w:r>
        <w:r w:rsidR="00A9593A">
          <w:rPr>
            <w:noProof/>
            <w:webHidden/>
          </w:rPr>
          <w:instrText xml:space="preserve"> PAGEREF _Toc90545000 \h </w:instrText>
        </w:r>
        <w:r w:rsidR="00A9593A">
          <w:rPr>
            <w:noProof/>
            <w:webHidden/>
          </w:rPr>
        </w:r>
        <w:r w:rsidR="00A9593A">
          <w:rPr>
            <w:noProof/>
            <w:webHidden/>
          </w:rPr>
          <w:fldChar w:fldCharType="separate"/>
        </w:r>
        <w:r w:rsidR="00012E64">
          <w:rPr>
            <w:noProof/>
            <w:webHidden/>
          </w:rPr>
          <w:t>44</w:t>
        </w:r>
        <w:r w:rsidR="00A9593A">
          <w:rPr>
            <w:noProof/>
            <w:webHidden/>
          </w:rPr>
          <w:fldChar w:fldCharType="end"/>
        </w:r>
      </w:hyperlink>
    </w:p>
    <w:p w14:paraId="7DA08D27" w14:textId="7B24E02A" w:rsidR="00A9593A" w:rsidRDefault="00012E64">
      <w:pPr>
        <w:pStyle w:val="TableofFigures"/>
        <w:tabs>
          <w:tab w:val="right" w:leader="dot" w:pos="9628"/>
        </w:tabs>
        <w:rPr>
          <w:rFonts w:eastAsiaTheme="minorEastAsia"/>
          <w:noProof/>
          <w:lang w:eastAsia="en-GB"/>
        </w:rPr>
      </w:pPr>
      <w:hyperlink w:anchor="_Toc90545001" w:history="1">
        <w:r w:rsidR="00A9593A" w:rsidRPr="0035458E">
          <w:rPr>
            <w:rStyle w:val="Hyperlink"/>
            <w:rFonts w:cstheme="minorHAnsi"/>
            <w:iCs/>
            <w:noProof/>
          </w:rPr>
          <w:t>FIGURE 2 – Patient case study composition</w:t>
        </w:r>
        <w:r w:rsidR="00A9593A">
          <w:rPr>
            <w:noProof/>
            <w:webHidden/>
          </w:rPr>
          <w:tab/>
        </w:r>
        <w:r w:rsidR="00A9593A">
          <w:rPr>
            <w:noProof/>
            <w:webHidden/>
          </w:rPr>
          <w:fldChar w:fldCharType="begin"/>
        </w:r>
        <w:r w:rsidR="00A9593A">
          <w:rPr>
            <w:noProof/>
            <w:webHidden/>
          </w:rPr>
          <w:instrText xml:space="preserve"> PAGEREF _Toc90545001 \h </w:instrText>
        </w:r>
        <w:r w:rsidR="00A9593A">
          <w:rPr>
            <w:noProof/>
            <w:webHidden/>
          </w:rPr>
        </w:r>
        <w:r w:rsidR="00A9593A">
          <w:rPr>
            <w:noProof/>
            <w:webHidden/>
          </w:rPr>
          <w:fldChar w:fldCharType="separate"/>
        </w:r>
        <w:r>
          <w:rPr>
            <w:noProof/>
            <w:webHidden/>
          </w:rPr>
          <w:t>48</w:t>
        </w:r>
        <w:r w:rsidR="00A9593A">
          <w:rPr>
            <w:noProof/>
            <w:webHidden/>
          </w:rPr>
          <w:fldChar w:fldCharType="end"/>
        </w:r>
      </w:hyperlink>
    </w:p>
    <w:p w14:paraId="135410C6" w14:textId="50B89E6C" w:rsidR="00A9593A" w:rsidRDefault="00012E64">
      <w:pPr>
        <w:pStyle w:val="TableofFigures"/>
        <w:tabs>
          <w:tab w:val="right" w:leader="dot" w:pos="9628"/>
        </w:tabs>
        <w:rPr>
          <w:rFonts w:eastAsiaTheme="minorEastAsia"/>
          <w:noProof/>
          <w:lang w:eastAsia="en-GB"/>
        </w:rPr>
      </w:pPr>
      <w:hyperlink w:anchor="_Toc90545002" w:history="1">
        <w:r w:rsidR="00A9593A" w:rsidRPr="0035458E">
          <w:rPr>
            <w:rStyle w:val="Hyperlink"/>
            <w:rFonts w:cstheme="minorHAnsi"/>
            <w:iCs/>
            <w:noProof/>
          </w:rPr>
          <w:t>FIGURE 3 - Cumulative case study commencement and completion</w:t>
        </w:r>
        <w:r w:rsidR="00A9593A">
          <w:rPr>
            <w:noProof/>
            <w:webHidden/>
          </w:rPr>
          <w:tab/>
        </w:r>
        <w:r w:rsidR="00A9593A">
          <w:rPr>
            <w:noProof/>
            <w:webHidden/>
          </w:rPr>
          <w:fldChar w:fldCharType="begin"/>
        </w:r>
        <w:r w:rsidR="00A9593A">
          <w:rPr>
            <w:noProof/>
            <w:webHidden/>
          </w:rPr>
          <w:instrText xml:space="preserve"> PAGEREF _Toc90545002 \h </w:instrText>
        </w:r>
        <w:r w:rsidR="00A9593A">
          <w:rPr>
            <w:noProof/>
            <w:webHidden/>
          </w:rPr>
        </w:r>
        <w:r w:rsidR="00A9593A">
          <w:rPr>
            <w:noProof/>
            <w:webHidden/>
          </w:rPr>
          <w:fldChar w:fldCharType="separate"/>
        </w:r>
        <w:r>
          <w:rPr>
            <w:noProof/>
            <w:webHidden/>
          </w:rPr>
          <w:t>60</w:t>
        </w:r>
        <w:r w:rsidR="00A9593A">
          <w:rPr>
            <w:noProof/>
            <w:webHidden/>
          </w:rPr>
          <w:fldChar w:fldCharType="end"/>
        </w:r>
      </w:hyperlink>
    </w:p>
    <w:p w14:paraId="1B143C4C" w14:textId="55A2761E" w:rsidR="00A9593A" w:rsidRDefault="00012E64">
      <w:pPr>
        <w:pStyle w:val="TableofFigures"/>
        <w:tabs>
          <w:tab w:val="right" w:leader="dot" w:pos="9628"/>
        </w:tabs>
        <w:rPr>
          <w:rFonts w:eastAsiaTheme="minorEastAsia"/>
          <w:noProof/>
          <w:lang w:eastAsia="en-GB"/>
        </w:rPr>
      </w:pPr>
      <w:hyperlink w:anchor="_Toc90545003" w:history="1">
        <w:r w:rsidR="00A9593A" w:rsidRPr="0035458E">
          <w:rPr>
            <w:rStyle w:val="Hyperlink"/>
            <w:rFonts w:cstheme="minorHAnsi"/>
            <w:iCs/>
            <w:noProof/>
          </w:rPr>
          <w:t>FIGURE 4 - Work Stream 2: recruitment of Bereaved Family Care Givers</w:t>
        </w:r>
        <w:r w:rsidR="00A9593A">
          <w:rPr>
            <w:noProof/>
            <w:webHidden/>
          </w:rPr>
          <w:tab/>
        </w:r>
        <w:r w:rsidR="00A9593A">
          <w:rPr>
            <w:noProof/>
            <w:webHidden/>
          </w:rPr>
          <w:fldChar w:fldCharType="begin"/>
        </w:r>
        <w:r w:rsidR="00A9593A">
          <w:rPr>
            <w:noProof/>
            <w:webHidden/>
          </w:rPr>
          <w:instrText xml:space="preserve"> PAGEREF _Toc90545003 \h </w:instrText>
        </w:r>
        <w:r w:rsidR="00A9593A">
          <w:rPr>
            <w:noProof/>
            <w:webHidden/>
          </w:rPr>
        </w:r>
        <w:r w:rsidR="00A9593A">
          <w:rPr>
            <w:noProof/>
            <w:webHidden/>
          </w:rPr>
          <w:fldChar w:fldCharType="separate"/>
        </w:r>
        <w:r>
          <w:rPr>
            <w:noProof/>
            <w:webHidden/>
          </w:rPr>
          <w:t>65</w:t>
        </w:r>
        <w:r w:rsidR="00A9593A">
          <w:rPr>
            <w:noProof/>
            <w:webHidden/>
          </w:rPr>
          <w:fldChar w:fldCharType="end"/>
        </w:r>
      </w:hyperlink>
    </w:p>
    <w:p w14:paraId="7259E435" w14:textId="549A316B" w:rsidR="00A9593A" w:rsidRDefault="00012E64">
      <w:pPr>
        <w:pStyle w:val="TableofFigures"/>
        <w:tabs>
          <w:tab w:val="right" w:leader="dot" w:pos="9628"/>
        </w:tabs>
        <w:rPr>
          <w:rFonts w:eastAsiaTheme="minorEastAsia"/>
          <w:noProof/>
          <w:lang w:eastAsia="en-GB"/>
        </w:rPr>
      </w:pPr>
      <w:hyperlink w:anchor="_Toc90545004" w:history="1">
        <w:r w:rsidR="00A9593A" w:rsidRPr="0035458E">
          <w:rPr>
            <w:rStyle w:val="Hyperlink"/>
            <w:rFonts w:cstheme="minorHAnsi"/>
            <w:iCs/>
            <w:noProof/>
          </w:rPr>
          <w:t>FIGURE 5 - Enablers to 'knowing' ED patients and families to optimise end-of-life care</w:t>
        </w:r>
        <w:r w:rsidR="00A9593A">
          <w:rPr>
            <w:noProof/>
            <w:webHidden/>
          </w:rPr>
          <w:tab/>
        </w:r>
        <w:r w:rsidR="00A9593A">
          <w:rPr>
            <w:noProof/>
            <w:webHidden/>
          </w:rPr>
          <w:fldChar w:fldCharType="begin"/>
        </w:r>
        <w:r w:rsidR="00A9593A">
          <w:rPr>
            <w:noProof/>
            <w:webHidden/>
          </w:rPr>
          <w:instrText xml:space="preserve"> PAGEREF _Toc90545004 \h </w:instrText>
        </w:r>
        <w:r w:rsidR="00A9593A">
          <w:rPr>
            <w:noProof/>
            <w:webHidden/>
          </w:rPr>
        </w:r>
        <w:r w:rsidR="00A9593A">
          <w:rPr>
            <w:noProof/>
            <w:webHidden/>
          </w:rPr>
          <w:fldChar w:fldCharType="separate"/>
        </w:r>
        <w:r>
          <w:rPr>
            <w:noProof/>
            <w:webHidden/>
          </w:rPr>
          <w:t>142</w:t>
        </w:r>
        <w:r w:rsidR="00A9593A">
          <w:rPr>
            <w:noProof/>
            <w:webHidden/>
          </w:rPr>
          <w:fldChar w:fldCharType="end"/>
        </w:r>
      </w:hyperlink>
    </w:p>
    <w:p w14:paraId="7D94B2B9" w14:textId="3A66AB84" w:rsidR="00A9593A" w:rsidRDefault="00012E64">
      <w:pPr>
        <w:pStyle w:val="TableofFigures"/>
        <w:tabs>
          <w:tab w:val="right" w:leader="dot" w:pos="9628"/>
        </w:tabs>
        <w:rPr>
          <w:rFonts w:eastAsiaTheme="minorEastAsia"/>
          <w:noProof/>
          <w:lang w:eastAsia="en-GB"/>
        </w:rPr>
      </w:pPr>
      <w:hyperlink w:anchor="_Toc90545005" w:history="1">
        <w:r w:rsidR="00A9593A" w:rsidRPr="0035458E">
          <w:rPr>
            <w:rStyle w:val="Hyperlink"/>
            <w:rFonts w:cstheme="minorHAnsi"/>
            <w:iCs/>
            <w:noProof/>
          </w:rPr>
          <w:t>FIGURE 6 - Mean scores of participation at beginning and end of community event</w:t>
        </w:r>
        <w:r w:rsidR="00A9593A">
          <w:rPr>
            <w:noProof/>
            <w:webHidden/>
          </w:rPr>
          <w:tab/>
        </w:r>
        <w:r w:rsidR="00A9593A">
          <w:rPr>
            <w:noProof/>
            <w:webHidden/>
          </w:rPr>
          <w:fldChar w:fldCharType="begin"/>
        </w:r>
        <w:r w:rsidR="00A9593A">
          <w:rPr>
            <w:noProof/>
            <w:webHidden/>
          </w:rPr>
          <w:instrText xml:space="preserve"> PAGEREF _Toc90545005 \h </w:instrText>
        </w:r>
        <w:r w:rsidR="00A9593A">
          <w:rPr>
            <w:noProof/>
            <w:webHidden/>
          </w:rPr>
        </w:r>
        <w:r w:rsidR="00A9593A">
          <w:rPr>
            <w:noProof/>
            <w:webHidden/>
          </w:rPr>
          <w:fldChar w:fldCharType="separate"/>
        </w:r>
        <w:r>
          <w:rPr>
            <w:noProof/>
            <w:webHidden/>
          </w:rPr>
          <w:t>153</w:t>
        </w:r>
        <w:r w:rsidR="00A9593A">
          <w:rPr>
            <w:noProof/>
            <w:webHidden/>
          </w:rPr>
          <w:fldChar w:fldCharType="end"/>
        </w:r>
      </w:hyperlink>
    </w:p>
    <w:p w14:paraId="4C994B95" w14:textId="0FCEB209" w:rsidR="00A9593A" w:rsidRDefault="00012E64">
      <w:pPr>
        <w:pStyle w:val="TableofFigures"/>
        <w:tabs>
          <w:tab w:val="right" w:leader="dot" w:pos="9628"/>
        </w:tabs>
        <w:rPr>
          <w:rFonts w:eastAsiaTheme="minorEastAsia"/>
          <w:noProof/>
          <w:lang w:eastAsia="en-GB"/>
        </w:rPr>
      </w:pPr>
      <w:hyperlink w:anchor="_Toc90545006" w:history="1">
        <w:r w:rsidR="00A9593A" w:rsidRPr="0035458E">
          <w:rPr>
            <w:rStyle w:val="Hyperlink"/>
            <w:rFonts w:cstheme="minorHAnsi"/>
            <w:iCs/>
            <w:noProof/>
          </w:rPr>
          <w:t>FIGURE 7 - The Six Ambitions for PEoLC, National Palliative and End-of-Life Care Partnership</w:t>
        </w:r>
        <w:r w:rsidR="00A9593A">
          <w:rPr>
            <w:noProof/>
            <w:webHidden/>
          </w:rPr>
          <w:tab/>
        </w:r>
        <w:r w:rsidR="00A9593A">
          <w:rPr>
            <w:noProof/>
            <w:webHidden/>
          </w:rPr>
          <w:fldChar w:fldCharType="begin"/>
        </w:r>
        <w:r w:rsidR="00A9593A">
          <w:rPr>
            <w:noProof/>
            <w:webHidden/>
          </w:rPr>
          <w:instrText xml:space="preserve"> PAGEREF _Toc90545006 \h </w:instrText>
        </w:r>
        <w:r w:rsidR="00A9593A">
          <w:rPr>
            <w:noProof/>
            <w:webHidden/>
          </w:rPr>
        </w:r>
        <w:r w:rsidR="00A9593A">
          <w:rPr>
            <w:noProof/>
            <w:webHidden/>
          </w:rPr>
          <w:fldChar w:fldCharType="separate"/>
        </w:r>
        <w:r>
          <w:rPr>
            <w:noProof/>
            <w:webHidden/>
          </w:rPr>
          <w:t>157</w:t>
        </w:r>
        <w:r w:rsidR="00A9593A">
          <w:rPr>
            <w:noProof/>
            <w:webHidden/>
          </w:rPr>
          <w:fldChar w:fldCharType="end"/>
        </w:r>
      </w:hyperlink>
    </w:p>
    <w:p w14:paraId="2FF56E05" w14:textId="0790B6E6" w:rsidR="00A9593A" w:rsidRDefault="00012E64">
      <w:pPr>
        <w:pStyle w:val="TableofFigures"/>
        <w:tabs>
          <w:tab w:val="right" w:leader="dot" w:pos="9628"/>
        </w:tabs>
        <w:rPr>
          <w:rFonts w:eastAsiaTheme="minorEastAsia"/>
          <w:noProof/>
          <w:lang w:eastAsia="en-GB"/>
        </w:rPr>
      </w:pPr>
      <w:hyperlink w:anchor="_Toc90545007" w:history="1">
        <w:r w:rsidR="00A9593A" w:rsidRPr="0035458E">
          <w:rPr>
            <w:rStyle w:val="Hyperlink"/>
            <w:rFonts w:cstheme="minorHAnsi"/>
            <w:iCs/>
            <w:noProof/>
          </w:rPr>
          <w:t>FIGURE 8 - The Building Blocks for Ambitions: All Staff are Prepared to Care</w:t>
        </w:r>
        <w:r w:rsidR="00A9593A">
          <w:rPr>
            <w:noProof/>
            <w:webHidden/>
          </w:rPr>
          <w:tab/>
        </w:r>
        <w:r w:rsidR="00A9593A">
          <w:rPr>
            <w:noProof/>
            <w:webHidden/>
          </w:rPr>
          <w:fldChar w:fldCharType="begin"/>
        </w:r>
        <w:r w:rsidR="00A9593A">
          <w:rPr>
            <w:noProof/>
            <w:webHidden/>
          </w:rPr>
          <w:instrText xml:space="preserve"> PAGEREF _Toc90545007 \h </w:instrText>
        </w:r>
        <w:r w:rsidR="00A9593A">
          <w:rPr>
            <w:noProof/>
            <w:webHidden/>
          </w:rPr>
        </w:r>
        <w:r w:rsidR="00A9593A">
          <w:rPr>
            <w:noProof/>
            <w:webHidden/>
          </w:rPr>
          <w:fldChar w:fldCharType="separate"/>
        </w:r>
        <w:r>
          <w:rPr>
            <w:noProof/>
            <w:webHidden/>
          </w:rPr>
          <w:t>157</w:t>
        </w:r>
        <w:r w:rsidR="00A9593A">
          <w:rPr>
            <w:noProof/>
            <w:webHidden/>
          </w:rPr>
          <w:fldChar w:fldCharType="end"/>
        </w:r>
      </w:hyperlink>
    </w:p>
    <w:p w14:paraId="00D13415" w14:textId="47C52F76" w:rsidR="000F7E56" w:rsidRPr="000F7E56" w:rsidRDefault="000F7E56" w:rsidP="000F7E56">
      <w:pPr>
        <w:rPr>
          <w:lang w:val="en-US"/>
        </w:rPr>
      </w:pPr>
      <w:r w:rsidRPr="000F7E56">
        <w:rPr>
          <w:lang w:val="en-US"/>
        </w:rPr>
        <w:fldChar w:fldCharType="end"/>
      </w:r>
    </w:p>
    <w:p w14:paraId="6DBFF65D" w14:textId="55C54ECD" w:rsidR="00AD548B" w:rsidRDefault="000F7E56">
      <w:pPr>
        <w:pStyle w:val="TableofFigures"/>
        <w:tabs>
          <w:tab w:val="right" w:leader="dot" w:pos="9628"/>
        </w:tabs>
        <w:rPr>
          <w:rFonts w:eastAsiaTheme="minorEastAsia"/>
          <w:noProof/>
          <w:lang w:eastAsia="en-GB"/>
        </w:rPr>
      </w:pPr>
      <w:r w:rsidRPr="000F7E56">
        <w:rPr>
          <w:lang w:val="en-US"/>
        </w:rPr>
        <w:fldChar w:fldCharType="begin"/>
      </w:r>
      <w:r w:rsidRPr="000F7E56">
        <w:rPr>
          <w:lang w:val="en-US"/>
        </w:rPr>
        <w:instrText xml:space="preserve"> TOC \h \z \c "Table" </w:instrText>
      </w:r>
      <w:r w:rsidRPr="000F7E56">
        <w:rPr>
          <w:lang w:val="en-US"/>
        </w:rPr>
        <w:fldChar w:fldCharType="separate"/>
      </w:r>
      <w:hyperlink w:anchor="_Toc106701063" w:history="1">
        <w:r w:rsidR="00AD548B" w:rsidRPr="00165E51">
          <w:rPr>
            <w:rStyle w:val="Hyperlink"/>
            <w:rFonts w:cstheme="minorHAnsi"/>
            <w:iCs/>
            <w:noProof/>
          </w:rPr>
          <w:t>TABLE 1 – Patient case study composition</w:t>
        </w:r>
        <w:r w:rsidR="00AD548B">
          <w:rPr>
            <w:noProof/>
            <w:webHidden/>
          </w:rPr>
          <w:tab/>
        </w:r>
        <w:r w:rsidR="00AD548B">
          <w:rPr>
            <w:noProof/>
            <w:webHidden/>
          </w:rPr>
          <w:fldChar w:fldCharType="begin"/>
        </w:r>
        <w:r w:rsidR="00AD548B">
          <w:rPr>
            <w:noProof/>
            <w:webHidden/>
          </w:rPr>
          <w:instrText xml:space="preserve"> PAGEREF _Toc106701063 \h </w:instrText>
        </w:r>
        <w:r w:rsidR="00AD548B">
          <w:rPr>
            <w:noProof/>
            <w:webHidden/>
          </w:rPr>
        </w:r>
        <w:r w:rsidR="00AD548B">
          <w:rPr>
            <w:noProof/>
            <w:webHidden/>
          </w:rPr>
          <w:fldChar w:fldCharType="separate"/>
        </w:r>
        <w:r w:rsidR="00185BAF">
          <w:rPr>
            <w:noProof/>
            <w:webHidden/>
          </w:rPr>
          <w:t>62</w:t>
        </w:r>
        <w:r w:rsidR="00AD548B">
          <w:rPr>
            <w:noProof/>
            <w:webHidden/>
          </w:rPr>
          <w:fldChar w:fldCharType="end"/>
        </w:r>
      </w:hyperlink>
    </w:p>
    <w:p w14:paraId="785B4751" w14:textId="0D6CDFA0" w:rsidR="00AD548B" w:rsidRDefault="00012E64">
      <w:pPr>
        <w:pStyle w:val="TableofFigures"/>
        <w:tabs>
          <w:tab w:val="right" w:leader="dot" w:pos="9628"/>
        </w:tabs>
        <w:rPr>
          <w:rFonts w:eastAsiaTheme="minorEastAsia"/>
          <w:noProof/>
          <w:lang w:eastAsia="en-GB"/>
        </w:rPr>
      </w:pPr>
      <w:hyperlink w:anchor="_Toc106701064" w:history="1">
        <w:r w:rsidR="00AD548B" w:rsidRPr="00165E51">
          <w:rPr>
            <w:rStyle w:val="Hyperlink"/>
            <w:rFonts w:cstheme="minorHAnsi"/>
            <w:iCs/>
            <w:noProof/>
          </w:rPr>
          <w:t>TABLE 2  Work Stream 1: Characteristics of the 18 patients</w:t>
        </w:r>
        <w:r w:rsidR="00AD548B">
          <w:rPr>
            <w:noProof/>
            <w:webHidden/>
          </w:rPr>
          <w:tab/>
        </w:r>
        <w:r w:rsidR="00AD548B">
          <w:rPr>
            <w:noProof/>
            <w:webHidden/>
          </w:rPr>
          <w:fldChar w:fldCharType="begin"/>
        </w:r>
        <w:r w:rsidR="00AD548B">
          <w:rPr>
            <w:noProof/>
            <w:webHidden/>
          </w:rPr>
          <w:instrText xml:space="preserve"> PAGEREF _Toc106701064 \h </w:instrText>
        </w:r>
        <w:r w:rsidR="00AD548B">
          <w:rPr>
            <w:noProof/>
            <w:webHidden/>
          </w:rPr>
        </w:r>
        <w:r w:rsidR="00AD548B">
          <w:rPr>
            <w:noProof/>
            <w:webHidden/>
          </w:rPr>
          <w:fldChar w:fldCharType="separate"/>
        </w:r>
        <w:r w:rsidR="00185BAF">
          <w:rPr>
            <w:noProof/>
            <w:webHidden/>
          </w:rPr>
          <w:t>64</w:t>
        </w:r>
        <w:r w:rsidR="00AD548B">
          <w:rPr>
            <w:noProof/>
            <w:webHidden/>
          </w:rPr>
          <w:fldChar w:fldCharType="end"/>
        </w:r>
      </w:hyperlink>
    </w:p>
    <w:p w14:paraId="60CBE03D" w14:textId="24CBA5BD" w:rsidR="00AD548B" w:rsidRDefault="00012E64">
      <w:pPr>
        <w:pStyle w:val="TableofFigures"/>
        <w:tabs>
          <w:tab w:val="right" w:leader="dot" w:pos="9628"/>
        </w:tabs>
        <w:rPr>
          <w:rFonts w:eastAsiaTheme="minorEastAsia"/>
          <w:noProof/>
          <w:lang w:eastAsia="en-GB"/>
        </w:rPr>
      </w:pPr>
      <w:hyperlink w:anchor="_Toc106701065" w:history="1">
        <w:r w:rsidR="00AD548B" w:rsidRPr="00165E51">
          <w:rPr>
            <w:rStyle w:val="Hyperlink"/>
            <w:rFonts w:cstheme="minorHAnsi"/>
            <w:iCs/>
            <w:noProof/>
          </w:rPr>
          <w:t>TABLE 3 - Details of the Bereaved Family Care Givers</w:t>
        </w:r>
        <w:r w:rsidR="00AD548B">
          <w:rPr>
            <w:noProof/>
            <w:webHidden/>
          </w:rPr>
          <w:tab/>
        </w:r>
        <w:r w:rsidR="00AD548B">
          <w:rPr>
            <w:noProof/>
            <w:webHidden/>
          </w:rPr>
          <w:fldChar w:fldCharType="begin"/>
        </w:r>
        <w:r w:rsidR="00AD548B">
          <w:rPr>
            <w:noProof/>
            <w:webHidden/>
          </w:rPr>
          <w:instrText xml:space="preserve"> PAGEREF _Toc106701065 \h </w:instrText>
        </w:r>
        <w:r w:rsidR="00AD548B">
          <w:rPr>
            <w:noProof/>
            <w:webHidden/>
          </w:rPr>
        </w:r>
        <w:r w:rsidR="00AD548B">
          <w:rPr>
            <w:noProof/>
            <w:webHidden/>
          </w:rPr>
          <w:fldChar w:fldCharType="separate"/>
        </w:r>
        <w:r w:rsidR="00185BAF">
          <w:rPr>
            <w:noProof/>
            <w:webHidden/>
          </w:rPr>
          <w:t>66</w:t>
        </w:r>
        <w:r w:rsidR="00AD548B">
          <w:rPr>
            <w:noProof/>
            <w:webHidden/>
          </w:rPr>
          <w:fldChar w:fldCharType="end"/>
        </w:r>
      </w:hyperlink>
    </w:p>
    <w:p w14:paraId="08668112" w14:textId="33A2085F" w:rsidR="00AD548B" w:rsidRDefault="00012E64">
      <w:pPr>
        <w:pStyle w:val="TableofFigures"/>
        <w:tabs>
          <w:tab w:val="right" w:leader="dot" w:pos="9628"/>
        </w:tabs>
        <w:rPr>
          <w:rFonts w:eastAsiaTheme="minorEastAsia"/>
          <w:noProof/>
          <w:lang w:eastAsia="en-GB"/>
        </w:rPr>
      </w:pPr>
      <w:hyperlink w:anchor="_Toc106701066" w:history="1">
        <w:r w:rsidR="00AD548B" w:rsidRPr="00165E51">
          <w:rPr>
            <w:rStyle w:val="Hyperlink"/>
            <w:rFonts w:cstheme="minorHAnsi"/>
            <w:iCs/>
            <w:noProof/>
          </w:rPr>
          <w:t>TABLE 4 - Work Stream 2: Characteristics of the deceased family member</w:t>
        </w:r>
        <w:r w:rsidR="00AD548B">
          <w:rPr>
            <w:noProof/>
            <w:webHidden/>
          </w:rPr>
          <w:tab/>
        </w:r>
        <w:r w:rsidR="00AD548B">
          <w:rPr>
            <w:noProof/>
            <w:webHidden/>
          </w:rPr>
          <w:fldChar w:fldCharType="begin"/>
        </w:r>
        <w:r w:rsidR="00AD548B">
          <w:rPr>
            <w:noProof/>
            <w:webHidden/>
          </w:rPr>
          <w:instrText xml:space="preserve"> PAGEREF _Toc106701066 \h </w:instrText>
        </w:r>
        <w:r w:rsidR="00AD548B">
          <w:rPr>
            <w:noProof/>
            <w:webHidden/>
          </w:rPr>
        </w:r>
        <w:r w:rsidR="00AD548B">
          <w:rPr>
            <w:noProof/>
            <w:webHidden/>
          </w:rPr>
          <w:fldChar w:fldCharType="separate"/>
        </w:r>
        <w:r w:rsidR="00185BAF">
          <w:rPr>
            <w:noProof/>
            <w:webHidden/>
          </w:rPr>
          <w:t>67</w:t>
        </w:r>
        <w:r w:rsidR="00AD548B">
          <w:rPr>
            <w:noProof/>
            <w:webHidden/>
          </w:rPr>
          <w:fldChar w:fldCharType="end"/>
        </w:r>
      </w:hyperlink>
    </w:p>
    <w:p w14:paraId="5F723B25" w14:textId="6A27EDA4" w:rsidR="00AD548B" w:rsidRDefault="00012E64">
      <w:pPr>
        <w:pStyle w:val="TableofFigures"/>
        <w:tabs>
          <w:tab w:val="right" w:leader="dot" w:pos="9628"/>
        </w:tabs>
        <w:rPr>
          <w:rFonts w:eastAsiaTheme="minorEastAsia"/>
          <w:noProof/>
          <w:lang w:eastAsia="en-GB"/>
        </w:rPr>
      </w:pPr>
      <w:hyperlink w:anchor="_Toc106701067" w:history="1">
        <w:r w:rsidR="00AD548B" w:rsidRPr="00165E51">
          <w:rPr>
            <w:rStyle w:val="Hyperlink"/>
            <w:rFonts w:cstheme="minorHAnsi"/>
            <w:iCs/>
            <w:noProof/>
          </w:rPr>
          <w:t>TABLE 5 - Characteristics of Lay and Community Faith Leaders</w:t>
        </w:r>
        <w:r w:rsidR="00AD548B">
          <w:rPr>
            <w:noProof/>
            <w:webHidden/>
          </w:rPr>
          <w:tab/>
        </w:r>
        <w:r w:rsidR="00AD548B">
          <w:rPr>
            <w:noProof/>
            <w:webHidden/>
          </w:rPr>
          <w:fldChar w:fldCharType="begin"/>
        </w:r>
        <w:r w:rsidR="00AD548B">
          <w:rPr>
            <w:noProof/>
            <w:webHidden/>
          </w:rPr>
          <w:instrText xml:space="preserve"> PAGEREF _Toc106701067 \h </w:instrText>
        </w:r>
        <w:r w:rsidR="00AD548B">
          <w:rPr>
            <w:noProof/>
            <w:webHidden/>
          </w:rPr>
        </w:r>
        <w:r w:rsidR="00AD548B">
          <w:rPr>
            <w:noProof/>
            <w:webHidden/>
          </w:rPr>
          <w:fldChar w:fldCharType="separate"/>
        </w:r>
        <w:r w:rsidR="00185BAF">
          <w:rPr>
            <w:noProof/>
            <w:webHidden/>
          </w:rPr>
          <w:t>69</w:t>
        </w:r>
        <w:r w:rsidR="00AD548B">
          <w:rPr>
            <w:noProof/>
            <w:webHidden/>
          </w:rPr>
          <w:fldChar w:fldCharType="end"/>
        </w:r>
      </w:hyperlink>
    </w:p>
    <w:p w14:paraId="3C53EFB4" w14:textId="18D49136" w:rsidR="00AD548B" w:rsidRDefault="00012E64">
      <w:pPr>
        <w:pStyle w:val="TableofFigures"/>
        <w:tabs>
          <w:tab w:val="right" w:leader="dot" w:pos="9628"/>
        </w:tabs>
        <w:rPr>
          <w:rFonts w:eastAsiaTheme="minorEastAsia"/>
          <w:noProof/>
          <w:lang w:eastAsia="en-GB"/>
        </w:rPr>
      </w:pPr>
      <w:hyperlink w:anchor="_Toc106701068" w:history="1">
        <w:r w:rsidR="00AD548B" w:rsidRPr="00165E51">
          <w:rPr>
            <w:rStyle w:val="Hyperlink"/>
            <w:rFonts w:cstheme="minorHAnsi"/>
            <w:iCs/>
            <w:noProof/>
          </w:rPr>
          <w:t>TABLE 6 - Characteristics of Health Care Professional Stakeholders</w:t>
        </w:r>
        <w:r w:rsidR="00AD548B">
          <w:rPr>
            <w:noProof/>
            <w:webHidden/>
          </w:rPr>
          <w:tab/>
        </w:r>
        <w:r w:rsidR="00AD548B">
          <w:rPr>
            <w:noProof/>
            <w:webHidden/>
          </w:rPr>
          <w:fldChar w:fldCharType="begin"/>
        </w:r>
        <w:r w:rsidR="00AD548B">
          <w:rPr>
            <w:noProof/>
            <w:webHidden/>
          </w:rPr>
          <w:instrText xml:space="preserve"> PAGEREF _Toc106701068 \h </w:instrText>
        </w:r>
        <w:r w:rsidR="00AD548B">
          <w:rPr>
            <w:noProof/>
            <w:webHidden/>
          </w:rPr>
        </w:r>
        <w:r w:rsidR="00AD548B">
          <w:rPr>
            <w:noProof/>
            <w:webHidden/>
          </w:rPr>
          <w:fldChar w:fldCharType="separate"/>
        </w:r>
        <w:r w:rsidR="00185BAF">
          <w:rPr>
            <w:noProof/>
            <w:webHidden/>
          </w:rPr>
          <w:t>70</w:t>
        </w:r>
        <w:r w:rsidR="00AD548B">
          <w:rPr>
            <w:noProof/>
            <w:webHidden/>
          </w:rPr>
          <w:fldChar w:fldCharType="end"/>
        </w:r>
      </w:hyperlink>
    </w:p>
    <w:p w14:paraId="7B1FB07E" w14:textId="2DD375EC" w:rsidR="00AD548B" w:rsidRDefault="00012E64">
      <w:pPr>
        <w:pStyle w:val="TableofFigures"/>
        <w:tabs>
          <w:tab w:val="right" w:leader="dot" w:pos="9628"/>
        </w:tabs>
        <w:rPr>
          <w:rFonts w:eastAsiaTheme="minorEastAsia"/>
          <w:noProof/>
          <w:lang w:eastAsia="en-GB"/>
        </w:rPr>
      </w:pPr>
      <w:hyperlink w:anchor="_Toc106701069" w:history="1">
        <w:r w:rsidR="00AD548B" w:rsidRPr="00165E51">
          <w:rPr>
            <w:rStyle w:val="Hyperlink"/>
            <w:rFonts w:cstheme="minorHAnsi"/>
            <w:iCs/>
            <w:noProof/>
          </w:rPr>
          <w:t>TABLE 7 - Characteristics of Academic Stakeholders</w:t>
        </w:r>
        <w:r w:rsidR="00AD548B">
          <w:rPr>
            <w:noProof/>
            <w:webHidden/>
          </w:rPr>
          <w:tab/>
        </w:r>
        <w:r w:rsidR="00AD548B">
          <w:rPr>
            <w:noProof/>
            <w:webHidden/>
          </w:rPr>
          <w:fldChar w:fldCharType="begin"/>
        </w:r>
        <w:r w:rsidR="00AD548B">
          <w:rPr>
            <w:noProof/>
            <w:webHidden/>
          </w:rPr>
          <w:instrText xml:space="preserve"> PAGEREF _Toc106701069 \h </w:instrText>
        </w:r>
        <w:r w:rsidR="00AD548B">
          <w:rPr>
            <w:noProof/>
            <w:webHidden/>
          </w:rPr>
        </w:r>
        <w:r w:rsidR="00AD548B">
          <w:rPr>
            <w:noProof/>
            <w:webHidden/>
          </w:rPr>
          <w:fldChar w:fldCharType="separate"/>
        </w:r>
        <w:r w:rsidR="00185BAF">
          <w:rPr>
            <w:noProof/>
            <w:webHidden/>
          </w:rPr>
          <w:t>71</w:t>
        </w:r>
        <w:r w:rsidR="00AD548B">
          <w:rPr>
            <w:noProof/>
            <w:webHidden/>
          </w:rPr>
          <w:fldChar w:fldCharType="end"/>
        </w:r>
      </w:hyperlink>
    </w:p>
    <w:p w14:paraId="09C2C564" w14:textId="245FA625" w:rsidR="00AD548B" w:rsidRDefault="00012E64">
      <w:pPr>
        <w:pStyle w:val="TableofFigures"/>
        <w:tabs>
          <w:tab w:val="right" w:leader="dot" w:pos="9628"/>
        </w:tabs>
        <w:rPr>
          <w:rFonts w:eastAsiaTheme="minorEastAsia"/>
          <w:noProof/>
          <w:lang w:eastAsia="en-GB"/>
        </w:rPr>
      </w:pPr>
      <w:hyperlink w:anchor="_Toc106701070" w:history="1">
        <w:r w:rsidR="00AD548B" w:rsidRPr="00165E51">
          <w:rPr>
            <w:rStyle w:val="Hyperlink"/>
            <w:rFonts w:cstheme="minorHAnsi"/>
            <w:iCs/>
            <w:noProof/>
          </w:rPr>
          <w:t>TABLE 8 - Characteristics of Educator Stakeholders</w:t>
        </w:r>
        <w:r w:rsidR="00AD548B">
          <w:rPr>
            <w:noProof/>
            <w:webHidden/>
          </w:rPr>
          <w:tab/>
        </w:r>
        <w:r w:rsidR="00AD548B">
          <w:rPr>
            <w:noProof/>
            <w:webHidden/>
          </w:rPr>
          <w:fldChar w:fldCharType="begin"/>
        </w:r>
        <w:r w:rsidR="00AD548B">
          <w:rPr>
            <w:noProof/>
            <w:webHidden/>
          </w:rPr>
          <w:instrText xml:space="preserve"> PAGEREF _Toc106701070 \h </w:instrText>
        </w:r>
        <w:r w:rsidR="00AD548B">
          <w:rPr>
            <w:noProof/>
            <w:webHidden/>
          </w:rPr>
        </w:r>
        <w:r w:rsidR="00AD548B">
          <w:rPr>
            <w:noProof/>
            <w:webHidden/>
          </w:rPr>
          <w:fldChar w:fldCharType="separate"/>
        </w:r>
        <w:r w:rsidR="00185BAF">
          <w:rPr>
            <w:noProof/>
            <w:webHidden/>
          </w:rPr>
          <w:t>72</w:t>
        </w:r>
        <w:r w:rsidR="00AD548B">
          <w:rPr>
            <w:noProof/>
            <w:webHidden/>
          </w:rPr>
          <w:fldChar w:fldCharType="end"/>
        </w:r>
      </w:hyperlink>
    </w:p>
    <w:p w14:paraId="101B4B4C" w14:textId="047590E4" w:rsidR="00AD548B" w:rsidRDefault="00012E64">
      <w:pPr>
        <w:pStyle w:val="TableofFigures"/>
        <w:tabs>
          <w:tab w:val="right" w:leader="dot" w:pos="9628"/>
        </w:tabs>
        <w:rPr>
          <w:rFonts w:eastAsiaTheme="minorEastAsia"/>
          <w:noProof/>
          <w:lang w:eastAsia="en-GB"/>
        </w:rPr>
      </w:pPr>
      <w:hyperlink w:anchor="_Toc106701071" w:history="1">
        <w:r w:rsidR="00AD548B" w:rsidRPr="00165E51">
          <w:rPr>
            <w:rStyle w:val="Hyperlink"/>
            <w:rFonts w:cstheme="minorHAnsi"/>
            <w:iCs/>
            <w:noProof/>
          </w:rPr>
          <w:t>TABLE 9 - Details of virtual stakeholder workshops</w:t>
        </w:r>
        <w:r w:rsidR="00AD548B">
          <w:rPr>
            <w:noProof/>
            <w:webHidden/>
          </w:rPr>
          <w:tab/>
        </w:r>
        <w:r w:rsidR="00AD548B">
          <w:rPr>
            <w:noProof/>
            <w:webHidden/>
          </w:rPr>
          <w:fldChar w:fldCharType="begin"/>
        </w:r>
        <w:r w:rsidR="00AD548B">
          <w:rPr>
            <w:noProof/>
            <w:webHidden/>
          </w:rPr>
          <w:instrText xml:space="preserve"> PAGEREF _Toc106701071 \h </w:instrText>
        </w:r>
        <w:r w:rsidR="00AD548B">
          <w:rPr>
            <w:noProof/>
            <w:webHidden/>
          </w:rPr>
        </w:r>
        <w:r w:rsidR="00AD548B">
          <w:rPr>
            <w:noProof/>
            <w:webHidden/>
          </w:rPr>
          <w:fldChar w:fldCharType="separate"/>
        </w:r>
        <w:r w:rsidR="00185BAF">
          <w:rPr>
            <w:noProof/>
            <w:webHidden/>
          </w:rPr>
          <w:t>110</w:t>
        </w:r>
        <w:r w:rsidR="00AD548B">
          <w:rPr>
            <w:noProof/>
            <w:webHidden/>
          </w:rPr>
          <w:fldChar w:fldCharType="end"/>
        </w:r>
      </w:hyperlink>
    </w:p>
    <w:p w14:paraId="02245E68" w14:textId="2D443E31" w:rsidR="00AD548B" w:rsidRDefault="00012E64">
      <w:pPr>
        <w:pStyle w:val="TableofFigures"/>
        <w:tabs>
          <w:tab w:val="right" w:leader="dot" w:pos="9628"/>
        </w:tabs>
        <w:rPr>
          <w:rFonts w:eastAsiaTheme="minorEastAsia"/>
          <w:noProof/>
          <w:lang w:eastAsia="en-GB"/>
        </w:rPr>
      </w:pPr>
      <w:hyperlink w:anchor="_Toc106701072" w:history="1">
        <w:r w:rsidR="00AD548B" w:rsidRPr="00165E51">
          <w:rPr>
            <w:rStyle w:val="Hyperlink"/>
            <w:noProof/>
          </w:rPr>
          <w:t>TABLE 10 - Details of Stakeholders completing workbooks</w:t>
        </w:r>
        <w:r w:rsidR="00AD548B">
          <w:rPr>
            <w:noProof/>
            <w:webHidden/>
          </w:rPr>
          <w:tab/>
        </w:r>
        <w:r w:rsidR="00AD548B">
          <w:rPr>
            <w:noProof/>
            <w:webHidden/>
          </w:rPr>
          <w:fldChar w:fldCharType="begin"/>
        </w:r>
        <w:r w:rsidR="00AD548B">
          <w:rPr>
            <w:noProof/>
            <w:webHidden/>
          </w:rPr>
          <w:instrText xml:space="preserve"> PAGEREF _Toc106701072 \h </w:instrText>
        </w:r>
        <w:r w:rsidR="00AD548B">
          <w:rPr>
            <w:noProof/>
            <w:webHidden/>
          </w:rPr>
        </w:r>
        <w:r w:rsidR="00AD548B">
          <w:rPr>
            <w:noProof/>
            <w:webHidden/>
          </w:rPr>
          <w:fldChar w:fldCharType="separate"/>
        </w:r>
        <w:r w:rsidR="00185BAF">
          <w:rPr>
            <w:noProof/>
            <w:webHidden/>
          </w:rPr>
          <w:t>110</w:t>
        </w:r>
        <w:r w:rsidR="00AD548B">
          <w:rPr>
            <w:noProof/>
            <w:webHidden/>
          </w:rPr>
          <w:fldChar w:fldCharType="end"/>
        </w:r>
      </w:hyperlink>
    </w:p>
    <w:p w14:paraId="48466D4F" w14:textId="2E129C98" w:rsidR="00AD548B" w:rsidRDefault="00012E64">
      <w:pPr>
        <w:pStyle w:val="TableofFigures"/>
        <w:tabs>
          <w:tab w:val="right" w:leader="dot" w:pos="9628"/>
        </w:tabs>
        <w:rPr>
          <w:rFonts w:eastAsiaTheme="minorEastAsia"/>
          <w:noProof/>
          <w:lang w:eastAsia="en-GB"/>
        </w:rPr>
      </w:pPr>
      <w:hyperlink w:anchor="_Toc106701073" w:history="1">
        <w:r w:rsidR="00AD548B" w:rsidRPr="00165E51">
          <w:rPr>
            <w:rStyle w:val="Hyperlink"/>
            <w:noProof/>
          </w:rPr>
          <w:t>TABLE 11 - Stories and themes</w:t>
        </w:r>
        <w:r w:rsidR="00AD548B">
          <w:rPr>
            <w:noProof/>
            <w:webHidden/>
          </w:rPr>
          <w:tab/>
        </w:r>
        <w:r w:rsidR="00AD548B">
          <w:rPr>
            <w:noProof/>
            <w:webHidden/>
          </w:rPr>
          <w:fldChar w:fldCharType="begin"/>
        </w:r>
        <w:r w:rsidR="00AD548B">
          <w:rPr>
            <w:noProof/>
            <w:webHidden/>
          </w:rPr>
          <w:instrText xml:space="preserve"> PAGEREF _Toc106701073 \h </w:instrText>
        </w:r>
        <w:r w:rsidR="00AD548B">
          <w:rPr>
            <w:noProof/>
            <w:webHidden/>
          </w:rPr>
        </w:r>
        <w:r w:rsidR="00AD548B">
          <w:rPr>
            <w:noProof/>
            <w:webHidden/>
          </w:rPr>
          <w:fldChar w:fldCharType="separate"/>
        </w:r>
        <w:r w:rsidR="00185BAF">
          <w:rPr>
            <w:noProof/>
            <w:webHidden/>
          </w:rPr>
          <w:t>115</w:t>
        </w:r>
        <w:r w:rsidR="00AD548B">
          <w:rPr>
            <w:noProof/>
            <w:webHidden/>
          </w:rPr>
          <w:fldChar w:fldCharType="end"/>
        </w:r>
      </w:hyperlink>
    </w:p>
    <w:p w14:paraId="50DC4C03" w14:textId="1B0E2EF0" w:rsidR="00AD548B" w:rsidRDefault="00012E64">
      <w:pPr>
        <w:pStyle w:val="TableofFigures"/>
        <w:tabs>
          <w:tab w:val="right" w:leader="dot" w:pos="9628"/>
        </w:tabs>
        <w:rPr>
          <w:rFonts w:eastAsiaTheme="minorEastAsia"/>
          <w:noProof/>
          <w:lang w:eastAsia="en-GB"/>
        </w:rPr>
      </w:pPr>
      <w:hyperlink w:anchor="_Toc106701074" w:history="1">
        <w:r w:rsidR="00AD548B" w:rsidRPr="00165E51">
          <w:rPr>
            <w:rStyle w:val="Hyperlink"/>
            <w:noProof/>
          </w:rPr>
          <w:t>TABLE 12 - How HCPs translate behaviour techniques into practice</w:t>
        </w:r>
        <w:r w:rsidR="00AD548B">
          <w:rPr>
            <w:noProof/>
            <w:webHidden/>
          </w:rPr>
          <w:tab/>
        </w:r>
        <w:r w:rsidR="00AD548B">
          <w:rPr>
            <w:noProof/>
            <w:webHidden/>
          </w:rPr>
          <w:fldChar w:fldCharType="begin"/>
        </w:r>
        <w:r w:rsidR="00AD548B">
          <w:rPr>
            <w:noProof/>
            <w:webHidden/>
          </w:rPr>
          <w:instrText xml:space="preserve"> PAGEREF _Toc106701074 \h </w:instrText>
        </w:r>
        <w:r w:rsidR="00AD548B">
          <w:rPr>
            <w:noProof/>
            <w:webHidden/>
          </w:rPr>
        </w:r>
        <w:r w:rsidR="00AD548B">
          <w:rPr>
            <w:noProof/>
            <w:webHidden/>
          </w:rPr>
          <w:fldChar w:fldCharType="separate"/>
        </w:r>
        <w:r w:rsidR="00185BAF">
          <w:rPr>
            <w:noProof/>
            <w:webHidden/>
          </w:rPr>
          <w:t>124</w:t>
        </w:r>
        <w:r w:rsidR="00AD548B">
          <w:rPr>
            <w:noProof/>
            <w:webHidden/>
          </w:rPr>
          <w:fldChar w:fldCharType="end"/>
        </w:r>
      </w:hyperlink>
    </w:p>
    <w:p w14:paraId="2E5CF78B" w14:textId="0A2B7E1D" w:rsidR="00AD548B" w:rsidRDefault="00012E64">
      <w:pPr>
        <w:pStyle w:val="TableofFigures"/>
        <w:tabs>
          <w:tab w:val="right" w:leader="dot" w:pos="9628"/>
        </w:tabs>
        <w:rPr>
          <w:rFonts w:eastAsiaTheme="minorEastAsia"/>
          <w:noProof/>
          <w:lang w:eastAsia="en-GB"/>
        </w:rPr>
      </w:pPr>
      <w:hyperlink w:anchor="_Toc106701075" w:history="1">
        <w:r w:rsidR="00AD548B" w:rsidRPr="00165E51">
          <w:rPr>
            <w:rStyle w:val="Hyperlink"/>
            <w:noProof/>
          </w:rPr>
          <w:t>TABLE 13 - Characteristics of fictionalised stories</w:t>
        </w:r>
        <w:r w:rsidR="00AD548B">
          <w:rPr>
            <w:noProof/>
            <w:webHidden/>
          </w:rPr>
          <w:tab/>
        </w:r>
        <w:r w:rsidR="00AD548B">
          <w:rPr>
            <w:noProof/>
            <w:webHidden/>
          </w:rPr>
          <w:fldChar w:fldCharType="begin"/>
        </w:r>
        <w:r w:rsidR="00AD548B">
          <w:rPr>
            <w:noProof/>
            <w:webHidden/>
          </w:rPr>
          <w:instrText xml:space="preserve"> PAGEREF _Toc106701075 \h </w:instrText>
        </w:r>
        <w:r w:rsidR="00AD548B">
          <w:rPr>
            <w:noProof/>
            <w:webHidden/>
          </w:rPr>
        </w:r>
        <w:r w:rsidR="00AD548B">
          <w:rPr>
            <w:noProof/>
            <w:webHidden/>
          </w:rPr>
          <w:fldChar w:fldCharType="separate"/>
        </w:r>
        <w:r w:rsidR="00185BAF">
          <w:rPr>
            <w:noProof/>
            <w:webHidden/>
          </w:rPr>
          <w:t>155</w:t>
        </w:r>
        <w:r w:rsidR="00AD548B">
          <w:rPr>
            <w:noProof/>
            <w:webHidden/>
          </w:rPr>
          <w:fldChar w:fldCharType="end"/>
        </w:r>
      </w:hyperlink>
    </w:p>
    <w:p w14:paraId="3F914AEA" w14:textId="4191D89B" w:rsidR="00AD548B" w:rsidRDefault="00012E64">
      <w:pPr>
        <w:pStyle w:val="TableofFigures"/>
        <w:tabs>
          <w:tab w:val="right" w:leader="dot" w:pos="9628"/>
        </w:tabs>
        <w:rPr>
          <w:rFonts w:eastAsiaTheme="minorEastAsia"/>
          <w:noProof/>
          <w:lang w:eastAsia="en-GB"/>
        </w:rPr>
      </w:pPr>
      <w:hyperlink w:anchor="_Toc106701076" w:history="1">
        <w:r w:rsidR="00AD548B" w:rsidRPr="00165E51">
          <w:rPr>
            <w:rStyle w:val="Hyperlink"/>
            <w:noProof/>
          </w:rPr>
          <w:t>TABLE 14 - Mr Chahine Case Study Interviews</w:t>
        </w:r>
        <w:r w:rsidR="00AD548B">
          <w:rPr>
            <w:noProof/>
            <w:webHidden/>
          </w:rPr>
          <w:tab/>
        </w:r>
        <w:r w:rsidR="00AD548B">
          <w:rPr>
            <w:noProof/>
            <w:webHidden/>
          </w:rPr>
          <w:fldChar w:fldCharType="begin"/>
        </w:r>
        <w:r w:rsidR="00AD548B">
          <w:rPr>
            <w:noProof/>
            <w:webHidden/>
          </w:rPr>
          <w:instrText xml:space="preserve"> PAGEREF _Toc106701076 \h </w:instrText>
        </w:r>
        <w:r w:rsidR="00AD548B">
          <w:rPr>
            <w:noProof/>
            <w:webHidden/>
          </w:rPr>
        </w:r>
        <w:r w:rsidR="00AD548B">
          <w:rPr>
            <w:noProof/>
            <w:webHidden/>
          </w:rPr>
          <w:fldChar w:fldCharType="separate"/>
        </w:r>
        <w:r w:rsidR="00185BAF">
          <w:rPr>
            <w:noProof/>
            <w:webHidden/>
          </w:rPr>
          <w:t>183</w:t>
        </w:r>
        <w:r w:rsidR="00AD548B">
          <w:rPr>
            <w:noProof/>
            <w:webHidden/>
          </w:rPr>
          <w:fldChar w:fldCharType="end"/>
        </w:r>
      </w:hyperlink>
    </w:p>
    <w:p w14:paraId="43F3CE6C" w14:textId="132F8362" w:rsidR="00AD548B" w:rsidRDefault="00012E64">
      <w:pPr>
        <w:pStyle w:val="TableofFigures"/>
        <w:tabs>
          <w:tab w:val="right" w:leader="dot" w:pos="9628"/>
        </w:tabs>
        <w:rPr>
          <w:rFonts w:eastAsiaTheme="minorEastAsia"/>
          <w:noProof/>
          <w:lang w:eastAsia="en-GB"/>
        </w:rPr>
      </w:pPr>
      <w:hyperlink w:anchor="_Toc106701077" w:history="1">
        <w:r w:rsidR="00AD548B" w:rsidRPr="00165E51">
          <w:rPr>
            <w:rStyle w:val="Hyperlink"/>
            <w:noProof/>
          </w:rPr>
          <w:t>TABLE 15 - Mr Chifamba Case Study Interviews</w:t>
        </w:r>
        <w:r w:rsidR="00AD548B">
          <w:rPr>
            <w:noProof/>
            <w:webHidden/>
          </w:rPr>
          <w:tab/>
        </w:r>
        <w:r w:rsidR="00AD548B">
          <w:rPr>
            <w:noProof/>
            <w:webHidden/>
          </w:rPr>
          <w:fldChar w:fldCharType="begin"/>
        </w:r>
        <w:r w:rsidR="00AD548B">
          <w:rPr>
            <w:noProof/>
            <w:webHidden/>
          </w:rPr>
          <w:instrText xml:space="preserve"> PAGEREF _Toc106701077 \h </w:instrText>
        </w:r>
        <w:r w:rsidR="00AD548B">
          <w:rPr>
            <w:noProof/>
            <w:webHidden/>
          </w:rPr>
        </w:r>
        <w:r w:rsidR="00AD548B">
          <w:rPr>
            <w:noProof/>
            <w:webHidden/>
          </w:rPr>
          <w:fldChar w:fldCharType="separate"/>
        </w:r>
        <w:r w:rsidR="00185BAF">
          <w:rPr>
            <w:noProof/>
            <w:webHidden/>
          </w:rPr>
          <w:t>185</w:t>
        </w:r>
        <w:r w:rsidR="00AD548B">
          <w:rPr>
            <w:noProof/>
            <w:webHidden/>
          </w:rPr>
          <w:fldChar w:fldCharType="end"/>
        </w:r>
      </w:hyperlink>
    </w:p>
    <w:p w14:paraId="7B42CFC9" w14:textId="20D00E9C" w:rsidR="00AD548B" w:rsidRDefault="00012E64">
      <w:pPr>
        <w:pStyle w:val="TableofFigures"/>
        <w:tabs>
          <w:tab w:val="right" w:leader="dot" w:pos="9628"/>
        </w:tabs>
        <w:rPr>
          <w:rFonts w:eastAsiaTheme="minorEastAsia"/>
          <w:noProof/>
          <w:lang w:eastAsia="en-GB"/>
        </w:rPr>
      </w:pPr>
      <w:hyperlink w:anchor="_Toc106701078" w:history="1">
        <w:r w:rsidR="00AD548B" w:rsidRPr="00165E51">
          <w:rPr>
            <w:rStyle w:val="Hyperlink"/>
            <w:noProof/>
          </w:rPr>
          <w:t>TABLE 16 - Mrs Curkovic Case Study Interviews</w:t>
        </w:r>
        <w:r w:rsidR="00AD548B">
          <w:rPr>
            <w:noProof/>
            <w:webHidden/>
          </w:rPr>
          <w:tab/>
        </w:r>
        <w:r w:rsidR="00AD548B">
          <w:rPr>
            <w:noProof/>
            <w:webHidden/>
          </w:rPr>
          <w:fldChar w:fldCharType="begin"/>
        </w:r>
        <w:r w:rsidR="00AD548B">
          <w:rPr>
            <w:noProof/>
            <w:webHidden/>
          </w:rPr>
          <w:instrText xml:space="preserve"> PAGEREF _Toc106701078 \h </w:instrText>
        </w:r>
        <w:r w:rsidR="00AD548B">
          <w:rPr>
            <w:noProof/>
            <w:webHidden/>
          </w:rPr>
        </w:r>
        <w:r w:rsidR="00AD548B">
          <w:rPr>
            <w:noProof/>
            <w:webHidden/>
          </w:rPr>
          <w:fldChar w:fldCharType="separate"/>
        </w:r>
        <w:r w:rsidR="00185BAF">
          <w:rPr>
            <w:noProof/>
            <w:webHidden/>
          </w:rPr>
          <w:t>187</w:t>
        </w:r>
        <w:r w:rsidR="00AD548B">
          <w:rPr>
            <w:noProof/>
            <w:webHidden/>
          </w:rPr>
          <w:fldChar w:fldCharType="end"/>
        </w:r>
      </w:hyperlink>
    </w:p>
    <w:p w14:paraId="5D8F1045" w14:textId="192DBA96" w:rsidR="000F7E56" w:rsidRPr="000F7E56" w:rsidRDefault="000F7E56" w:rsidP="000F7E56">
      <w:pPr>
        <w:rPr>
          <w:lang w:val="en-US"/>
        </w:rPr>
      </w:pPr>
      <w:r w:rsidRPr="000F7E56">
        <w:rPr>
          <w:lang w:val="en-US"/>
        </w:rPr>
        <w:fldChar w:fldCharType="end"/>
      </w:r>
      <w:r w:rsidRPr="000F7E56">
        <w:rPr>
          <w:lang w:val="en-US"/>
        </w:rPr>
        <w:t xml:space="preserve"> </w:t>
      </w:r>
    </w:p>
    <w:p w14:paraId="437E1B33" w14:textId="68CD3F80" w:rsidR="002E1980" w:rsidRDefault="000F7E56">
      <w:pPr>
        <w:pStyle w:val="TableofFigures"/>
        <w:tabs>
          <w:tab w:val="right" w:leader="dot" w:pos="9628"/>
        </w:tabs>
        <w:rPr>
          <w:rFonts w:eastAsiaTheme="minorEastAsia"/>
          <w:noProof/>
          <w:lang w:eastAsia="en-GB"/>
        </w:rPr>
      </w:pPr>
      <w:r w:rsidRPr="000F7E56">
        <w:rPr>
          <w:lang w:val="en-US"/>
        </w:rPr>
        <w:fldChar w:fldCharType="begin"/>
      </w:r>
      <w:r w:rsidRPr="000F7E56">
        <w:rPr>
          <w:lang w:val="en-US"/>
        </w:rPr>
        <w:instrText xml:space="preserve"> TOC \h \z \c "Box" </w:instrText>
      </w:r>
      <w:r w:rsidRPr="000F7E56">
        <w:rPr>
          <w:lang w:val="en-US"/>
        </w:rPr>
        <w:fldChar w:fldCharType="separate"/>
      </w:r>
      <w:hyperlink w:anchor="_Toc106701721" w:history="1">
        <w:r w:rsidR="002E1980" w:rsidRPr="003E17D4">
          <w:rPr>
            <w:rStyle w:val="Hyperlink"/>
            <w:rFonts w:cstheme="minorHAnsi"/>
            <w:iCs/>
            <w:noProof/>
          </w:rPr>
          <w:t>Box 1 - Analysis activity using verbatim excerpt from Work Stream 1 data</w:t>
        </w:r>
        <w:r w:rsidR="002E1980">
          <w:rPr>
            <w:noProof/>
            <w:webHidden/>
          </w:rPr>
          <w:tab/>
        </w:r>
        <w:r w:rsidR="002E1980">
          <w:rPr>
            <w:noProof/>
            <w:webHidden/>
          </w:rPr>
          <w:fldChar w:fldCharType="begin"/>
        </w:r>
        <w:r w:rsidR="002E1980">
          <w:rPr>
            <w:noProof/>
            <w:webHidden/>
          </w:rPr>
          <w:instrText xml:space="preserve"> PAGEREF _Toc106701721 \h </w:instrText>
        </w:r>
        <w:r w:rsidR="002E1980">
          <w:rPr>
            <w:noProof/>
            <w:webHidden/>
          </w:rPr>
        </w:r>
        <w:r w:rsidR="002E1980">
          <w:rPr>
            <w:noProof/>
            <w:webHidden/>
          </w:rPr>
          <w:fldChar w:fldCharType="separate"/>
        </w:r>
        <w:r w:rsidR="00185BAF">
          <w:rPr>
            <w:noProof/>
            <w:webHidden/>
          </w:rPr>
          <w:t>57</w:t>
        </w:r>
        <w:r w:rsidR="002E1980">
          <w:rPr>
            <w:noProof/>
            <w:webHidden/>
          </w:rPr>
          <w:fldChar w:fldCharType="end"/>
        </w:r>
      </w:hyperlink>
    </w:p>
    <w:p w14:paraId="57E65C5A" w14:textId="250A009F" w:rsidR="002E1980" w:rsidRDefault="00012E64">
      <w:pPr>
        <w:pStyle w:val="TableofFigures"/>
        <w:tabs>
          <w:tab w:val="right" w:leader="dot" w:pos="9628"/>
        </w:tabs>
        <w:rPr>
          <w:rFonts w:eastAsiaTheme="minorEastAsia"/>
          <w:noProof/>
          <w:lang w:eastAsia="en-GB"/>
        </w:rPr>
      </w:pPr>
      <w:hyperlink w:anchor="_Toc106701722" w:history="1">
        <w:r w:rsidR="002E1980" w:rsidRPr="003E17D4">
          <w:rPr>
            <w:rStyle w:val="Hyperlink"/>
            <w:rFonts w:cstheme="minorHAnsi"/>
            <w:iCs/>
            <w:noProof/>
          </w:rPr>
          <w:t>Box 2 - Organisations represented at the Palliative and End-of-Life-Care (PEoLC) Education Think Tank</w:t>
        </w:r>
        <w:r w:rsidR="002E1980">
          <w:rPr>
            <w:noProof/>
            <w:webHidden/>
          </w:rPr>
          <w:tab/>
        </w:r>
        <w:r w:rsidR="002E1980">
          <w:rPr>
            <w:noProof/>
            <w:webHidden/>
          </w:rPr>
          <w:fldChar w:fldCharType="begin"/>
        </w:r>
        <w:r w:rsidR="002E1980">
          <w:rPr>
            <w:noProof/>
            <w:webHidden/>
          </w:rPr>
          <w:instrText xml:space="preserve"> PAGEREF _Toc106701722 \h </w:instrText>
        </w:r>
        <w:r w:rsidR="002E1980">
          <w:rPr>
            <w:noProof/>
            <w:webHidden/>
          </w:rPr>
        </w:r>
        <w:r w:rsidR="002E1980">
          <w:rPr>
            <w:noProof/>
            <w:webHidden/>
          </w:rPr>
          <w:fldChar w:fldCharType="separate"/>
        </w:r>
        <w:r w:rsidR="00185BAF">
          <w:rPr>
            <w:noProof/>
            <w:webHidden/>
          </w:rPr>
          <w:t>159</w:t>
        </w:r>
        <w:r w:rsidR="002E1980">
          <w:rPr>
            <w:noProof/>
            <w:webHidden/>
          </w:rPr>
          <w:fldChar w:fldCharType="end"/>
        </w:r>
      </w:hyperlink>
    </w:p>
    <w:p w14:paraId="3B71C6F5" w14:textId="0BC6958D" w:rsidR="002E1980" w:rsidRDefault="00012E64">
      <w:pPr>
        <w:pStyle w:val="TableofFigures"/>
        <w:tabs>
          <w:tab w:val="right" w:leader="dot" w:pos="9628"/>
        </w:tabs>
        <w:rPr>
          <w:rFonts w:eastAsiaTheme="minorEastAsia"/>
          <w:noProof/>
          <w:lang w:eastAsia="en-GB"/>
        </w:rPr>
      </w:pPr>
      <w:hyperlink w:anchor="_Toc106701723" w:history="1">
        <w:r w:rsidR="002E1980" w:rsidRPr="003E17D4">
          <w:rPr>
            <w:rStyle w:val="Hyperlink"/>
            <w:noProof/>
          </w:rPr>
          <w:t>Box 3 - Story 1 'Jay'</w:t>
        </w:r>
        <w:r w:rsidR="002E1980">
          <w:rPr>
            <w:noProof/>
            <w:webHidden/>
          </w:rPr>
          <w:tab/>
        </w:r>
        <w:r w:rsidR="002E1980">
          <w:rPr>
            <w:noProof/>
            <w:webHidden/>
          </w:rPr>
          <w:fldChar w:fldCharType="begin"/>
        </w:r>
        <w:r w:rsidR="002E1980">
          <w:rPr>
            <w:noProof/>
            <w:webHidden/>
          </w:rPr>
          <w:instrText xml:space="preserve"> PAGEREF _Toc106701723 \h </w:instrText>
        </w:r>
        <w:r w:rsidR="002E1980">
          <w:rPr>
            <w:noProof/>
            <w:webHidden/>
          </w:rPr>
        </w:r>
        <w:r w:rsidR="002E1980">
          <w:rPr>
            <w:noProof/>
            <w:webHidden/>
          </w:rPr>
          <w:fldChar w:fldCharType="separate"/>
        </w:r>
        <w:r w:rsidR="00185BAF">
          <w:rPr>
            <w:noProof/>
            <w:webHidden/>
          </w:rPr>
          <w:t>173</w:t>
        </w:r>
        <w:r w:rsidR="002E1980">
          <w:rPr>
            <w:noProof/>
            <w:webHidden/>
          </w:rPr>
          <w:fldChar w:fldCharType="end"/>
        </w:r>
      </w:hyperlink>
    </w:p>
    <w:p w14:paraId="16EA6BD0" w14:textId="5C640821" w:rsidR="002E1980" w:rsidRDefault="00012E64">
      <w:pPr>
        <w:pStyle w:val="TableofFigures"/>
        <w:tabs>
          <w:tab w:val="right" w:leader="dot" w:pos="9628"/>
        </w:tabs>
        <w:rPr>
          <w:rFonts w:eastAsiaTheme="minorEastAsia"/>
          <w:noProof/>
          <w:lang w:eastAsia="en-GB"/>
        </w:rPr>
      </w:pPr>
      <w:hyperlink w:anchor="_Toc106701724" w:history="1">
        <w:r w:rsidR="002E1980" w:rsidRPr="003E17D4">
          <w:rPr>
            <w:rStyle w:val="Hyperlink"/>
            <w:noProof/>
          </w:rPr>
          <w:t>Box 4 - Story 2 'Ibrahim Version 1'</w:t>
        </w:r>
        <w:r w:rsidR="002E1980">
          <w:rPr>
            <w:noProof/>
            <w:webHidden/>
          </w:rPr>
          <w:tab/>
        </w:r>
        <w:r w:rsidR="002E1980">
          <w:rPr>
            <w:noProof/>
            <w:webHidden/>
          </w:rPr>
          <w:fldChar w:fldCharType="begin"/>
        </w:r>
        <w:r w:rsidR="002E1980">
          <w:rPr>
            <w:noProof/>
            <w:webHidden/>
          </w:rPr>
          <w:instrText xml:space="preserve"> PAGEREF _Toc106701724 \h </w:instrText>
        </w:r>
        <w:r w:rsidR="002E1980">
          <w:rPr>
            <w:noProof/>
            <w:webHidden/>
          </w:rPr>
        </w:r>
        <w:r w:rsidR="002E1980">
          <w:rPr>
            <w:noProof/>
            <w:webHidden/>
          </w:rPr>
          <w:fldChar w:fldCharType="separate"/>
        </w:r>
        <w:r w:rsidR="00185BAF">
          <w:rPr>
            <w:noProof/>
            <w:webHidden/>
          </w:rPr>
          <w:t>174</w:t>
        </w:r>
        <w:r w:rsidR="002E1980">
          <w:rPr>
            <w:noProof/>
            <w:webHidden/>
          </w:rPr>
          <w:fldChar w:fldCharType="end"/>
        </w:r>
      </w:hyperlink>
    </w:p>
    <w:p w14:paraId="3A36D6FD" w14:textId="0498C5E4" w:rsidR="002E1980" w:rsidRDefault="00012E64">
      <w:pPr>
        <w:pStyle w:val="TableofFigures"/>
        <w:tabs>
          <w:tab w:val="right" w:leader="dot" w:pos="9628"/>
        </w:tabs>
        <w:rPr>
          <w:rFonts w:eastAsiaTheme="minorEastAsia"/>
          <w:noProof/>
          <w:lang w:eastAsia="en-GB"/>
        </w:rPr>
      </w:pPr>
      <w:hyperlink w:anchor="_Toc106701725" w:history="1">
        <w:r w:rsidR="002E1980" w:rsidRPr="003E17D4">
          <w:rPr>
            <w:rStyle w:val="Hyperlink"/>
            <w:noProof/>
          </w:rPr>
          <w:t>Box 5 - Story 2 'Ibrahim Version 2'</w:t>
        </w:r>
        <w:r w:rsidR="002E1980">
          <w:rPr>
            <w:noProof/>
            <w:webHidden/>
          </w:rPr>
          <w:tab/>
        </w:r>
        <w:r w:rsidR="002E1980">
          <w:rPr>
            <w:noProof/>
            <w:webHidden/>
          </w:rPr>
          <w:fldChar w:fldCharType="begin"/>
        </w:r>
        <w:r w:rsidR="002E1980">
          <w:rPr>
            <w:noProof/>
            <w:webHidden/>
          </w:rPr>
          <w:instrText xml:space="preserve"> PAGEREF _Toc106701725 \h </w:instrText>
        </w:r>
        <w:r w:rsidR="002E1980">
          <w:rPr>
            <w:noProof/>
            <w:webHidden/>
          </w:rPr>
        </w:r>
        <w:r w:rsidR="002E1980">
          <w:rPr>
            <w:noProof/>
            <w:webHidden/>
          </w:rPr>
          <w:fldChar w:fldCharType="separate"/>
        </w:r>
        <w:r w:rsidR="00185BAF">
          <w:rPr>
            <w:noProof/>
            <w:webHidden/>
          </w:rPr>
          <w:t>175</w:t>
        </w:r>
        <w:r w:rsidR="002E1980">
          <w:rPr>
            <w:noProof/>
            <w:webHidden/>
          </w:rPr>
          <w:fldChar w:fldCharType="end"/>
        </w:r>
      </w:hyperlink>
    </w:p>
    <w:p w14:paraId="64E28C3D" w14:textId="73EC5E84" w:rsidR="002E1980" w:rsidRDefault="00012E64">
      <w:pPr>
        <w:pStyle w:val="TableofFigures"/>
        <w:tabs>
          <w:tab w:val="right" w:leader="dot" w:pos="9628"/>
        </w:tabs>
        <w:rPr>
          <w:rFonts w:eastAsiaTheme="minorEastAsia"/>
          <w:noProof/>
          <w:lang w:eastAsia="en-GB"/>
        </w:rPr>
      </w:pPr>
      <w:hyperlink w:anchor="_Toc106701726" w:history="1">
        <w:r w:rsidR="002E1980" w:rsidRPr="003E17D4">
          <w:rPr>
            <w:rStyle w:val="Hyperlink"/>
            <w:noProof/>
          </w:rPr>
          <w:t>Box 6 - Story 3 'Patience'</w:t>
        </w:r>
        <w:r w:rsidR="002E1980">
          <w:rPr>
            <w:noProof/>
            <w:webHidden/>
          </w:rPr>
          <w:tab/>
        </w:r>
        <w:r w:rsidR="002E1980">
          <w:rPr>
            <w:noProof/>
            <w:webHidden/>
          </w:rPr>
          <w:fldChar w:fldCharType="begin"/>
        </w:r>
        <w:r w:rsidR="002E1980">
          <w:rPr>
            <w:noProof/>
            <w:webHidden/>
          </w:rPr>
          <w:instrText xml:space="preserve"> PAGEREF _Toc106701726 \h </w:instrText>
        </w:r>
        <w:r w:rsidR="002E1980">
          <w:rPr>
            <w:noProof/>
            <w:webHidden/>
          </w:rPr>
        </w:r>
        <w:r w:rsidR="002E1980">
          <w:rPr>
            <w:noProof/>
            <w:webHidden/>
          </w:rPr>
          <w:fldChar w:fldCharType="separate"/>
        </w:r>
        <w:r w:rsidR="00185BAF">
          <w:rPr>
            <w:noProof/>
            <w:webHidden/>
          </w:rPr>
          <w:t>176</w:t>
        </w:r>
        <w:r w:rsidR="002E1980">
          <w:rPr>
            <w:noProof/>
            <w:webHidden/>
          </w:rPr>
          <w:fldChar w:fldCharType="end"/>
        </w:r>
      </w:hyperlink>
    </w:p>
    <w:p w14:paraId="622AE251" w14:textId="4DF2F1FA" w:rsidR="002E1980" w:rsidRDefault="00012E64">
      <w:pPr>
        <w:pStyle w:val="TableofFigures"/>
        <w:tabs>
          <w:tab w:val="right" w:leader="dot" w:pos="9628"/>
        </w:tabs>
        <w:rPr>
          <w:rFonts w:eastAsiaTheme="minorEastAsia"/>
          <w:noProof/>
          <w:lang w:eastAsia="en-GB"/>
        </w:rPr>
      </w:pPr>
      <w:hyperlink w:anchor="_Toc106701727" w:history="1">
        <w:r w:rsidR="002E1980" w:rsidRPr="003E17D4">
          <w:rPr>
            <w:rStyle w:val="Hyperlink"/>
            <w:noProof/>
          </w:rPr>
          <w:t>Box 7 - Story 4 'Adamma'</w:t>
        </w:r>
        <w:r w:rsidR="002E1980">
          <w:rPr>
            <w:noProof/>
            <w:webHidden/>
          </w:rPr>
          <w:tab/>
        </w:r>
        <w:r w:rsidR="002E1980">
          <w:rPr>
            <w:noProof/>
            <w:webHidden/>
          </w:rPr>
          <w:fldChar w:fldCharType="begin"/>
        </w:r>
        <w:r w:rsidR="002E1980">
          <w:rPr>
            <w:noProof/>
            <w:webHidden/>
          </w:rPr>
          <w:instrText xml:space="preserve"> PAGEREF _Toc106701727 \h </w:instrText>
        </w:r>
        <w:r w:rsidR="002E1980">
          <w:rPr>
            <w:noProof/>
            <w:webHidden/>
          </w:rPr>
        </w:r>
        <w:r w:rsidR="002E1980">
          <w:rPr>
            <w:noProof/>
            <w:webHidden/>
          </w:rPr>
          <w:fldChar w:fldCharType="separate"/>
        </w:r>
        <w:r w:rsidR="00185BAF">
          <w:rPr>
            <w:noProof/>
            <w:webHidden/>
          </w:rPr>
          <w:t>177</w:t>
        </w:r>
        <w:r w:rsidR="002E1980">
          <w:rPr>
            <w:noProof/>
            <w:webHidden/>
          </w:rPr>
          <w:fldChar w:fldCharType="end"/>
        </w:r>
      </w:hyperlink>
    </w:p>
    <w:p w14:paraId="22391552" w14:textId="7C39DFC1" w:rsidR="002E1980" w:rsidRDefault="00012E64">
      <w:pPr>
        <w:pStyle w:val="TableofFigures"/>
        <w:tabs>
          <w:tab w:val="right" w:leader="dot" w:pos="9628"/>
        </w:tabs>
        <w:rPr>
          <w:rFonts w:eastAsiaTheme="minorEastAsia"/>
          <w:noProof/>
          <w:lang w:eastAsia="en-GB"/>
        </w:rPr>
      </w:pPr>
      <w:hyperlink w:anchor="_Toc106701728" w:history="1">
        <w:r w:rsidR="002E1980" w:rsidRPr="003E17D4">
          <w:rPr>
            <w:rStyle w:val="Hyperlink"/>
            <w:noProof/>
          </w:rPr>
          <w:t>Box 8 - Story 5 'Delun'</w:t>
        </w:r>
        <w:r w:rsidR="002E1980">
          <w:rPr>
            <w:noProof/>
            <w:webHidden/>
          </w:rPr>
          <w:tab/>
        </w:r>
        <w:r w:rsidR="002E1980">
          <w:rPr>
            <w:noProof/>
            <w:webHidden/>
          </w:rPr>
          <w:fldChar w:fldCharType="begin"/>
        </w:r>
        <w:r w:rsidR="002E1980">
          <w:rPr>
            <w:noProof/>
            <w:webHidden/>
          </w:rPr>
          <w:instrText xml:space="preserve"> PAGEREF _Toc106701728 \h </w:instrText>
        </w:r>
        <w:r w:rsidR="002E1980">
          <w:rPr>
            <w:noProof/>
            <w:webHidden/>
          </w:rPr>
        </w:r>
        <w:r w:rsidR="002E1980">
          <w:rPr>
            <w:noProof/>
            <w:webHidden/>
          </w:rPr>
          <w:fldChar w:fldCharType="separate"/>
        </w:r>
        <w:r w:rsidR="00185BAF">
          <w:rPr>
            <w:noProof/>
            <w:webHidden/>
          </w:rPr>
          <w:t>178</w:t>
        </w:r>
        <w:r w:rsidR="002E1980">
          <w:rPr>
            <w:noProof/>
            <w:webHidden/>
          </w:rPr>
          <w:fldChar w:fldCharType="end"/>
        </w:r>
      </w:hyperlink>
    </w:p>
    <w:p w14:paraId="02F3A0BE" w14:textId="5349EA72" w:rsidR="002E1980" w:rsidRDefault="00012E64">
      <w:pPr>
        <w:pStyle w:val="TableofFigures"/>
        <w:tabs>
          <w:tab w:val="right" w:leader="dot" w:pos="9628"/>
        </w:tabs>
        <w:rPr>
          <w:rFonts w:eastAsiaTheme="minorEastAsia"/>
          <w:noProof/>
          <w:lang w:eastAsia="en-GB"/>
        </w:rPr>
      </w:pPr>
      <w:hyperlink w:anchor="_Toc106701729" w:history="1">
        <w:r w:rsidR="002E1980" w:rsidRPr="003E17D4">
          <w:rPr>
            <w:rStyle w:val="Hyperlink"/>
            <w:noProof/>
          </w:rPr>
          <w:t>Box 9 - Story 6 'Shimbira'</w:t>
        </w:r>
        <w:r w:rsidR="002E1980">
          <w:rPr>
            <w:noProof/>
            <w:webHidden/>
          </w:rPr>
          <w:tab/>
        </w:r>
        <w:r w:rsidR="002E1980">
          <w:rPr>
            <w:noProof/>
            <w:webHidden/>
          </w:rPr>
          <w:fldChar w:fldCharType="begin"/>
        </w:r>
        <w:r w:rsidR="002E1980">
          <w:rPr>
            <w:noProof/>
            <w:webHidden/>
          </w:rPr>
          <w:instrText xml:space="preserve"> PAGEREF _Toc106701729 \h </w:instrText>
        </w:r>
        <w:r w:rsidR="002E1980">
          <w:rPr>
            <w:noProof/>
            <w:webHidden/>
          </w:rPr>
        </w:r>
        <w:r w:rsidR="002E1980">
          <w:rPr>
            <w:noProof/>
            <w:webHidden/>
          </w:rPr>
          <w:fldChar w:fldCharType="separate"/>
        </w:r>
        <w:r w:rsidR="00185BAF">
          <w:rPr>
            <w:noProof/>
            <w:webHidden/>
          </w:rPr>
          <w:t>179</w:t>
        </w:r>
        <w:r w:rsidR="002E1980">
          <w:rPr>
            <w:noProof/>
            <w:webHidden/>
          </w:rPr>
          <w:fldChar w:fldCharType="end"/>
        </w:r>
      </w:hyperlink>
    </w:p>
    <w:p w14:paraId="576A441B" w14:textId="55B3F0A7" w:rsidR="002E1980" w:rsidRDefault="00012E64">
      <w:pPr>
        <w:pStyle w:val="TableofFigures"/>
        <w:tabs>
          <w:tab w:val="right" w:leader="dot" w:pos="9628"/>
        </w:tabs>
        <w:rPr>
          <w:rFonts w:eastAsiaTheme="minorEastAsia"/>
          <w:noProof/>
          <w:lang w:eastAsia="en-GB"/>
        </w:rPr>
      </w:pPr>
      <w:hyperlink w:anchor="_Toc106701730" w:history="1">
        <w:r w:rsidR="002E1980" w:rsidRPr="003E17D4">
          <w:rPr>
            <w:rStyle w:val="Hyperlink"/>
            <w:noProof/>
          </w:rPr>
          <w:t>Box 10 - Story 7 'Kozal'</w:t>
        </w:r>
        <w:r w:rsidR="002E1980">
          <w:rPr>
            <w:noProof/>
            <w:webHidden/>
          </w:rPr>
          <w:tab/>
        </w:r>
        <w:r w:rsidR="002E1980">
          <w:rPr>
            <w:noProof/>
            <w:webHidden/>
          </w:rPr>
          <w:fldChar w:fldCharType="begin"/>
        </w:r>
        <w:r w:rsidR="002E1980">
          <w:rPr>
            <w:noProof/>
            <w:webHidden/>
          </w:rPr>
          <w:instrText xml:space="preserve"> PAGEREF _Toc106701730 \h </w:instrText>
        </w:r>
        <w:r w:rsidR="002E1980">
          <w:rPr>
            <w:noProof/>
            <w:webHidden/>
          </w:rPr>
        </w:r>
        <w:r w:rsidR="002E1980">
          <w:rPr>
            <w:noProof/>
            <w:webHidden/>
          </w:rPr>
          <w:fldChar w:fldCharType="separate"/>
        </w:r>
        <w:r w:rsidR="00185BAF">
          <w:rPr>
            <w:noProof/>
            <w:webHidden/>
          </w:rPr>
          <w:t>180</w:t>
        </w:r>
        <w:r w:rsidR="002E1980">
          <w:rPr>
            <w:noProof/>
            <w:webHidden/>
          </w:rPr>
          <w:fldChar w:fldCharType="end"/>
        </w:r>
      </w:hyperlink>
    </w:p>
    <w:p w14:paraId="22C3AAA9" w14:textId="73241D51" w:rsidR="002E1980" w:rsidRDefault="00012E64">
      <w:pPr>
        <w:pStyle w:val="TableofFigures"/>
        <w:tabs>
          <w:tab w:val="right" w:leader="dot" w:pos="9628"/>
        </w:tabs>
        <w:rPr>
          <w:rFonts w:eastAsiaTheme="minorEastAsia"/>
          <w:noProof/>
          <w:lang w:eastAsia="en-GB"/>
        </w:rPr>
      </w:pPr>
      <w:hyperlink w:anchor="_Toc106701731" w:history="1">
        <w:r w:rsidR="002E1980" w:rsidRPr="003E17D4">
          <w:rPr>
            <w:rStyle w:val="Hyperlink"/>
            <w:noProof/>
          </w:rPr>
          <w:t>Box 11 - Story 8 'Mufaro'</w:t>
        </w:r>
        <w:r w:rsidR="002E1980">
          <w:rPr>
            <w:noProof/>
            <w:webHidden/>
          </w:rPr>
          <w:tab/>
        </w:r>
        <w:r w:rsidR="002E1980">
          <w:rPr>
            <w:noProof/>
            <w:webHidden/>
          </w:rPr>
          <w:fldChar w:fldCharType="begin"/>
        </w:r>
        <w:r w:rsidR="002E1980">
          <w:rPr>
            <w:noProof/>
            <w:webHidden/>
          </w:rPr>
          <w:instrText xml:space="preserve"> PAGEREF _Toc106701731 \h </w:instrText>
        </w:r>
        <w:r w:rsidR="002E1980">
          <w:rPr>
            <w:noProof/>
            <w:webHidden/>
          </w:rPr>
        </w:r>
        <w:r w:rsidR="002E1980">
          <w:rPr>
            <w:noProof/>
            <w:webHidden/>
          </w:rPr>
          <w:fldChar w:fldCharType="separate"/>
        </w:r>
        <w:r w:rsidR="00185BAF">
          <w:rPr>
            <w:noProof/>
            <w:webHidden/>
          </w:rPr>
          <w:t>182</w:t>
        </w:r>
        <w:r w:rsidR="002E1980">
          <w:rPr>
            <w:noProof/>
            <w:webHidden/>
          </w:rPr>
          <w:fldChar w:fldCharType="end"/>
        </w:r>
      </w:hyperlink>
    </w:p>
    <w:p w14:paraId="1CD1AF0E" w14:textId="08F8C1B6" w:rsidR="000F7E56" w:rsidRPr="000F7E56" w:rsidRDefault="000F7E56" w:rsidP="00D74EFC">
      <w:pPr>
        <w:pStyle w:val="Heading3"/>
        <w:rPr>
          <w:rFonts w:eastAsiaTheme="minorEastAsia"/>
          <w:noProof/>
          <w:lang w:eastAsia="en-GB"/>
        </w:rPr>
      </w:pPr>
      <w:r w:rsidRPr="000F7E56">
        <w:rPr>
          <w:lang w:val="en-US"/>
        </w:rPr>
        <w:fldChar w:fldCharType="end"/>
      </w:r>
      <w:r w:rsidRPr="000F7E56">
        <w:rPr>
          <w:lang w:val="en-US"/>
        </w:rPr>
        <w:fldChar w:fldCharType="begin"/>
      </w:r>
      <w:r w:rsidRPr="000F7E56">
        <w:rPr>
          <w:lang w:val="en-US"/>
        </w:rPr>
        <w:instrText xml:space="preserve"> TOC \h \z \c "Table" </w:instrText>
      </w:r>
      <w:r w:rsidRPr="000F7E56">
        <w:rPr>
          <w:lang w:val="en-US"/>
        </w:rPr>
        <w:fldChar w:fldCharType="separate"/>
      </w:r>
    </w:p>
    <w:p w14:paraId="333578E3" w14:textId="77777777" w:rsidR="000F7E56" w:rsidRPr="000F7E56" w:rsidRDefault="000F7E56" w:rsidP="000F7E56">
      <w:pPr>
        <w:rPr>
          <w:lang w:val="en-US"/>
        </w:rPr>
      </w:pPr>
      <w:r w:rsidRPr="000F7E56">
        <w:rPr>
          <w:lang w:val="en-US"/>
        </w:rPr>
        <w:fldChar w:fldCharType="end"/>
      </w:r>
    </w:p>
    <w:p w14:paraId="256B7D46" w14:textId="77777777" w:rsidR="000F7E56" w:rsidRPr="000F7E56" w:rsidRDefault="000F7E56" w:rsidP="000F7E56">
      <w:pPr>
        <w:rPr>
          <w:rFonts w:eastAsiaTheme="minorEastAsia" w:cstheme="minorHAnsi"/>
          <w:b/>
          <w:color w:val="4472C4" w:themeColor="accent1"/>
          <w:sz w:val="36"/>
          <w:szCs w:val="36"/>
        </w:rPr>
      </w:pPr>
      <w:r w:rsidRPr="000F7E56">
        <w:rPr>
          <w:rFonts w:eastAsiaTheme="minorEastAsia" w:cstheme="minorHAnsi"/>
          <w:b/>
          <w:color w:val="4472C4" w:themeColor="accent1"/>
          <w:sz w:val="36"/>
          <w:szCs w:val="36"/>
        </w:rPr>
        <w:br w:type="page"/>
      </w:r>
    </w:p>
    <w:p w14:paraId="27B1B3FB" w14:textId="77777777" w:rsidR="000F7E56" w:rsidRPr="000F7E56" w:rsidRDefault="000F7E56" w:rsidP="000F7E56">
      <w:pPr>
        <w:keepNext/>
        <w:keepLines/>
        <w:spacing w:before="320" w:after="120" w:line="240" w:lineRule="auto"/>
        <w:jc w:val="center"/>
        <w:outlineLvl w:val="0"/>
        <w:rPr>
          <w:rFonts w:ascii="Calibri Light" w:eastAsia="SimSun" w:hAnsi="Calibri Light" w:cs="Times New Roman"/>
          <w:color w:val="2E74B5"/>
          <w:sz w:val="56"/>
          <w:szCs w:val="32"/>
          <w:lang w:eastAsia="en-GB"/>
        </w:rPr>
      </w:pPr>
      <w:bookmarkStart w:id="5" w:name="_Toc106697747"/>
      <w:bookmarkStart w:id="6" w:name="_Toc38365564"/>
      <w:r w:rsidRPr="000F7E56">
        <w:rPr>
          <w:rFonts w:ascii="Calibri Light" w:eastAsia="SimSun" w:hAnsi="Calibri Light" w:cs="Times New Roman"/>
          <w:color w:val="2E74B5"/>
          <w:sz w:val="56"/>
          <w:szCs w:val="32"/>
          <w:lang w:eastAsia="en-GB"/>
        </w:rPr>
        <w:lastRenderedPageBreak/>
        <w:t xml:space="preserve">List of </w:t>
      </w:r>
      <w:r w:rsidRPr="000F7E56">
        <w:rPr>
          <w:rFonts w:ascii="Calibri Light" w:eastAsia="SimSun" w:hAnsi="Calibri Light" w:cs="Times New Roman"/>
          <w:color w:val="2E74B5"/>
          <w:sz w:val="56"/>
          <w:szCs w:val="32"/>
        </w:rPr>
        <w:t>abbreviations</w:t>
      </w:r>
      <w:bookmarkEnd w:id="5"/>
      <w:r w:rsidRPr="000F7E56">
        <w:rPr>
          <w:rFonts w:ascii="Calibri Light" w:eastAsia="SimSun" w:hAnsi="Calibri Light" w:cs="Times New Roman"/>
          <w:color w:val="2E74B5"/>
          <w:sz w:val="56"/>
          <w:szCs w:val="32"/>
          <w:lang w:eastAsia="en-GB"/>
        </w:rPr>
        <w:t xml:space="preserve"> </w:t>
      </w:r>
      <w:bookmarkEnd w:id="6"/>
    </w:p>
    <w:p w14:paraId="67527DF2" w14:textId="77777777" w:rsidR="000F7E56" w:rsidRPr="000F7E56" w:rsidRDefault="000F7E56" w:rsidP="000F7E56">
      <w:pPr>
        <w:spacing w:after="120" w:line="264" w:lineRule="auto"/>
        <w:rPr>
          <w:rFonts w:ascii="Calibri" w:eastAsia="SimSun" w:hAnsi="Calibri" w:cs="Calibri"/>
          <w:bCs/>
        </w:rPr>
      </w:pPr>
      <w:r w:rsidRPr="000F7E56">
        <w:rPr>
          <w:rFonts w:ascii="Calibri" w:eastAsia="SimSun" w:hAnsi="Calibri" w:cs="Calibri"/>
          <w:b/>
          <w:bCs/>
        </w:rPr>
        <w:t>ACP</w:t>
      </w:r>
      <w:r w:rsidRPr="000F7E56">
        <w:rPr>
          <w:rFonts w:ascii="Calibri" w:eastAsia="SimSun" w:hAnsi="Calibri" w:cs="Calibri"/>
          <w:b/>
          <w:bCs/>
        </w:rPr>
        <w:tab/>
      </w:r>
      <w:r w:rsidRPr="000F7E56">
        <w:rPr>
          <w:rFonts w:ascii="Calibri" w:eastAsia="SimSun" w:hAnsi="Calibri" w:cs="Calibri"/>
          <w:b/>
          <w:bCs/>
        </w:rPr>
        <w:tab/>
      </w:r>
      <w:r w:rsidRPr="000F7E56">
        <w:rPr>
          <w:rFonts w:ascii="Calibri" w:eastAsia="SimSun" w:hAnsi="Calibri" w:cs="Calibri"/>
          <w:b/>
          <w:bCs/>
        </w:rPr>
        <w:tab/>
      </w:r>
      <w:r w:rsidRPr="000F7E56">
        <w:rPr>
          <w:rFonts w:ascii="Calibri" w:eastAsia="SimSun" w:hAnsi="Calibri" w:cs="Calibri"/>
          <w:b/>
          <w:bCs/>
        </w:rPr>
        <w:tab/>
      </w:r>
      <w:r w:rsidRPr="000F7E56">
        <w:rPr>
          <w:rFonts w:ascii="Calibri" w:eastAsia="SimSun" w:hAnsi="Calibri" w:cs="Calibri"/>
          <w:bCs/>
        </w:rPr>
        <w:t>Advance Care Planning</w:t>
      </w:r>
    </w:p>
    <w:p w14:paraId="62B69DFB" w14:textId="77777777" w:rsidR="000F7E56" w:rsidRPr="000F7E56" w:rsidRDefault="000F7E56" w:rsidP="000F7E56">
      <w:pPr>
        <w:spacing w:after="120" w:line="264" w:lineRule="auto"/>
        <w:rPr>
          <w:rFonts w:ascii="Calibri" w:eastAsia="SimSun" w:hAnsi="Calibri" w:cs="Calibri"/>
          <w:bCs/>
        </w:rPr>
      </w:pPr>
      <w:r w:rsidRPr="000F7E56">
        <w:rPr>
          <w:rFonts w:ascii="Calibri" w:eastAsia="SimSun" w:hAnsi="Calibri" w:cs="Calibri"/>
          <w:b/>
          <w:bCs/>
        </w:rPr>
        <w:t>BAME</w:t>
      </w:r>
      <w:r w:rsidRPr="000F7E56">
        <w:rPr>
          <w:rFonts w:ascii="Calibri" w:eastAsia="SimSun" w:hAnsi="Calibri" w:cs="Calibri"/>
          <w:bCs/>
        </w:rPr>
        <w:tab/>
      </w:r>
      <w:r w:rsidRPr="000F7E56">
        <w:rPr>
          <w:rFonts w:ascii="Calibri" w:eastAsia="SimSun" w:hAnsi="Calibri" w:cs="Calibri"/>
          <w:bCs/>
        </w:rPr>
        <w:tab/>
      </w:r>
      <w:r w:rsidRPr="000F7E56">
        <w:rPr>
          <w:rFonts w:ascii="Calibri" w:eastAsia="SimSun" w:hAnsi="Calibri" w:cs="Calibri"/>
          <w:bCs/>
        </w:rPr>
        <w:tab/>
      </w:r>
      <w:r w:rsidRPr="000F7E56">
        <w:rPr>
          <w:rFonts w:ascii="Calibri" w:eastAsia="SimSun" w:hAnsi="Calibri" w:cs="Calibri"/>
          <w:bCs/>
        </w:rPr>
        <w:tab/>
        <w:t>Black, Asian, Minority Ethnic</w:t>
      </w:r>
    </w:p>
    <w:p w14:paraId="12D783B2" w14:textId="77777777" w:rsidR="000F7E56" w:rsidRPr="000F7E56" w:rsidRDefault="000F7E56" w:rsidP="000F7E56">
      <w:pPr>
        <w:spacing w:after="120" w:line="264" w:lineRule="auto"/>
        <w:rPr>
          <w:rFonts w:ascii="Calibri" w:eastAsia="SimSun" w:hAnsi="Calibri" w:cs="Calibri"/>
          <w:bCs/>
        </w:rPr>
      </w:pPr>
      <w:r w:rsidRPr="000F7E56">
        <w:rPr>
          <w:rFonts w:ascii="Calibri" w:eastAsia="SimSun" w:hAnsi="Calibri" w:cs="Calibri"/>
          <w:b/>
          <w:bCs/>
        </w:rPr>
        <w:t>BCT</w:t>
      </w:r>
      <w:r w:rsidRPr="000F7E56">
        <w:rPr>
          <w:rFonts w:ascii="Calibri" w:eastAsia="SimSun" w:hAnsi="Calibri" w:cs="Calibri"/>
          <w:bCs/>
        </w:rPr>
        <w:tab/>
      </w:r>
      <w:r w:rsidRPr="000F7E56">
        <w:rPr>
          <w:rFonts w:ascii="Calibri" w:eastAsia="SimSun" w:hAnsi="Calibri" w:cs="Calibri"/>
          <w:bCs/>
        </w:rPr>
        <w:tab/>
      </w:r>
      <w:r w:rsidRPr="000F7E56">
        <w:rPr>
          <w:rFonts w:ascii="Calibri" w:eastAsia="SimSun" w:hAnsi="Calibri" w:cs="Calibri"/>
          <w:bCs/>
        </w:rPr>
        <w:tab/>
      </w:r>
      <w:r w:rsidRPr="000F7E56">
        <w:rPr>
          <w:rFonts w:ascii="Calibri" w:eastAsia="SimSun" w:hAnsi="Calibri" w:cs="Calibri"/>
          <w:bCs/>
        </w:rPr>
        <w:tab/>
        <w:t>Behaviour Change Technique</w:t>
      </w:r>
    </w:p>
    <w:p w14:paraId="70E41183" w14:textId="1133D731" w:rsidR="000F7E56" w:rsidRDefault="000F7E56" w:rsidP="000F7E56">
      <w:pPr>
        <w:spacing w:after="120" w:line="264" w:lineRule="auto"/>
        <w:rPr>
          <w:rFonts w:ascii="Calibri" w:eastAsia="SimSun" w:hAnsi="Calibri" w:cs="Calibri"/>
          <w:bCs/>
        </w:rPr>
      </w:pPr>
      <w:r w:rsidRPr="000F7E56">
        <w:rPr>
          <w:rFonts w:ascii="Calibri" w:eastAsia="SimSun" w:hAnsi="Calibri" w:cs="Calibri"/>
          <w:b/>
          <w:bCs/>
        </w:rPr>
        <w:t>BFGC</w:t>
      </w:r>
      <w:r w:rsidRPr="000F7E56">
        <w:rPr>
          <w:rFonts w:ascii="Calibri" w:eastAsia="SimSun" w:hAnsi="Calibri" w:cs="Calibri"/>
          <w:b/>
          <w:bCs/>
        </w:rPr>
        <w:tab/>
      </w:r>
      <w:r w:rsidRPr="000F7E56">
        <w:rPr>
          <w:rFonts w:ascii="Calibri" w:eastAsia="SimSun" w:hAnsi="Calibri" w:cs="Calibri"/>
          <w:bCs/>
        </w:rPr>
        <w:tab/>
      </w:r>
      <w:r w:rsidRPr="000F7E56">
        <w:rPr>
          <w:rFonts w:ascii="Calibri" w:eastAsia="SimSun" w:hAnsi="Calibri" w:cs="Calibri"/>
          <w:bCs/>
        </w:rPr>
        <w:tab/>
      </w:r>
      <w:r w:rsidRPr="000F7E56">
        <w:rPr>
          <w:rFonts w:ascii="Calibri" w:eastAsia="SimSun" w:hAnsi="Calibri" w:cs="Calibri"/>
          <w:bCs/>
        </w:rPr>
        <w:tab/>
        <w:t>Bereaved Family Care Givers</w:t>
      </w:r>
    </w:p>
    <w:p w14:paraId="0CD33890" w14:textId="168BF2CD" w:rsidR="007B4734" w:rsidRDefault="007B4734" w:rsidP="000F7E56">
      <w:pPr>
        <w:spacing w:after="120" w:line="264" w:lineRule="auto"/>
        <w:rPr>
          <w:rFonts w:ascii="Calibri" w:eastAsia="SimSun" w:hAnsi="Calibri" w:cs="Calibri"/>
          <w:bCs/>
        </w:rPr>
      </w:pPr>
      <w:r w:rsidRPr="007B4734">
        <w:rPr>
          <w:rFonts w:ascii="Calibri" w:eastAsia="SimSun" w:hAnsi="Calibri" w:cs="Calibri"/>
          <w:b/>
          <w:bCs/>
        </w:rPr>
        <w:t>CCG</w:t>
      </w:r>
      <w:r w:rsidRPr="007B4734">
        <w:rPr>
          <w:rFonts w:ascii="Calibri" w:eastAsia="SimSun" w:hAnsi="Calibri" w:cs="Calibri"/>
          <w:b/>
          <w:bCs/>
        </w:rPr>
        <w:tab/>
      </w:r>
      <w:r>
        <w:rPr>
          <w:rFonts w:ascii="Calibri" w:eastAsia="SimSun" w:hAnsi="Calibri" w:cs="Calibri"/>
          <w:bCs/>
        </w:rPr>
        <w:tab/>
      </w:r>
      <w:r>
        <w:rPr>
          <w:rFonts w:ascii="Calibri" w:eastAsia="SimSun" w:hAnsi="Calibri" w:cs="Calibri"/>
          <w:bCs/>
        </w:rPr>
        <w:tab/>
      </w:r>
      <w:r>
        <w:rPr>
          <w:rFonts w:ascii="Calibri" w:eastAsia="SimSun" w:hAnsi="Calibri" w:cs="Calibri"/>
          <w:bCs/>
        </w:rPr>
        <w:tab/>
        <w:t>Clinical Commissioning Group</w:t>
      </w:r>
    </w:p>
    <w:p w14:paraId="11EE5859" w14:textId="383925BC" w:rsidR="007B4734" w:rsidRDefault="007B4734" w:rsidP="000F7E56">
      <w:pPr>
        <w:spacing w:after="120" w:line="264" w:lineRule="auto"/>
        <w:rPr>
          <w:rFonts w:ascii="Calibri" w:eastAsia="SimSun" w:hAnsi="Calibri" w:cs="Calibri"/>
          <w:bCs/>
        </w:rPr>
      </w:pPr>
      <w:r w:rsidRPr="007B4734">
        <w:rPr>
          <w:rFonts w:ascii="Calibri" w:eastAsia="SimSun" w:hAnsi="Calibri" w:cs="Calibri"/>
          <w:b/>
          <w:bCs/>
        </w:rPr>
        <w:t>CRF</w:t>
      </w:r>
      <w:r>
        <w:rPr>
          <w:rFonts w:ascii="Calibri" w:eastAsia="SimSun" w:hAnsi="Calibri" w:cs="Calibri"/>
          <w:bCs/>
        </w:rPr>
        <w:tab/>
      </w:r>
      <w:r>
        <w:rPr>
          <w:rFonts w:ascii="Calibri" w:eastAsia="SimSun" w:hAnsi="Calibri" w:cs="Calibri"/>
          <w:bCs/>
        </w:rPr>
        <w:tab/>
      </w:r>
      <w:r>
        <w:rPr>
          <w:rFonts w:ascii="Calibri" w:eastAsia="SimSun" w:hAnsi="Calibri" w:cs="Calibri"/>
          <w:bCs/>
        </w:rPr>
        <w:tab/>
      </w:r>
      <w:r>
        <w:rPr>
          <w:rFonts w:ascii="Calibri" w:eastAsia="SimSun" w:hAnsi="Calibri" w:cs="Calibri"/>
          <w:bCs/>
        </w:rPr>
        <w:tab/>
        <w:t>Case Report Form</w:t>
      </w:r>
    </w:p>
    <w:p w14:paraId="03695FB0" w14:textId="1BF24343" w:rsidR="005B7B94" w:rsidRPr="000F7E56" w:rsidRDefault="005B7B94" w:rsidP="000F7E56">
      <w:pPr>
        <w:spacing w:after="120" w:line="264" w:lineRule="auto"/>
        <w:rPr>
          <w:rFonts w:ascii="Calibri" w:eastAsia="SimSun" w:hAnsi="Calibri" w:cs="Calibri"/>
          <w:bCs/>
        </w:rPr>
      </w:pPr>
      <w:r w:rsidRPr="005B7B94">
        <w:rPr>
          <w:rFonts w:ascii="Calibri" w:eastAsia="SimSun" w:hAnsi="Calibri" w:cs="Calibri"/>
          <w:b/>
          <w:bCs/>
        </w:rPr>
        <w:t>CRNEM</w:t>
      </w:r>
      <w:r w:rsidRPr="005B7B94">
        <w:rPr>
          <w:rFonts w:ascii="Calibri" w:eastAsia="SimSun" w:hAnsi="Calibri" w:cs="Calibri"/>
          <w:b/>
          <w:bCs/>
        </w:rPr>
        <w:tab/>
      </w:r>
      <w:r>
        <w:rPr>
          <w:rFonts w:ascii="Calibri" w:eastAsia="SimSun" w:hAnsi="Calibri" w:cs="Calibri"/>
          <w:bCs/>
        </w:rPr>
        <w:tab/>
      </w:r>
      <w:r>
        <w:rPr>
          <w:rFonts w:ascii="Calibri" w:eastAsia="SimSun" w:hAnsi="Calibri" w:cs="Calibri"/>
          <w:bCs/>
        </w:rPr>
        <w:tab/>
      </w:r>
      <w:r>
        <w:rPr>
          <w:rFonts w:ascii="Calibri" w:eastAsia="SimSun" w:hAnsi="Calibri" w:cs="Calibri"/>
          <w:bCs/>
        </w:rPr>
        <w:tab/>
        <w:t>Clinical Research Network East Midlands</w:t>
      </w:r>
    </w:p>
    <w:p w14:paraId="7EF4C5CD" w14:textId="77777777" w:rsidR="000F7E56" w:rsidRPr="000F7E56" w:rsidRDefault="000F7E56" w:rsidP="000F7E56">
      <w:pPr>
        <w:spacing w:after="120" w:line="264" w:lineRule="auto"/>
        <w:rPr>
          <w:rFonts w:ascii="Calibri" w:eastAsia="SimSun" w:hAnsi="Calibri" w:cs="Calibri"/>
          <w:bCs/>
        </w:rPr>
      </w:pPr>
      <w:r w:rsidRPr="000F7E56">
        <w:rPr>
          <w:rFonts w:ascii="Calibri" w:eastAsia="SimSun" w:hAnsi="Calibri" w:cs="Calibri"/>
          <w:b/>
          <w:bCs/>
        </w:rPr>
        <w:t>CNLW</w:t>
      </w:r>
      <w:r w:rsidRPr="000F7E56">
        <w:rPr>
          <w:rFonts w:ascii="Calibri" w:eastAsia="SimSun" w:hAnsi="Calibri" w:cs="Calibri"/>
          <w:b/>
          <w:bCs/>
        </w:rPr>
        <w:tab/>
      </w:r>
      <w:r w:rsidRPr="000F7E56">
        <w:rPr>
          <w:rFonts w:ascii="Calibri" w:eastAsia="SimSun" w:hAnsi="Calibri" w:cs="Calibri"/>
          <w:b/>
          <w:bCs/>
        </w:rPr>
        <w:tab/>
      </w:r>
      <w:r w:rsidRPr="000F7E56">
        <w:rPr>
          <w:rFonts w:ascii="Calibri" w:eastAsia="SimSun" w:hAnsi="Calibri" w:cs="Calibri"/>
          <w:bCs/>
        </w:rPr>
        <w:tab/>
      </w:r>
      <w:r w:rsidRPr="000F7E56">
        <w:rPr>
          <w:rFonts w:ascii="Calibri" w:eastAsia="SimSun" w:hAnsi="Calibri" w:cs="Calibri"/>
          <w:bCs/>
        </w:rPr>
        <w:tab/>
        <w:t>Community Network Liaison Workers</w:t>
      </w:r>
    </w:p>
    <w:p w14:paraId="0F55367F" w14:textId="77777777" w:rsidR="000F7E56" w:rsidRPr="000F7E56" w:rsidRDefault="000F7E56" w:rsidP="000F7E56">
      <w:pPr>
        <w:spacing w:after="120" w:line="264" w:lineRule="auto"/>
        <w:rPr>
          <w:rFonts w:ascii="Calibri" w:eastAsia="SimSun" w:hAnsi="Calibri" w:cs="Calibri"/>
          <w:bCs/>
        </w:rPr>
      </w:pPr>
      <w:r w:rsidRPr="000F7E56">
        <w:rPr>
          <w:rFonts w:ascii="Calibri" w:eastAsia="SimSun" w:hAnsi="Calibri" w:cs="Calibri"/>
          <w:b/>
          <w:bCs/>
        </w:rPr>
        <w:t>DNACPR</w:t>
      </w:r>
      <w:r w:rsidRPr="000F7E56">
        <w:rPr>
          <w:rFonts w:ascii="Calibri" w:eastAsia="SimSun" w:hAnsi="Calibri" w:cs="Calibri"/>
          <w:b/>
          <w:bCs/>
        </w:rPr>
        <w:tab/>
      </w:r>
      <w:r w:rsidRPr="000F7E56">
        <w:rPr>
          <w:rFonts w:ascii="Calibri" w:eastAsia="SimSun" w:hAnsi="Calibri" w:cs="Calibri"/>
          <w:b/>
          <w:bCs/>
        </w:rPr>
        <w:tab/>
      </w:r>
      <w:r w:rsidRPr="000F7E56">
        <w:rPr>
          <w:rFonts w:ascii="Calibri" w:eastAsia="SimSun" w:hAnsi="Calibri" w:cs="Calibri"/>
          <w:b/>
          <w:bCs/>
        </w:rPr>
        <w:tab/>
      </w:r>
      <w:r w:rsidRPr="000F7E56">
        <w:rPr>
          <w:rFonts w:ascii="Calibri" w:eastAsia="SimSun" w:hAnsi="Calibri" w:cs="Calibri"/>
          <w:bCs/>
        </w:rPr>
        <w:t>Do Not Attempt Cardiopulmonary Resuscitation</w:t>
      </w:r>
    </w:p>
    <w:p w14:paraId="531864B3" w14:textId="77777777" w:rsidR="000F7E56" w:rsidRPr="000F7E56" w:rsidRDefault="000F7E56" w:rsidP="000F7E56">
      <w:pPr>
        <w:spacing w:after="120" w:line="264" w:lineRule="auto"/>
        <w:rPr>
          <w:rFonts w:ascii="Calibri" w:eastAsia="SimSun" w:hAnsi="Calibri" w:cs="Calibri"/>
        </w:rPr>
      </w:pPr>
      <w:r w:rsidRPr="000F7E56">
        <w:rPr>
          <w:rFonts w:ascii="Calibri" w:eastAsia="SimSun" w:hAnsi="Calibri" w:cs="Calibri"/>
          <w:b/>
        </w:rPr>
        <w:t>EOLCP</w:t>
      </w:r>
      <w:r w:rsidRPr="000F7E56">
        <w:rPr>
          <w:rFonts w:ascii="Calibri" w:eastAsia="SimSun" w:hAnsi="Calibri" w:cs="Calibri"/>
          <w:b/>
        </w:rPr>
        <w:tab/>
      </w:r>
      <w:r w:rsidRPr="000F7E56">
        <w:rPr>
          <w:rFonts w:ascii="Calibri" w:eastAsia="SimSun" w:hAnsi="Calibri" w:cs="Calibri"/>
          <w:b/>
        </w:rPr>
        <w:tab/>
      </w:r>
      <w:r w:rsidRPr="000F7E56">
        <w:rPr>
          <w:rFonts w:ascii="Calibri" w:eastAsia="SimSun" w:hAnsi="Calibri" w:cs="Calibri"/>
          <w:b/>
        </w:rPr>
        <w:tab/>
      </w:r>
      <w:r w:rsidRPr="000F7E56">
        <w:rPr>
          <w:rFonts w:ascii="Calibri" w:eastAsia="SimSun" w:hAnsi="Calibri" w:cs="Calibri"/>
          <w:b/>
        </w:rPr>
        <w:tab/>
      </w:r>
      <w:r w:rsidRPr="000F7E56">
        <w:rPr>
          <w:rFonts w:ascii="Calibri" w:eastAsia="SimSun" w:hAnsi="Calibri" w:cs="Calibri"/>
        </w:rPr>
        <w:t>End-of-Life Care Planning</w:t>
      </w:r>
    </w:p>
    <w:p w14:paraId="69DC1A91" w14:textId="77777777" w:rsidR="000F7E56" w:rsidRPr="000F7E56" w:rsidRDefault="000F7E56" w:rsidP="000F7E56">
      <w:pPr>
        <w:spacing w:after="120" w:line="264" w:lineRule="auto"/>
        <w:rPr>
          <w:rFonts w:ascii="Calibri" w:eastAsia="SimSun" w:hAnsi="Calibri" w:cs="Calibri"/>
        </w:rPr>
      </w:pPr>
      <w:r w:rsidRPr="000F7E56">
        <w:rPr>
          <w:rFonts w:ascii="Calibri" w:eastAsia="SimSun" w:hAnsi="Calibri" w:cs="Calibri"/>
          <w:b/>
        </w:rPr>
        <w:t>e-ELCA</w:t>
      </w:r>
      <w:r w:rsidRPr="000F7E56">
        <w:rPr>
          <w:rFonts w:ascii="Calibri" w:eastAsia="SimSun" w:hAnsi="Calibri" w:cs="Calibri"/>
        </w:rPr>
        <w:tab/>
      </w:r>
      <w:r w:rsidRPr="000F7E56">
        <w:rPr>
          <w:rFonts w:ascii="Calibri" w:eastAsia="SimSun" w:hAnsi="Calibri" w:cs="Calibri"/>
        </w:rPr>
        <w:tab/>
      </w:r>
      <w:r w:rsidRPr="000F7E56">
        <w:rPr>
          <w:rFonts w:ascii="Calibri" w:eastAsia="SimSun" w:hAnsi="Calibri" w:cs="Calibri"/>
        </w:rPr>
        <w:tab/>
      </w:r>
      <w:r w:rsidRPr="000F7E56">
        <w:rPr>
          <w:rFonts w:ascii="Calibri" w:eastAsia="SimSun" w:hAnsi="Calibri" w:cs="Calibri"/>
        </w:rPr>
        <w:tab/>
        <w:t>End-of-Life Care for All e-learning programme</w:t>
      </w:r>
    </w:p>
    <w:p w14:paraId="3BF409F6" w14:textId="77777777" w:rsidR="000F7E56" w:rsidRPr="000F7E56" w:rsidRDefault="000F7E56" w:rsidP="000F7E56">
      <w:pPr>
        <w:spacing w:after="120" w:line="264" w:lineRule="auto"/>
        <w:rPr>
          <w:rFonts w:ascii="Calibri" w:eastAsia="SimSun" w:hAnsi="Calibri" w:cs="Calibri"/>
        </w:rPr>
      </w:pPr>
      <w:r w:rsidRPr="000F7E56">
        <w:rPr>
          <w:rFonts w:ascii="Calibri" w:eastAsia="SimSun" w:hAnsi="Calibri" w:cs="Calibri"/>
          <w:b/>
          <w:bCs/>
        </w:rPr>
        <w:t>ED</w:t>
      </w:r>
      <w:r w:rsidRPr="000F7E56">
        <w:rPr>
          <w:rFonts w:ascii="Calibri" w:eastAsia="SimSun" w:hAnsi="Calibri" w:cs="Calibri"/>
          <w:b/>
          <w:bCs/>
        </w:rPr>
        <w:tab/>
      </w:r>
      <w:r w:rsidRPr="000F7E56">
        <w:rPr>
          <w:rFonts w:ascii="Calibri" w:eastAsia="SimSun" w:hAnsi="Calibri" w:cs="Calibri"/>
        </w:rPr>
        <w:tab/>
      </w:r>
      <w:r w:rsidRPr="000F7E56">
        <w:rPr>
          <w:rFonts w:ascii="Calibri" w:eastAsia="SimSun" w:hAnsi="Calibri" w:cs="Calibri"/>
        </w:rPr>
        <w:tab/>
      </w:r>
      <w:r w:rsidRPr="000F7E56">
        <w:rPr>
          <w:rFonts w:ascii="Calibri" w:eastAsia="SimSun" w:hAnsi="Calibri" w:cs="Calibri"/>
        </w:rPr>
        <w:tab/>
        <w:t xml:space="preserve">Ethnically Diverse </w:t>
      </w:r>
    </w:p>
    <w:p w14:paraId="5260257C" w14:textId="77777777" w:rsidR="000F7E56" w:rsidRPr="000F7E56" w:rsidRDefault="000F7E56" w:rsidP="000F7E56">
      <w:pPr>
        <w:spacing w:after="120" w:line="264" w:lineRule="auto"/>
        <w:rPr>
          <w:rFonts w:ascii="Calibri" w:eastAsia="SimSun" w:hAnsi="Calibri" w:cs="Calibri"/>
        </w:rPr>
      </w:pPr>
      <w:r w:rsidRPr="000F7E56">
        <w:rPr>
          <w:rFonts w:ascii="Calibri" w:eastAsia="SimSun" w:hAnsi="Calibri" w:cs="Calibri"/>
          <w:b/>
        </w:rPr>
        <w:t>FCG</w:t>
      </w:r>
      <w:r w:rsidRPr="000F7E56">
        <w:rPr>
          <w:rFonts w:ascii="Calibri" w:eastAsia="SimSun" w:hAnsi="Calibri" w:cs="Calibri"/>
        </w:rPr>
        <w:tab/>
      </w:r>
      <w:r w:rsidRPr="000F7E56">
        <w:rPr>
          <w:rFonts w:ascii="Calibri" w:eastAsia="SimSun" w:hAnsi="Calibri" w:cs="Calibri"/>
        </w:rPr>
        <w:tab/>
      </w:r>
      <w:r w:rsidRPr="000F7E56">
        <w:rPr>
          <w:rFonts w:ascii="Calibri" w:eastAsia="SimSun" w:hAnsi="Calibri" w:cs="Calibri"/>
        </w:rPr>
        <w:tab/>
      </w:r>
      <w:r w:rsidRPr="000F7E56">
        <w:rPr>
          <w:rFonts w:ascii="Calibri" w:eastAsia="SimSun" w:hAnsi="Calibri" w:cs="Calibri"/>
        </w:rPr>
        <w:tab/>
        <w:t>Family Care Giver</w:t>
      </w:r>
    </w:p>
    <w:p w14:paraId="4D8AE581" w14:textId="77777777" w:rsidR="000F7E56" w:rsidRPr="000F7E56" w:rsidRDefault="000F7E56" w:rsidP="000F7E56">
      <w:pPr>
        <w:spacing w:after="120" w:line="264" w:lineRule="auto"/>
        <w:rPr>
          <w:rFonts w:ascii="Calibri" w:eastAsia="SimSun" w:hAnsi="Calibri" w:cs="Calibri"/>
        </w:rPr>
      </w:pPr>
      <w:r w:rsidRPr="000F7E56">
        <w:rPr>
          <w:rFonts w:ascii="Calibri" w:eastAsia="SimSun" w:hAnsi="Calibri" w:cs="Calibri"/>
          <w:b/>
        </w:rPr>
        <w:t>GCP</w:t>
      </w:r>
      <w:r w:rsidRPr="000F7E56">
        <w:rPr>
          <w:rFonts w:ascii="Calibri" w:eastAsia="SimSun" w:hAnsi="Calibri" w:cs="Calibri"/>
        </w:rPr>
        <w:tab/>
      </w:r>
      <w:r w:rsidRPr="000F7E56">
        <w:rPr>
          <w:rFonts w:ascii="Calibri" w:eastAsia="SimSun" w:hAnsi="Calibri" w:cs="Calibri"/>
        </w:rPr>
        <w:tab/>
      </w:r>
      <w:r w:rsidRPr="000F7E56">
        <w:rPr>
          <w:rFonts w:ascii="Calibri" w:eastAsia="SimSun" w:hAnsi="Calibri" w:cs="Calibri"/>
        </w:rPr>
        <w:tab/>
      </w:r>
      <w:r w:rsidRPr="000F7E56">
        <w:rPr>
          <w:rFonts w:ascii="Calibri" w:eastAsia="SimSun" w:hAnsi="Calibri" w:cs="Calibri"/>
        </w:rPr>
        <w:tab/>
        <w:t>Good Clinical Practice</w:t>
      </w:r>
    </w:p>
    <w:p w14:paraId="64936F6F" w14:textId="77777777" w:rsidR="000F7E56" w:rsidRPr="000F7E56" w:rsidRDefault="000F7E56" w:rsidP="000F7E56">
      <w:pPr>
        <w:spacing w:after="120" w:line="264" w:lineRule="auto"/>
        <w:rPr>
          <w:rFonts w:ascii="Calibri" w:eastAsia="SimSun" w:hAnsi="Calibri" w:cs="Calibri"/>
        </w:rPr>
      </w:pPr>
      <w:r w:rsidRPr="000F7E56">
        <w:rPr>
          <w:rFonts w:ascii="Calibri" w:eastAsia="SimSun" w:hAnsi="Calibri" w:cs="Calibri"/>
          <w:b/>
        </w:rPr>
        <w:t>GDPR</w:t>
      </w:r>
      <w:r w:rsidRPr="000F7E56">
        <w:rPr>
          <w:rFonts w:ascii="Calibri" w:eastAsia="SimSun" w:hAnsi="Calibri" w:cs="Calibri"/>
        </w:rPr>
        <w:tab/>
      </w:r>
      <w:r w:rsidRPr="000F7E56">
        <w:rPr>
          <w:rFonts w:ascii="Calibri" w:eastAsia="SimSun" w:hAnsi="Calibri" w:cs="Calibri"/>
        </w:rPr>
        <w:tab/>
      </w:r>
      <w:r w:rsidRPr="000F7E56">
        <w:rPr>
          <w:rFonts w:ascii="Calibri" w:eastAsia="SimSun" w:hAnsi="Calibri" w:cs="Calibri"/>
        </w:rPr>
        <w:tab/>
      </w:r>
      <w:r w:rsidRPr="000F7E56">
        <w:rPr>
          <w:rFonts w:ascii="Calibri" w:eastAsia="SimSun" w:hAnsi="Calibri" w:cs="Calibri"/>
        </w:rPr>
        <w:tab/>
        <w:t>General Data Protection Regulation</w:t>
      </w:r>
    </w:p>
    <w:p w14:paraId="0726F2E8" w14:textId="0398BB96" w:rsidR="000F7E56" w:rsidRDefault="000F7E56" w:rsidP="000F7E56">
      <w:pPr>
        <w:spacing w:after="120" w:line="264" w:lineRule="auto"/>
        <w:rPr>
          <w:rFonts w:ascii="Calibri" w:eastAsia="SimSun" w:hAnsi="Calibri" w:cs="Calibri"/>
        </w:rPr>
      </w:pPr>
      <w:r w:rsidRPr="000F7E56">
        <w:rPr>
          <w:rFonts w:ascii="Calibri" w:eastAsia="SimSun" w:hAnsi="Calibri" w:cs="Calibri"/>
          <w:b/>
        </w:rPr>
        <w:t>GMC</w:t>
      </w:r>
      <w:r w:rsidRPr="000F7E56">
        <w:rPr>
          <w:rFonts w:ascii="Calibri" w:eastAsia="SimSun" w:hAnsi="Calibri" w:cs="Calibri"/>
          <w:b/>
        </w:rPr>
        <w:tab/>
      </w:r>
      <w:r w:rsidRPr="000F7E56">
        <w:rPr>
          <w:rFonts w:ascii="Calibri" w:eastAsia="SimSun" w:hAnsi="Calibri" w:cs="Calibri"/>
          <w:b/>
        </w:rPr>
        <w:tab/>
      </w:r>
      <w:r w:rsidRPr="000F7E56">
        <w:rPr>
          <w:rFonts w:ascii="Calibri" w:eastAsia="SimSun" w:hAnsi="Calibri" w:cs="Calibri"/>
          <w:b/>
        </w:rPr>
        <w:tab/>
      </w:r>
      <w:r w:rsidRPr="000F7E56">
        <w:rPr>
          <w:rFonts w:ascii="Calibri" w:eastAsia="SimSun" w:hAnsi="Calibri" w:cs="Calibri"/>
          <w:b/>
        </w:rPr>
        <w:tab/>
      </w:r>
      <w:r w:rsidRPr="000F7E56">
        <w:rPr>
          <w:rFonts w:ascii="Calibri" w:eastAsia="SimSun" w:hAnsi="Calibri" w:cs="Calibri"/>
        </w:rPr>
        <w:t>General Medical Council</w:t>
      </w:r>
    </w:p>
    <w:p w14:paraId="301DD59D" w14:textId="7D5E94D2" w:rsidR="005B7B94" w:rsidRPr="000F7E56" w:rsidRDefault="005B7B94" w:rsidP="000F7E56">
      <w:pPr>
        <w:spacing w:after="120" w:line="264" w:lineRule="auto"/>
        <w:rPr>
          <w:rFonts w:ascii="Calibri" w:eastAsia="SimSun" w:hAnsi="Calibri" w:cs="Calibri"/>
        </w:rPr>
      </w:pPr>
      <w:r w:rsidRPr="005B7B94">
        <w:rPr>
          <w:rFonts w:ascii="Calibri" w:eastAsia="SimSun" w:hAnsi="Calibri" w:cs="Calibri"/>
          <w:b/>
        </w:rPr>
        <w:t>HRA</w:t>
      </w:r>
      <w:r>
        <w:rPr>
          <w:rFonts w:ascii="Calibri" w:eastAsia="SimSun" w:hAnsi="Calibri" w:cs="Calibri"/>
        </w:rPr>
        <w:tab/>
      </w:r>
      <w:r>
        <w:rPr>
          <w:rFonts w:ascii="Calibri" w:eastAsia="SimSun" w:hAnsi="Calibri" w:cs="Calibri"/>
        </w:rPr>
        <w:tab/>
      </w:r>
      <w:r>
        <w:rPr>
          <w:rFonts w:ascii="Calibri" w:eastAsia="SimSun" w:hAnsi="Calibri" w:cs="Calibri"/>
        </w:rPr>
        <w:tab/>
      </w:r>
      <w:r>
        <w:rPr>
          <w:rFonts w:ascii="Calibri" w:eastAsia="SimSun" w:hAnsi="Calibri" w:cs="Calibri"/>
        </w:rPr>
        <w:tab/>
        <w:t>Health Education Authority</w:t>
      </w:r>
    </w:p>
    <w:p w14:paraId="005BF162" w14:textId="308037EC" w:rsidR="005B7B94" w:rsidRPr="000F7E56" w:rsidRDefault="000F7E56" w:rsidP="000F7E56">
      <w:pPr>
        <w:spacing w:after="120" w:line="264" w:lineRule="auto"/>
        <w:rPr>
          <w:rFonts w:ascii="Calibri" w:eastAsia="SimSun" w:hAnsi="Calibri" w:cs="Calibri"/>
        </w:rPr>
      </w:pPr>
      <w:r w:rsidRPr="000F7E56">
        <w:rPr>
          <w:rFonts w:ascii="Calibri" w:eastAsia="SimSun" w:hAnsi="Calibri" w:cs="Calibri"/>
          <w:b/>
        </w:rPr>
        <w:t>CP</w:t>
      </w:r>
      <w:r w:rsidRPr="000F7E56">
        <w:rPr>
          <w:rFonts w:ascii="Calibri" w:eastAsia="SimSun" w:hAnsi="Calibri" w:cs="Calibri"/>
          <w:b/>
        </w:rPr>
        <w:tab/>
      </w:r>
      <w:r w:rsidRPr="000F7E56">
        <w:rPr>
          <w:rFonts w:ascii="Calibri" w:eastAsia="SimSun" w:hAnsi="Calibri" w:cs="Calibri"/>
          <w:b/>
        </w:rPr>
        <w:tab/>
      </w:r>
      <w:r w:rsidRPr="000F7E56">
        <w:rPr>
          <w:rFonts w:ascii="Calibri" w:eastAsia="SimSun" w:hAnsi="Calibri" w:cs="Calibri"/>
          <w:b/>
        </w:rPr>
        <w:tab/>
      </w:r>
      <w:r w:rsidRPr="000F7E56">
        <w:rPr>
          <w:rFonts w:ascii="Calibri" w:eastAsia="SimSun" w:hAnsi="Calibri" w:cs="Calibri"/>
          <w:b/>
        </w:rPr>
        <w:tab/>
      </w:r>
      <w:r w:rsidRPr="000F7E56">
        <w:rPr>
          <w:rFonts w:ascii="Calibri" w:eastAsia="SimSun" w:hAnsi="Calibri" w:cs="Calibri"/>
        </w:rPr>
        <w:t>Health Care Professional</w:t>
      </w:r>
    </w:p>
    <w:p w14:paraId="75C884B2" w14:textId="77777777" w:rsidR="000F7E56" w:rsidRPr="000F7E56" w:rsidRDefault="000F7E56" w:rsidP="000F7E56">
      <w:pPr>
        <w:spacing w:after="120" w:line="264" w:lineRule="auto"/>
        <w:rPr>
          <w:rFonts w:ascii="Calibri" w:eastAsia="SimSun" w:hAnsi="Calibri" w:cs="Calibri"/>
        </w:rPr>
      </w:pPr>
      <w:r w:rsidRPr="000F7E56">
        <w:rPr>
          <w:rFonts w:ascii="Calibri" w:eastAsia="SimSun" w:hAnsi="Calibri" w:cs="Calibri"/>
          <w:b/>
        </w:rPr>
        <w:t>LOROS</w:t>
      </w:r>
      <w:r w:rsidRPr="000F7E56">
        <w:rPr>
          <w:rFonts w:ascii="Calibri" w:eastAsia="SimSun" w:hAnsi="Calibri" w:cs="Calibri"/>
          <w:b/>
        </w:rPr>
        <w:tab/>
      </w:r>
      <w:r w:rsidRPr="000F7E56">
        <w:rPr>
          <w:rFonts w:ascii="Calibri" w:eastAsia="SimSun" w:hAnsi="Calibri" w:cs="Calibri"/>
        </w:rPr>
        <w:tab/>
      </w:r>
      <w:r w:rsidRPr="000F7E56">
        <w:rPr>
          <w:rFonts w:ascii="Calibri" w:eastAsia="SimSun" w:hAnsi="Calibri" w:cs="Calibri"/>
        </w:rPr>
        <w:tab/>
        <w:t xml:space="preserve">              Leicestershire and Rutland Organisation for the Relief of Suffering </w:t>
      </w:r>
    </w:p>
    <w:p w14:paraId="2897884B" w14:textId="77777777" w:rsidR="000F7E56" w:rsidRPr="000F7E56" w:rsidRDefault="000F7E56" w:rsidP="000F7E56">
      <w:pPr>
        <w:spacing w:after="120" w:line="264" w:lineRule="auto"/>
        <w:rPr>
          <w:rFonts w:ascii="Calibri" w:eastAsia="SimSun" w:hAnsi="Calibri" w:cs="Calibri"/>
        </w:rPr>
      </w:pPr>
      <w:r w:rsidRPr="000F7E56">
        <w:rPr>
          <w:rFonts w:ascii="Calibri" w:eastAsia="SimSun" w:hAnsi="Calibri" w:cs="Calibri"/>
          <w:b/>
        </w:rPr>
        <w:t>NHS</w:t>
      </w:r>
      <w:r w:rsidRPr="000F7E56">
        <w:rPr>
          <w:rFonts w:ascii="Calibri" w:eastAsia="SimSun" w:hAnsi="Calibri" w:cs="Calibri"/>
        </w:rPr>
        <w:tab/>
      </w:r>
      <w:r w:rsidRPr="000F7E56">
        <w:rPr>
          <w:rFonts w:ascii="Calibri" w:eastAsia="SimSun" w:hAnsi="Calibri" w:cs="Calibri"/>
        </w:rPr>
        <w:tab/>
      </w:r>
      <w:r w:rsidRPr="000F7E56">
        <w:rPr>
          <w:rFonts w:ascii="Calibri" w:eastAsia="SimSun" w:hAnsi="Calibri" w:cs="Calibri"/>
        </w:rPr>
        <w:tab/>
      </w:r>
      <w:r w:rsidRPr="000F7E56">
        <w:rPr>
          <w:rFonts w:ascii="Calibri" w:eastAsia="SimSun" w:hAnsi="Calibri" w:cs="Calibri"/>
        </w:rPr>
        <w:tab/>
        <w:t>National Health Service</w:t>
      </w:r>
    </w:p>
    <w:p w14:paraId="585460D0" w14:textId="023C6C3C" w:rsidR="000F7E56" w:rsidRPr="000F7E56" w:rsidRDefault="000F7E56" w:rsidP="000F7E56">
      <w:pPr>
        <w:spacing w:after="120" w:line="264" w:lineRule="auto"/>
        <w:rPr>
          <w:rFonts w:ascii="Calibri" w:eastAsia="SimSun" w:hAnsi="Calibri" w:cs="Calibri"/>
        </w:rPr>
      </w:pPr>
      <w:r w:rsidRPr="000F7E56">
        <w:rPr>
          <w:rFonts w:ascii="Calibri" w:eastAsia="SimSun" w:hAnsi="Calibri" w:cs="Calibri"/>
          <w:b/>
        </w:rPr>
        <w:t>NICE</w:t>
      </w:r>
      <w:r w:rsidRPr="000F7E56">
        <w:rPr>
          <w:rFonts w:ascii="Calibri" w:eastAsia="SimSun" w:hAnsi="Calibri" w:cs="Calibri"/>
          <w:b/>
        </w:rPr>
        <w:tab/>
      </w:r>
      <w:r w:rsidRPr="000F7E56">
        <w:rPr>
          <w:rFonts w:ascii="Calibri" w:eastAsia="SimSun" w:hAnsi="Calibri" w:cs="Calibri"/>
          <w:b/>
        </w:rPr>
        <w:tab/>
      </w:r>
      <w:r w:rsidRPr="000F7E56">
        <w:rPr>
          <w:rFonts w:ascii="Calibri" w:eastAsia="SimSun" w:hAnsi="Calibri" w:cs="Calibri"/>
          <w:b/>
        </w:rPr>
        <w:tab/>
      </w:r>
      <w:r w:rsidRPr="000F7E56">
        <w:rPr>
          <w:rFonts w:ascii="Calibri" w:eastAsia="SimSun" w:hAnsi="Calibri" w:cs="Calibri"/>
          <w:b/>
        </w:rPr>
        <w:tab/>
      </w:r>
      <w:r w:rsidRPr="000F7E56">
        <w:rPr>
          <w:rFonts w:ascii="Calibri" w:eastAsia="SimSun" w:hAnsi="Calibri" w:cs="Calibri"/>
        </w:rPr>
        <w:t xml:space="preserve">National </w:t>
      </w:r>
      <w:r w:rsidR="00531B6F" w:rsidRPr="000F7E56">
        <w:rPr>
          <w:rFonts w:ascii="Calibri" w:eastAsia="SimSun" w:hAnsi="Calibri" w:cs="Calibri"/>
        </w:rPr>
        <w:t xml:space="preserve">Institute </w:t>
      </w:r>
      <w:r w:rsidR="00531B6F">
        <w:rPr>
          <w:rFonts w:ascii="Calibri" w:eastAsia="SimSun" w:hAnsi="Calibri" w:cs="Calibri"/>
        </w:rPr>
        <w:t>for</w:t>
      </w:r>
      <w:r w:rsidR="00BF0957">
        <w:rPr>
          <w:rFonts w:ascii="Calibri" w:eastAsia="SimSun" w:hAnsi="Calibri" w:cs="Calibri"/>
        </w:rPr>
        <w:t xml:space="preserve"> Health and C</w:t>
      </w:r>
      <w:r w:rsidR="00A86DA9">
        <w:rPr>
          <w:rFonts w:ascii="Calibri" w:eastAsia="SimSun" w:hAnsi="Calibri" w:cs="Calibri"/>
        </w:rPr>
        <w:t>are</w:t>
      </w:r>
      <w:r w:rsidR="00BF0957">
        <w:rPr>
          <w:rFonts w:ascii="Calibri" w:eastAsia="SimSun" w:hAnsi="Calibri" w:cs="Calibri"/>
        </w:rPr>
        <w:t xml:space="preserve"> </w:t>
      </w:r>
      <w:r w:rsidR="00A662A8">
        <w:rPr>
          <w:rFonts w:ascii="Calibri" w:eastAsia="SimSun" w:hAnsi="Calibri" w:cs="Calibri"/>
        </w:rPr>
        <w:t>Excellence</w:t>
      </w:r>
    </w:p>
    <w:p w14:paraId="3812F4EA" w14:textId="77777777" w:rsidR="000F7E56" w:rsidRPr="000F7E56" w:rsidRDefault="000F7E56" w:rsidP="000F7E56">
      <w:pPr>
        <w:spacing w:after="120" w:line="264" w:lineRule="auto"/>
        <w:rPr>
          <w:rFonts w:ascii="Calibri" w:eastAsia="SimSun" w:hAnsi="Calibri" w:cs="Calibri"/>
        </w:rPr>
      </w:pPr>
      <w:r w:rsidRPr="000F7E56">
        <w:rPr>
          <w:rFonts w:ascii="Calibri" w:eastAsia="SimSun" w:hAnsi="Calibri" w:cs="Calibri"/>
          <w:b/>
        </w:rPr>
        <w:t>NPT</w:t>
      </w:r>
      <w:r w:rsidRPr="000F7E56">
        <w:rPr>
          <w:rFonts w:ascii="Calibri" w:eastAsia="SimSun" w:hAnsi="Calibri" w:cs="Calibri"/>
        </w:rPr>
        <w:tab/>
      </w:r>
      <w:r w:rsidRPr="000F7E56">
        <w:rPr>
          <w:rFonts w:ascii="Calibri" w:eastAsia="SimSun" w:hAnsi="Calibri" w:cs="Calibri"/>
        </w:rPr>
        <w:tab/>
      </w:r>
      <w:r w:rsidRPr="000F7E56">
        <w:rPr>
          <w:rFonts w:ascii="Calibri" w:eastAsia="SimSun" w:hAnsi="Calibri" w:cs="Calibri"/>
        </w:rPr>
        <w:tab/>
      </w:r>
      <w:r w:rsidRPr="000F7E56">
        <w:rPr>
          <w:rFonts w:ascii="Calibri" w:eastAsia="SimSun" w:hAnsi="Calibri" w:cs="Calibri"/>
        </w:rPr>
        <w:tab/>
        <w:t>Normalisation Process Theory</w:t>
      </w:r>
    </w:p>
    <w:p w14:paraId="4A4A7752" w14:textId="2604F233" w:rsidR="000F7E56" w:rsidRPr="000F7E56" w:rsidRDefault="000F7E56" w:rsidP="000F7E56">
      <w:pPr>
        <w:spacing w:after="120" w:line="264" w:lineRule="auto"/>
        <w:rPr>
          <w:rFonts w:ascii="Calibri" w:eastAsia="SimSun" w:hAnsi="Calibri" w:cs="Calibri"/>
        </w:rPr>
      </w:pPr>
      <w:r w:rsidRPr="000F7E56">
        <w:rPr>
          <w:rFonts w:ascii="Calibri" w:eastAsia="SimSun" w:hAnsi="Calibri" w:cs="Calibri"/>
          <w:b/>
        </w:rPr>
        <w:t>MCA</w:t>
      </w:r>
      <w:r w:rsidRPr="000F7E56">
        <w:rPr>
          <w:rFonts w:ascii="Calibri" w:eastAsia="SimSun" w:hAnsi="Calibri" w:cs="Calibri"/>
        </w:rPr>
        <w:tab/>
      </w:r>
      <w:r w:rsidRPr="000F7E56">
        <w:rPr>
          <w:rFonts w:ascii="Calibri" w:eastAsia="SimSun" w:hAnsi="Calibri" w:cs="Calibri"/>
        </w:rPr>
        <w:tab/>
      </w:r>
      <w:r w:rsidRPr="000F7E56">
        <w:rPr>
          <w:rFonts w:ascii="Calibri" w:eastAsia="SimSun" w:hAnsi="Calibri" w:cs="Calibri"/>
        </w:rPr>
        <w:tab/>
      </w:r>
      <w:r w:rsidRPr="000F7E56">
        <w:rPr>
          <w:rFonts w:ascii="Calibri" w:eastAsia="SimSun" w:hAnsi="Calibri" w:cs="Calibri"/>
        </w:rPr>
        <w:tab/>
        <w:t>Mental Capacity Act</w:t>
      </w:r>
      <w:r w:rsidR="00A86DA9">
        <w:rPr>
          <w:rFonts w:ascii="Calibri" w:eastAsia="SimSun" w:hAnsi="Calibri" w:cs="Calibri"/>
        </w:rPr>
        <w:t xml:space="preserve"> 2005</w:t>
      </w:r>
    </w:p>
    <w:p w14:paraId="25D0551D" w14:textId="77777777" w:rsidR="000F7E56" w:rsidRPr="000F7E56" w:rsidRDefault="000F7E56" w:rsidP="000F7E56">
      <w:pPr>
        <w:spacing w:after="120" w:line="264" w:lineRule="auto"/>
        <w:rPr>
          <w:rFonts w:ascii="Calibri" w:eastAsia="SimSun" w:hAnsi="Calibri" w:cs="Calibri"/>
        </w:rPr>
      </w:pPr>
      <w:r w:rsidRPr="000F7E56">
        <w:rPr>
          <w:rFonts w:ascii="Calibri" w:eastAsia="SimSun" w:hAnsi="Calibri" w:cs="Calibri"/>
          <w:b/>
        </w:rPr>
        <w:t>MND</w:t>
      </w:r>
      <w:r w:rsidRPr="000F7E56">
        <w:rPr>
          <w:rFonts w:ascii="Calibri" w:eastAsia="SimSun" w:hAnsi="Calibri" w:cs="Calibri"/>
          <w:b/>
        </w:rPr>
        <w:tab/>
      </w:r>
      <w:r w:rsidRPr="000F7E56">
        <w:rPr>
          <w:rFonts w:ascii="Calibri" w:eastAsia="SimSun" w:hAnsi="Calibri" w:cs="Calibri"/>
        </w:rPr>
        <w:tab/>
      </w:r>
      <w:r w:rsidRPr="000F7E56">
        <w:rPr>
          <w:rFonts w:ascii="Calibri" w:eastAsia="SimSun" w:hAnsi="Calibri" w:cs="Calibri"/>
        </w:rPr>
        <w:tab/>
      </w:r>
      <w:r w:rsidRPr="000F7E56">
        <w:rPr>
          <w:rFonts w:ascii="Calibri" w:eastAsia="SimSun" w:hAnsi="Calibri" w:cs="Calibri"/>
        </w:rPr>
        <w:tab/>
        <w:t xml:space="preserve">Motor Neurone Disease </w:t>
      </w:r>
    </w:p>
    <w:p w14:paraId="445E0896" w14:textId="77777777" w:rsidR="000F7E56" w:rsidRPr="000F7E56" w:rsidRDefault="000F7E56" w:rsidP="000F7E56">
      <w:pPr>
        <w:spacing w:after="120" w:line="264" w:lineRule="auto"/>
        <w:rPr>
          <w:rFonts w:ascii="Calibri" w:eastAsia="SimSun" w:hAnsi="Calibri" w:cs="Calibri"/>
        </w:rPr>
      </w:pPr>
      <w:proofErr w:type="spellStart"/>
      <w:r w:rsidRPr="000F7E56">
        <w:rPr>
          <w:rFonts w:ascii="Calibri" w:eastAsia="SimSun" w:hAnsi="Calibri" w:cs="Calibri"/>
          <w:b/>
        </w:rPr>
        <w:t>PEoLC</w:t>
      </w:r>
      <w:proofErr w:type="spellEnd"/>
      <w:r w:rsidRPr="000F7E56">
        <w:rPr>
          <w:rFonts w:ascii="Calibri" w:eastAsia="SimSun" w:hAnsi="Calibri" w:cs="Calibri"/>
          <w:b/>
        </w:rPr>
        <w:tab/>
      </w:r>
      <w:r w:rsidRPr="000F7E56">
        <w:rPr>
          <w:rFonts w:ascii="Calibri" w:eastAsia="SimSun" w:hAnsi="Calibri" w:cs="Calibri"/>
        </w:rPr>
        <w:tab/>
      </w:r>
      <w:r w:rsidRPr="000F7E56">
        <w:rPr>
          <w:rFonts w:ascii="Calibri" w:eastAsia="SimSun" w:hAnsi="Calibri" w:cs="Calibri"/>
        </w:rPr>
        <w:tab/>
      </w:r>
      <w:r w:rsidRPr="000F7E56">
        <w:rPr>
          <w:rFonts w:ascii="Calibri" w:eastAsia="SimSun" w:hAnsi="Calibri" w:cs="Calibri"/>
        </w:rPr>
        <w:tab/>
        <w:t>Palliative and End-of-Life-Care</w:t>
      </w:r>
    </w:p>
    <w:p w14:paraId="667C2E2B" w14:textId="77777777" w:rsidR="000F7E56" w:rsidRPr="000F7E56" w:rsidRDefault="000F7E56" w:rsidP="000F7E56">
      <w:pPr>
        <w:spacing w:after="120" w:line="264" w:lineRule="auto"/>
        <w:rPr>
          <w:rFonts w:ascii="Calibri" w:eastAsia="SimSun" w:hAnsi="Calibri" w:cs="Calibri"/>
        </w:rPr>
      </w:pPr>
      <w:r w:rsidRPr="000F7E56">
        <w:rPr>
          <w:rFonts w:ascii="Calibri" w:eastAsia="SimSun" w:hAnsi="Calibri" w:cs="Calibri"/>
          <w:b/>
        </w:rPr>
        <w:t>PIC</w:t>
      </w:r>
      <w:r w:rsidRPr="000F7E56">
        <w:rPr>
          <w:rFonts w:ascii="Calibri" w:eastAsia="SimSun" w:hAnsi="Calibri" w:cs="Calibri"/>
        </w:rPr>
        <w:tab/>
      </w:r>
      <w:r w:rsidRPr="000F7E56">
        <w:rPr>
          <w:rFonts w:ascii="Calibri" w:eastAsia="SimSun" w:hAnsi="Calibri" w:cs="Calibri"/>
        </w:rPr>
        <w:tab/>
      </w:r>
      <w:r w:rsidRPr="000F7E56">
        <w:rPr>
          <w:rFonts w:ascii="Calibri" w:eastAsia="SimSun" w:hAnsi="Calibri" w:cs="Calibri"/>
        </w:rPr>
        <w:tab/>
      </w:r>
      <w:r w:rsidRPr="000F7E56">
        <w:rPr>
          <w:rFonts w:ascii="Calibri" w:eastAsia="SimSun" w:hAnsi="Calibri" w:cs="Calibri"/>
        </w:rPr>
        <w:tab/>
        <w:t>Participant Identification Centre</w:t>
      </w:r>
    </w:p>
    <w:p w14:paraId="450412FE" w14:textId="77777777" w:rsidR="000F7E56" w:rsidRPr="000F7E56" w:rsidRDefault="000F7E56" w:rsidP="000F7E56">
      <w:pPr>
        <w:spacing w:after="120" w:line="264" w:lineRule="auto"/>
        <w:rPr>
          <w:rFonts w:ascii="Calibri" w:eastAsia="SimSun" w:hAnsi="Calibri" w:cs="Calibri"/>
        </w:rPr>
      </w:pPr>
      <w:r w:rsidRPr="000F7E56">
        <w:rPr>
          <w:rFonts w:ascii="Calibri" w:eastAsia="SimSun" w:hAnsi="Calibri" w:cs="Calibri"/>
          <w:b/>
        </w:rPr>
        <w:t>PPI</w:t>
      </w:r>
      <w:r w:rsidRPr="000F7E56">
        <w:rPr>
          <w:rFonts w:ascii="Calibri" w:eastAsia="SimSun" w:hAnsi="Calibri" w:cs="Calibri"/>
          <w:b/>
        </w:rPr>
        <w:tab/>
      </w:r>
      <w:r w:rsidRPr="000F7E56">
        <w:rPr>
          <w:rFonts w:ascii="Calibri" w:eastAsia="SimSun" w:hAnsi="Calibri" w:cs="Calibri"/>
        </w:rPr>
        <w:tab/>
      </w:r>
      <w:r w:rsidRPr="000F7E56">
        <w:rPr>
          <w:rFonts w:ascii="Calibri" w:eastAsia="SimSun" w:hAnsi="Calibri" w:cs="Calibri"/>
        </w:rPr>
        <w:tab/>
      </w:r>
      <w:r w:rsidRPr="000F7E56">
        <w:rPr>
          <w:rFonts w:ascii="Calibri" w:eastAsia="SimSun" w:hAnsi="Calibri" w:cs="Calibri"/>
        </w:rPr>
        <w:tab/>
        <w:t>Patient and Public Involvement</w:t>
      </w:r>
    </w:p>
    <w:p w14:paraId="48597F47" w14:textId="77777777" w:rsidR="000F7E56" w:rsidRPr="000F7E56" w:rsidRDefault="000F7E56" w:rsidP="000F7E56">
      <w:pPr>
        <w:spacing w:after="120" w:line="264" w:lineRule="auto"/>
        <w:rPr>
          <w:rFonts w:ascii="Calibri" w:eastAsia="SimSun" w:hAnsi="Calibri" w:cs="Calibri"/>
        </w:rPr>
      </w:pPr>
      <w:r w:rsidRPr="000F7E56">
        <w:rPr>
          <w:rFonts w:ascii="Calibri" w:eastAsia="SimSun" w:hAnsi="Calibri" w:cs="Calibri"/>
          <w:b/>
        </w:rPr>
        <w:t>PPOC/D</w:t>
      </w:r>
      <w:r w:rsidRPr="000F7E56">
        <w:rPr>
          <w:rFonts w:ascii="Calibri" w:eastAsia="SimSun" w:hAnsi="Calibri" w:cs="Calibri"/>
          <w:b/>
        </w:rPr>
        <w:tab/>
      </w:r>
      <w:r w:rsidRPr="000F7E56">
        <w:rPr>
          <w:rFonts w:ascii="Calibri" w:eastAsia="SimSun" w:hAnsi="Calibri" w:cs="Calibri"/>
        </w:rPr>
        <w:tab/>
      </w:r>
      <w:r w:rsidRPr="000F7E56">
        <w:rPr>
          <w:rFonts w:ascii="Calibri" w:eastAsia="SimSun" w:hAnsi="Calibri" w:cs="Calibri"/>
        </w:rPr>
        <w:tab/>
        <w:t>Preferred Place of Care/Death</w:t>
      </w:r>
    </w:p>
    <w:p w14:paraId="2C749AF0" w14:textId="37EB044D" w:rsidR="000F7E56" w:rsidRDefault="000F7E56" w:rsidP="000F7E56">
      <w:pPr>
        <w:spacing w:after="120" w:line="264" w:lineRule="auto"/>
        <w:rPr>
          <w:rFonts w:ascii="Calibri" w:eastAsia="SimSun" w:hAnsi="Calibri" w:cs="Calibri"/>
        </w:rPr>
      </w:pPr>
      <w:r w:rsidRPr="000F7E56">
        <w:rPr>
          <w:rFonts w:ascii="Calibri" w:eastAsia="SimSun" w:hAnsi="Calibri" w:cs="Calibri"/>
          <w:b/>
        </w:rPr>
        <w:t>PCBR</w:t>
      </w:r>
      <w:r w:rsidRPr="000F7E56">
        <w:rPr>
          <w:rFonts w:ascii="Calibri" w:eastAsia="SimSun" w:hAnsi="Calibri" w:cs="Calibri"/>
        </w:rPr>
        <w:tab/>
      </w:r>
      <w:r w:rsidRPr="000F7E56">
        <w:rPr>
          <w:rFonts w:ascii="Calibri" w:eastAsia="SimSun" w:hAnsi="Calibri" w:cs="Calibri"/>
        </w:rPr>
        <w:tab/>
      </w:r>
      <w:r w:rsidRPr="000F7E56">
        <w:rPr>
          <w:rFonts w:ascii="Calibri" w:eastAsia="SimSun" w:hAnsi="Calibri" w:cs="Calibri"/>
        </w:rPr>
        <w:tab/>
      </w:r>
      <w:r w:rsidRPr="000F7E56">
        <w:rPr>
          <w:rFonts w:ascii="Calibri" w:eastAsia="SimSun" w:hAnsi="Calibri" w:cs="Calibri"/>
        </w:rPr>
        <w:tab/>
        <w:t>Public, Carers and Bereaved Relatives Group</w:t>
      </w:r>
    </w:p>
    <w:p w14:paraId="4E10D6C3" w14:textId="2BB7F663" w:rsidR="005B7B94" w:rsidRDefault="005B7B94" w:rsidP="000F7E56">
      <w:pPr>
        <w:spacing w:after="120" w:line="264" w:lineRule="auto"/>
        <w:rPr>
          <w:rFonts w:ascii="Calibri" w:eastAsia="SimSun" w:hAnsi="Calibri" w:cs="Calibri"/>
        </w:rPr>
      </w:pPr>
      <w:r w:rsidRPr="005B7B94">
        <w:rPr>
          <w:rFonts w:ascii="Calibri" w:eastAsia="SimSun" w:hAnsi="Calibri" w:cs="Calibri"/>
          <w:b/>
        </w:rPr>
        <w:t>RA</w:t>
      </w:r>
      <w:r w:rsidRPr="005B7B94">
        <w:rPr>
          <w:rFonts w:ascii="Calibri" w:eastAsia="SimSun" w:hAnsi="Calibri" w:cs="Calibri"/>
          <w:b/>
        </w:rPr>
        <w:tab/>
      </w:r>
      <w:r>
        <w:rPr>
          <w:rFonts w:ascii="Calibri" w:eastAsia="SimSun" w:hAnsi="Calibri" w:cs="Calibri"/>
        </w:rPr>
        <w:tab/>
      </w:r>
      <w:r>
        <w:rPr>
          <w:rFonts w:ascii="Calibri" w:eastAsia="SimSun" w:hAnsi="Calibri" w:cs="Calibri"/>
        </w:rPr>
        <w:tab/>
      </w:r>
      <w:r>
        <w:rPr>
          <w:rFonts w:ascii="Calibri" w:eastAsia="SimSun" w:hAnsi="Calibri" w:cs="Calibri"/>
        </w:rPr>
        <w:tab/>
        <w:t>Research Associate</w:t>
      </w:r>
    </w:p>
    <w:p w14:paraId="4B73EDF5" w14:textId="70EAE8E6" w:rsidR="005B7B94" w:rsidRPr="000F7E56" w:rsidRDefault="005B7B94" w:rsidP="000F7E56">
      <w:pPr>
        <w:spacing w:after="120" w:line="264" w:lineRule="auto"/>
        <w:rPr>
          <w:rFonts w:ascii="Calibri" w:eastAsia="SimSun" w:hAnsi="Calibri" w:cs="Calibri"/>
        </w:rPr>
      </w:pPr>
      <w:r w:rsidRPr="005B7B94">
        <w:rPr>
          <w:rFonts w:ascii="Calibri" w:eastAsia="SimSun" w:hAnsi="Calibri" w:cs="Calibri"/>
          <w:b/>
        </w:rPr>
        <w:t>RF</w:t>
      </w:r>
      <w:r>
        <w:rPr>
          <w:rFonts w:ascii="Calibri" w:eastAsia="SimSun" w:hAnsi="Calibri" w:cs="Calibri"/>
        </w:rPr>
        <w:tab/>
      </w:r>
      <w:r>
        <w:rPr>
          <w:rFonts w:ascii="Calibri" w:eastAsia="SimSun" w:hAnsi="Calibri" w:cs="Calibri"/>
        </w:rPr>
        <w:tab/>
      </w:r>
      <w:r>
        <w:rPr>
          <w:rFonts w:ascii="Calibri" w:eastAsia="SimSun" w:hAnsi="Calibri" w:cs="Calibri"/>
        </w:rPr>
        <w:tab/>
      </w:r>
      <w:r>
        <w:rPr>
          <w:rFonts w:ascii="Calibri" w:eastAsia="SimSun" w:hAnsi="Calibri" w:cs="Calibri"/>
        </w:rPr>
        <w:tab/>
        <w:t>Research Fellow</w:t>
      </w:r>
    </w:p>
    <w:p w14:paraId="1068C25B" w14:textId="77777777" w:rsidR="000F7E56" w:rsidRPr="000F7E56" w:rsidRDefault="000F7E56" w:rsidP="000F7E56">
      <w:pPr>
        <w:spacing w:after="120" w:line="264" w:lineRule="auto"/>
        <w:rPr>
          <w:rFonts w:ascii="Calibri" w:eastAsia="SimSun" w:hAnsi="Calibri" w:cs="Calibri"/>
        </w:rPr>
      </w:pPr>
      <w:r w:rsidRPr="000F7E56">
        <w:rPr>
          <w:rFonts w:ascii="Calibri" w:eastAsia="SimSun" w:hAnsi="Calibri" w:cs="Calibri"/>
          <w:b/>
        </w:rPr>
        <w:t>REC</w:t>
      </w:r>
      <w:r w:rsidRPr="000F7E56">
        <w:rPr>
          <w:rFonts w:ascii="Calibri" w:eastAsia="SimSun" w:hAnsi="Calibri" w:cs="Calibri"/>
          <w:b/>
        </w:rPr>
        <w:tab/>
      </w:r>
      <w:r w:rsidRPr="000F7E56">
        <w:rPr>
          <w:rFonts w:ascii="Calibri" w:eastAsia="SimSun" w:hAnsi="Calibri" w:cs="Calibri"/>
        </w:rPr>
        <w:tab/>
      </w:r>
      <w:r w:rsidRPr="000F7E56">
        <w:rPr>
          <w:rFonts w:ascii="Calibri" w:eastAsia="SimSun" w:hAnsi="Calibri" w:cs="Calibri"/>
        </w:rPr>
        <w:tab/>
      </w:r>
      <w:r w:rsidRPr="000F7E56">
        <w:rPr>
          <w:rFonts w:ascii="Calibri" w:eastAsia="SimSun" w:hAnsi="Calibri" w:cs="Calibri"/>
        </w:rPr>
        <w:tab/>
        <w:t>Research Ethics Committee</w:t>
      </w:r>
    </w:p>
    <w:p w14:paraId="1DF4D662" w14:textId="77777777" w:rsidR="000F7E56" w:rsidRPr="000F7E56" w:rsidRDefault="000F7E56" w:rsidP="000F7E56">
      <w:pPr>
        <w:spacing w:after="120" w:line="264" w:lineRule="auto"/>
        <w:rPr>
          <w:rFonts w:ascii="Calibri" w:eastAsia="SimSun" w:hAnsi="Calibri" w:cs="Calibri"/>
          <w:lang w:val="en-US"/>
        </w:rPr>
      </w:pPr>
      <w:r w:rsidRPr="000F7E56">
        <w:rPr>
          <w:rFonts w:ascii="Calibri" w:eastAsia="SimSun" w:hAnsi="Calibri" w:cs="Calibri"/>
          <w:b/>
          <w:lang w:val="en-US"/>
        </w:rPr>
        <w:lastRenderedPageBreak/>
        <w:t>SPICT</w:t>
      </w:r>
      <w:r w:rsidRPr="000F7E56">
        <w:rPr>
          <w:rFonts w:ascii="Calibri" w:eastAsia="SimSun" w:hAnsi="Calibri" w:cs="Calibri"/>
          <w:b/>
          <w:lang w:val="en-US"/>
        </w:rPr>
        <w:tab/>
      </w:r>
      <w:r w:rsidRPr="000F7E56">
        <w:rPr>
          <w:rFonts w:ascii="Calibri" w:eastAsia="SimSun" w:hAnsi="Calibri" w:cs="Calibri"/>
          <w:lang w:val="en-US"/>
        </w:rPr>
        <w:tab/>
      </w:r>
      <w:r w:rsidRPr="000F7E56">
        <w:rPr>
          <w:rFonts w:ascii="Calibri" w:eastAsia="SimSun" w:hAnsi="Calibri" w:cs="Calibri"/>
          <w:lang w:val="en-US"/>
        </w:rPr>
        <w:tab/>
      </w:r>
      <w:r w:rsidRPr="000F7E56">
        <w:rPr>
          <w:rFonts w:ascii="Calibri" w:eastAsia="SimSun" w:hAnsi="Calibri" w:cs="Calibri"/>
          <w:lang w:val="en-US"/>
        </w:rPr>
        <w:tab/>
        <w:t xml:space="preserve">Supportive and Palliative Care Indicators Tool </w:t>
      </w:r>
    </w:p>
    <w:p w14:paraId="3015DD56" w14:textId="6467860D" w:rsidR="005B7B94" w:rsidRPr="008072F5" w:rsidRDefault="000F7E56" w:rsidP="000F7E56">
      <w:pPr>
        <w:spacing w:after="120" w:line="264" w:lineRule="auto"/>
        <w:rPr>
          <w:rFonts w:ascii="Calibri" w:eastAsia="SimSun" w:hAnsi="Calibri" w:cs="Calibri"/>
        </w:rPr>
      </w:pPr>
      <w:r w:rsidRPr="000F7E56">
        <w:rPr>
          <w:rFonts w:ascii="Calibri" w:eastAsia="SimSun" w:hAnsi="Calibri" w:cs="Calibri"/>
          <w:b/>
        </w:rPr>
        <w:t>SSC</w:t>
      </w:r>
      <w:r w:rsidRPr="000F7E56">
        <w:rPr>
          <w:rFonts w:ascii="Calibri" w:eastAsia="SimSun" w:hAnsi="Calibri" w:cs="Calibri"/>
        </w:rPr>
        <w:tab/>
      </w:r>
      <w:r w:rsidRPr="000F7E56">
        <w:rPr>
          <w:rFonts w:ascii="Calibri" w:eastAsia="SimSun" w:hAnsi="Calibri" w:cs="Calibri"/>
        </w:rPr>
        <w:tab/>
      </w:r>
      <w:r w:rsidRPr="000F7E56">
        <w:rPr>
          <w:rFonts w:ascii="Calibri" w:eastAsia="SimSun" w:hAnsi="Calibri" w:cs="Calibri"/>
        </w:rPr>
        <w:tab/>
      </w:r>
      <w:r w:rsidRPr="000F7E56">
        <w:rPr>
          <w:rFonts w:ascii="Calibri" w:eastAsia="SimSun" w:hAnsi="Calibri" w:cs="Calibri"/>
        </w:rPr>
        <w:tab/>
        <w:t>Study Steering Comm</w:t>
      </w:r>
      <w:r w:rsidR="008072F5">
        <w:rPr>
          <w:rFonts w:ascii="Calibri" w:eastAsia="SimSun" w:hAnsi="Calibri" w:cs="Calibri"/>
        </w:rPr>
        <w:t>ittee</w:t>
      </w:r>
    </w:p>
    <w:p w14:paraId="75ACB0E9" w14:textId="622D1278" w:rsidR="005B7B94" w:rsidRDefault="000F7E56" w:rsidP="000F7E56">
      <w:r w:rsidRPr="000F7E56">
        <w:rPr>
          <w:b/>
        </w:rPr>
        <w:t>WS</w:t>
      </w:r>
      <w:r w:rsidRPr="000F7E56">
        <w:tab/>
      </w:r>
      <w:r w:rsidRPr="000F7E56">
        <w:tab/>
      </w:r>
      <w:r w:rsidRPr="000F7E56">
        <w:tab/>
      </w:r>
      <w:r w:rsidRPr="000F7E56">
        <w:tab/>
        <w:t>Work Stream</w:t>
      </w:r>
    </w:p>
    <w:p w14:paraId="762A613A" w14:textId="77777777" w:rsidR="005B7B94" w:rsidRDefault="005B7B94">
      <w:r>
        <w:br w:type="page"/>
      </w:r>
    </w:p>
    <w:p w14:paraId="20045B3E" w14:textId="77777777" w:rsidR="000F7E56" w:rsidRPr="000F7E56" w:rsidRDefault="000F7E56" w:rsidP="000F7E56"/>
    <w:p w14:paraId="47BB4C7A" w14:textId="4B85A6C9" w:rsidR="000F7E56" w:rsidRPr="000F7E56" w:rsidRDefault="000F7E56" w:rsidP="00D74EFC">
      <w:pPr>
        <w:keepNext/>
        <w:keepLines/>
        <w:spacing w:after="120" w:line="360" w:lineRule="auto"/>
        <w:jc w:val="center"/>
        <w:outlineLvl w:val="0"/>
      </w:pPr>
      <w:bookmarkStart w:id="7" w:name="_Toc106697748"/>
      <w:r w:rsidRPr="000F7E56">
        <w:rPr>
          <w:rFonts w:ascii="Calibri Light" w:eastAsia="SimSun" w:hAnsi="Calibri Light" w:cs="Times New Roman"/>
          <w:color w:val="4472C4" w:themeColor="accent1"/>
          <w:sz w:val="56"/>
          <w:szCs w:val="32"/>
        </w:rPr>
        <w:t>Abstrac</w:t>
      </w:r>
      <w:r w:rsidRPr="000F7E56">
        <w:rPr>
          <w:rFonts w:ascii="Calibri Light" w:eastAsia="SimSun" w:hAnsi="Calibri Light" w:cs="Times New Roman"/>
          <w:color w:val="2E74B5"/>
          <w:sz w:val="56"/>
          <w:szCs w:val="32"/>
        </w:rPr>
        <w:t>t</w:t>
      </w:r>
      <w:bookmarkEnd w:id="7"/>
    </w:p>
    <w:p w14:paraId="7771C25A" w14:textId="77777777" w:rsidR="000F7E56" w:rsidRPr="000F7E56" w:rsidRDefault="000F7E56" w:rsidP="000F7E56">
      <w:pPr>
        <w:spacing w:after="120" w:line="360" w:lineRule="auto"/>
        <w:rPr>
          <w:color w:val="4472C4" w:themeColor="accent1"/>
        </w:rPr>
      </w:pPr>
      <w:r w:rsidRPr="000F7E56">
        <w:rPr>
          <w:color w:val="4472C4" w:themeColor="accent1"/>
        </w:rPr>
        <w:t>Background</w:t>
      </w:r>
    </w:p>
    <w:p w14:paraId="6239F553" w14:textId="615C3852" w:rsidR="000F7E56" w:rsidRPr="000F7E56" w:rsidRDefault="000F7E56" w:rsidP="000F7E56">
      <w:pPr>
        <w:spacing w:after="120" w:line="360" w:lineRule="auto"/>
      </w:pPr>
      <w:r w:rsidRPr="000F7E56">
        <w:t xml:space="preserve">This study explored the experiences of terminally ill patients from ethnically diverse (ED) backgrounds and their family care givers (FCGs) and whether and how they think ahead about deterioration and dying and their engagement with healthcare professionals (HCPs) in end-of-life-care planning (EOLCP). </w:t>
      </w:r>
    </w:p>
    <w:p w14:paraId="64854A17" w14:textId="77777777" w:rsidR="000F7E56" w:rsidRPr="000F7E56" w:rsidRDefault="000F7E56" w:rsidP="000F7E56">
      <w:pPr>
        <w:spacing w:after="120" w:line="360" w:lineRule="auto"/>
        <w:rPr>
          <w:color w:val="4472C4" w:themeColor="accent1"/>
        </w:rPr>
      </w:pPr>
      <w:r w:rsidRPr="000F7E56">
        <w:rPr>
          <w:color w:val="4472C4" w:themeColor="accent1"/>
        </w:rPr>
        <w:t>Aim</w:t>
      </w:r>
    </w:p>
    <w:p w14:paraId="6878457F" w14:textId="29E990AF" w:rsidR="000F7E56" w:rsidRPr="000F7E56" w:rsidRDefault="000F7E56" w:rsidP="000F7E56">
      <w:pPr>
        <w:spacing w:after="120" w:line="360" w:lineRule="auto"/>
      </w:pPr>
      <w:r w:rsidRPr="000F7E56">
        <w:t>To address the  question: What are the barriers and enablers to ethnically diverse patients, family care givers and health care professionals engaging in EOLCP?</w:t>
      </w:r>
    </w:p>
    <w:p w14:paraId="690EFD9D" w14:textId="49F6CF49" w:rsidR="000F7E56" w:rsidRPr="000F7E56" w:rsidRDefault="000F7E56" w:rsidP="000F7E56">
      <w:pPr>
        <w:spacing w:after="120" w:line="360" w:lineRule="auto"/>
        <w:rPr>
          <w:color w:val="4472C4" w:themeColor="accent1"/>
        </w:rPr>
      </w:pPr>
      <w:r w:rsidRPr="000F7E56">
        <w:rPr>
          <w:color w:val="4472C4" w:themeColor="accent1"/>
        </w:rPr>
        <w:t xml:space="preserve">Design and </w:t>
      </w:r>
      <w:r w:rsidR="00105D28">
        <w:rPr>
          <w:color w:val="4472C4" w:themeColor="accent1"/>
        </w:rPr>
        <w:t>d</w:t>
      </w:r>
      <w:r w:rsidRPr="000F7E56">
        <w:rPr>
          <w:color w:val="4472C4" w:themeColor="accent1"/>
        </w:rPr>
        <w:t xml:space="preserve">ata </w:t>
      </w:r>
      <w:r w:rsidR="00105D28">
        <w:rPr>
          <w:color w:val="4472C4" w:themeColor="accent1"/>
        </w:rPr>
        <w:t>c</w:t>
      </w:r>
      <w:r w:rsidRPr="000F7E56">
        <w:rPr>
          <w:color w:val="4472C4" w:themeColor="accent1"/>
        </w:rPr>
        <w:t>ollection</w:t>
      </w:r>
    </w:p>
    <w:p w14:paraId="7F246020" w14:textId="00605CD3" w:rsidR="000F7E56" w:rsidRPr="000F7E56" w:rsidRDefault="000F7E56" w:rsidP="000F7E56">
      <w:pPr>
        <w:spacing w:after="120" w:line="360" w:lineRule="auto"/>
      </w:pPr>
      <w:r w:rsidRPr="000F7E56">
        <w:t xml:space="preserve">A qualitative study involving 18 longitudinal patient-centred case studies, interviews with 19 </w:t>
      </w:r>
      <w:r w:rsidR="00A11180">
        <w:t>Bereaved Family Care Givers</w:t>
      </w:r>
      <w:r w:rsidRPr="000F7E56">
        <w:t xml:space="preserve"> </w:t>
      </w:r>
      <w:r w:rsidR="00A11180">
        <w:t>(B</w:t>
      </w:r>
      <w:r w:rsidRPr="000F7E56">
        <w:t>FCGs</w:t>
      </w:r>
      <w:r w:rsidR="00A11180">
        <w:t>)</w:t>
      </w:r>
      <w:r w:rsidRPr="000F7E56">
        <w:t xml:space="preserve"> and 50 public and professional stakeholder responses to the findings</w:t>
      </w:r>
      <w:r w:rsidR="00B92873">
        <w:t>.</w:t>
      </w:r>
    </w:p>
    <w:p w14:paraId="3188A1A3" w14:textId="77777777" w:rsidR="000F7E56" w:rsidRPr="000F7E56" w:rsidRDefault="000F7E56" w:rsidP="000F7E56">
      <w:pPr>
        <w:spacing w:after="120" w:line="360" w:lineRule="auto"/>
        <w:rPr>
          <w:color w:val="4472C4" w:themeColor="accent1"/>
        </w:rPr>
      </w:pPr>
      <w:r w:rsidRPr="000F7E56">
        <w:rPr>
          <w:color w:val="4472C4" w:themeColor="accent1"/>
        </w:rPr>
        <w:t>Setting</w:t>
      </w:r>
    </w:p>
    <w:p w14:paraId="61ADC759" w14:textId="77777777" w:rsidR="000F7E56" w:rsidRPr="000F7E56" w:rsidRDefault="000F7E56" w:rsidP="000F7E56">
      <w:pPr>
        <w:spacing w:after="120" w:line="360" w:lineRule="auto"/>
      </w:pPr>
      <w:r w:rsidRPr="000F7E56">
        <w:t xml:space="preserve">Nottinghamshire and Leicestershire, UK.  </w:t>
      </w:r>
    </w:p>
    <w:p w14:paraId="62C59911" w14:textId="20673E74" w:rsidR="000F7E56" w:rsidRDefault="000F7E56" w:rsidP="000F7E56">
      <w:pPr>
        <w:spacing w:after="120" w:line="360" w:lineRule="auto"/>
        <w:rPr>
          <w:color w:val="4472C4" w:themeColor="accent1"/>
        </w:rPr>
      </w:pPr>
      <w:r w:rsidRPr="000F7E56">
        <w:rPr>
          <w:color w:val="4472C4" w:themeColor="accent1"/>
        </w:rPr>
        <w:t xml:space="preserve">Findings </w:t>
      </w:r>
    </w:p>
    <w:p w14:paraId="518E050E" w14:textId="6F2B6088" w:rsidR="000F7E56" w:rsidRPr="000F7E56" w:rsidRDefault="00A815E3" w:rsidP="000F7E56">
      <w:pPr>
        <w:autoSpaceDE w:val="0"/>
        <w:autoSpaceDN w:val="0"/>
        <w:adjustRightInd w:val="0"/>
        <w:spacing w:after="120" w:line="360" w:lineRule="auto"/>
      </w:pPr>
      <w:r>
        <w:rPr>
          <w:color w:val="4472C4" w:themeColor="accent1"/>
        </w:rPr>
        <w:t xml:space="preserve">Key barriers </w:t>
      </w:r>
      <w:r w:rsidR="000F7E56" w:rsidRPr="000F7E56">
        <w:rPr>
          <w:rFonts w:cs="Arial"/>
        </w:rPr>
        <w:t>The predominant stance of patients was to live with hope, with future considerations of practical matters (wills and funerals) rather than the business of dying. For some planning ahead was counter to their faith</w:t>
      </w:r>
      <w:r w:rsidR="00E77740">
        <w:rPr>
          <w:rFonts w:cs="Arial"/>
        </w:rPr>
        <w:t xml:space="preserve">. </w:t>
      </w:r>
    </w:p>
    <w:p w14:paraId="5064C8CB" w14:textId="6CB088C9" w:rsidR="000F7E56" w:rsidRPr="000F7E56" w:rsidRDefault="006F584D" w:rsidP="000F7E56">
      <w:pPr>
        <w:autoSpaceDE w:val="0"/>
        <w:autoSpaceDN w:val="0"/>
        <w:adjustRightInd w:val="0"/>
        <w:spacing w:after="120" w:line="360" w:lineRule="auto"/>
      </w:pPr>
      <w:r w:rsidRPr="000F7E56">
        <w:rPr>
          <w:rFonts w:cs="Arial"/>
        </w:rPr>
        <w:t xml:space="preserve">HCPs </w:t>
      </w:r>
      <w:r>
        <w:rPr>
          <w:rFonts w:cs="Arial"/>
        </w:rPr>
        <w:t xml:space="preserve">seem to </w:t>
      </w:r>
      <w:r w:rsidRPr="000F7E56">
        <w:rPr>
          <w:rFonts w:cs="Arial"/>
        </w:rPr>
        <w:t>feature little in people’s lives. Some participants indicated a lack of trust and experienced a disjointed system, devoid of due regard for them.</w:t>
      </w:r>
      <w:r w:rsidRPr="006F584D">
        <w:rPr>
          <w:rFonts w:cs="Arial"/>
        </w:rPr>
        <w:t xml:space="preserve"> </w:t>
      </w:r>
      <w:r w:rsidR="00220186">
        <w:rPr>
          <w:rFonts w:cs="Arial"/>
        </w:rPr>
        <w:t>However</w:t>
      </w:r>
    </w:p>
    <w:p w14:paraId="4578045D" w14:textId="19ABBAFB" w:rsidR="000F7E56" w:rsidRPr="000F7E56" w:rsidRDefault="000F7E56" w:rsidP="000F7E56">
      <w:pPr>
        <w:autoSpaceDE w:val="0"/>
        <w:autoSpaceDN w:val="0"/>
        <w:adjustRightInd w:val="0"/>
        <w:spacing w:after="120" w:line="360" w:lineRule="auto"/>
        <w:rPr>
          <w:rFonts w:cs="Arial"/>
        </w:rPr>
      </w:pPr>
      <w:r w:rsidRPr="000F7E56">
        <w:rPr>
          <w:rFonts w:cs="Arial"/>
        </w:rPr>
        <w:t xml:space="preserve">Religious and cultural mores were of great importance to many and there were anxieties about how the system valued and enabled these. Family duty and community expectations were foregrounded in some accounts and concern about being in the (un)care of strangers was common. </w:t>
      </w:r>
    </w:p>
    <w:p w14:paraId="284C3DDA" w14:textId="77777777" w:rsidR="000F7E56" w:rsidRPr="000F7E56" w:rsidRDefault="000F7E56" w:rsidP="000F7E56">
      <w:pPr>
        <w:spacing w:after="120" w:line="360" w:lineRule="auto"/>
        <w:rPr>
          <w:i/>
        </w:rPr>
      </w:pPr>
    </w:p>
    <w:p w14:paraId="0FED946A" w14:textId="304EA69A" w:rsidR="000F7E56" w:rsidRPr="000F7E56" w:rsidRDefault="00A815E3" w:rsidP="000F7E56">
      <w:pPr>
        <w:spacing w:after="120" w:line="360" w:lineRule="auto"/>
      </w:pPr>
      <w:r>
        <w:rPr>
          <w:color w:val="4472C4" w:themeColor="accent1"/>
        </w:rPr>
        <w:t xml:space="preserve">Key enablers </w:t>
      </w:r>
      <w:r w:rsidR="00E77740">
        <w:t>Effective communication</w:t>
      </w:r>
      <w:r w:rsidR="008856FA">
        <w:t xml:space="preserve"> with trusted individuals</w:t>
      </w:r>
      <w:r w:rsidR="00E77740">
        <w:t xml:space="preserve"> which enable</w:t>
      </w:r>
      <w:r w:rsidR="00FC64D5">
        <w:t>s</w:t>
      </w:r>
      <w:r w:rsidR="00E77740">
        <w:t xml:space="preserve"> patients to feel known and that their faith, family and community life are valued. </w:t>
      </w:r>
      <w:r w:rsidR="00A82D6E">
        <w:rPr>
          <w:sz w:val="24"/>
          <w:szCs w:val="24"/>
        </w:rPr>
        <w:t xml:space="preserve">HCPs </w:t>
      </w:r>
      <w:r w:rsidR="00A82D6E" w:rsidRPr="000F7E56">
        <w:rPr>
          <w:sz w:val="24"/>
          <w:szCs w:val="24"/>
        </w:rPr>
        <w:t>get</w:t>
      </w:r>
      <w:r w:rsidR="00A82D6E">
        <w:rPr>
          <w:sz w:val="24"/>
          <w:szCs w:val="24"/>
        </w:rPr>
        <w:t>ting</w:t>
      </w:r>
      <w:r w:rsidR="00A82D6E" w:rsidRPr="000F7E56">
        <w:rPr>
          <w:sz w:val="24"/>
          <w:szCs w:val="24"/>
        </w:rPr>
        <w:t xml:space="preserve"> to ‘know’ the person</w:t>
      </w:r>
      <w:r w:rsidR="00A82D6E">
        <w:rPr>
          <w:sz w:val="24"/>
          <w:szCs w:val="24"/>
        </w:rPr>
        <w:t xml:space="preserve"> is key</w:t>
      </w:r>
      <w:r w:rsidR="008856FA">
        <w:rPr>
          <w:sz w:val="24"/>
          <w:szCs w:val="24"/>
        </w:rPr>
        <w:t>.</w:t>
      </w:r>
      <w:r w:rsidR="00A82D6E" w:rsidRPr="000F7E56">
        <w:rPr>
          <w:rFonts w:cs="Arial"/>
          <w:sz w:val="24"/>
          <w:szCs w:val="24"/>
        </w:rPr>
        <w:t xml:space="preserve">  </w:t>
      </w:r>
      <w:r w:rsidR="000F7E56" w:rsidRPr="000F7E56">
        <w:t>Stakeholder responses highlighted the need for development of</w:t>
      </w:r>
      <w:r w:rsidR="008856FA">
        <w:t xml:space="preserve"> HCPs confidence</w:t>
      </w:r>
      <w:r w:rsidR="00571DE1">
        <w:t>,</w:t>
      </w:r>
      <w:r w:rsidR="000F7E56" w:rsidRPr="000F7E56">
        <w:t xml:space="preserve">  skills </w:t>
      </w:r>
      <w:r w:rsidR="00A82D6E">
        <w:t xml:space="preserve">and </w:t>
      </w:r>
      <w:r w:rsidR="00B92873">
        <w:rPr>
          <w:rFonts w:cs="Arial"/>
          <w:sz w:val="24"/>
          <w:szCs w:val="24"/>
        </w:rPr>
        <w:t>t</w:t>
      </w:r>
      <w:r w:rsidR="00A82D6E" w:rsidRPr="000F7E56">
        <w:rPr>
          <w:rFonts w:cs="Arial"/>
          <w:sz w:val="24"/>
          <w:szCs w:val="24"/>
        </w:rPr>
        <w:t>raining</w:t>
      </w:r>
      <w:r w:rsidR="00B92873">
        <w:rPr>
          <w:rFonts w:cs="Arial"/>
          <w:sz w:val="24"/>
          <w:szCs w:val="24"/>
        </w:rPr>
        <w:t>,</w:t>
      </w:r>
      <w:r w:rsidR="002E4FF7">
        <w:rPr>
          <w:rFonts w:cs="Arial"/>
          <w:sz w:val="24"/>
          <w:szCs w:val="24"/>
        </w:rPr>
        <w:t xml:space="preserve"> </w:t>
      </w:r>
      <w:r w:rsidR="002E4FF7">
        <w:rPr>
          <w:rFonts w:cs="Arial"/>
          <w:sz w:val="24"/>
          <w:szCs w:val="24"/>
        </w:rPr>
        <w:lastRenderedPageBreak/>
        <w:t>U</w:t>
      </w:r>
      <w:r w:rsidR="00A82D6E" w:rsidRPr="000F7E56">
        <w:rPr>
          <w:rFonts w:cs="Arial"/>
          <w:sz w:val="24"/>
          <w:szCs w:val="24"/>
        </w:rPr>
        <w:t xml:space="preserve">sing stories based on   </w:t>
      </w:r>
      <w:r w:rsidR="002E4FF7">
        <w:rPr>
          <w:rFonts w:cs="Arial"/>
          <w:sz w:val="24"/>
          <w:szCs w:val="24"/>
        </w:rPr>
        <w:t xml:space="preserve">the study findings </w:t>
      </w:r>
      <w:r w:rsidR="00A82D6E" w:rsidRPr="000F7E56">
        <w:rPr>
          <w:rFonts w:cs="Arial"/>
          <w:sz w:val="24"/>
          <w:szCs w:val="24"/>
        </w:rPr>
        <w:t>w</w:t>
      </w:r>
      <w:r w:rsidR="00A82D6E">
        <w:rPr>
          <w:rFonts w:cs="Arial"/>
          <w:sz w:val="24"/>
          <w:szCs w:val="24"/>
        </w:rPr>
        <w:t>as</w:t>
      </w:r>
      <w:r w:rsidR="00A82D6E" w:rsidRPr="000F7E56">
        <w:rPr>
          <w:rFonts w:cs="Arial"/>
          <w:sz w:val="24"/>
          <w:szCs w:val="24"/>
        </w:rPr>
        <w:t xml:space="preserve"> seen as </w:t>
      </w:r>
      <w:r w:rsidR="00095824">
        <w:rPr>
          <w:rFonts w:cs="Arial"/>
          <w:sz w:val="24"/>
          <w:szCs w:val="24"/>
        </w:rPr>
        <w:t xml:space="preserve">an </w:t>
      </w:r>
      <w:r w:rsidR="00A82D6E" w:rsidRPr="000F7E56">
        <w:rPr>
          <w:rFonts w:cs="Arial"/>
          <w:sz w:val="24"/>
          <w:szCs w:val="24"/>
        </w:rPr>
        <w:t xml:space="preserve">effective </w:t>
      </w:r>
      <w:r w:rsidR="00A82D6E">
        <w:rPr>
          <w:rFonts w:cs="Arial"/>
          <w:sz w:val="24"/>
          <w:szCs w:val="24"/>
        </w:rPr>
        <w:t xml:space="preserve">way </w:t>
      </w:r>
      <w:r w:rsidR="00A82D6E" w:rsidRPr="000F7E56">
        <w:rPr>
          <w:rFonts w:cs="Arial"/>
          <w:sz w:val="24"/>
          <w:szCs w:val="24"/>
        </w:rPr>
        <w:t>to support this</w:t>
      </w:r>
      <w:r w:rsidR="00A82D6E">
        <w:rPr>
          <w:rFonts w:cs="Arial"/>
          <w:sz w:val="24"/>
          <w:szCs w:val="24"/>
        </w:rPr>
        <w:t xml:space="preserve">. </w:t>
      </w:r>
      <w:r w:rsidR="00A82D6E" w:rsidRPr="000F7E56">
        <w:t xml:space="preserve"> </w:t>
      </w:r>
      <w:r w:rsidR="00A82D6E">
        <w:t>A</w:t>
      </w:r>
      <w:r w:rsidR="000F7E56" w:rsidRPr="000F7E56">
        <w:t xml:space="preserve"> number of behavioural change techniques were </w:t>
      </w:r>
      <w:r w:rsidR="00E77740">
        <w:t xml:space="preserve">also </w:t>
      </w:r>
      <w:r w:rsidR="000F7E56" w:rsidRPr="000F7E56">
        <w:t>identified</w:t>
      </w:r>
      <w:r w:rsidR="00E77740">
        <w:t>.</w:t>
      </w:r>
    </w:p>
    <w:p w14:paraId="28634D2C" w14:textId="441357A0" w:rsidR="000F7E56" w:rsidRPr="000F7E56" w:rsidRDefault="000F7E56" w:rsidP="000F7E56">
      <w:pPr>
        <w:spacing w:after="120" w:line="360" w:lineRule="auto"/>
        <w:rPr>
          <w:color w:val="4472C4" w:themeColor="accent1"/>
        </w:rPr>
      </w:pPr>
      <w:r w:rsidRPr="000F7E56">
        <w:rPr>
          <w:color w:val="4472C4" w:themeColor="accent1"/>
        </w:rPr>
        <w:t>Conclusions</w:t>
      </w:r>
    </w:p>
    <w:p w14:paraId="04946056" w14:textId="00C4E15E" w:rsidR="000F7E56" w:rsidRPr="000F7E56" w:rsidRDefault="0095070D" w:rsidP="000F7E56">
      <w:pPr>
        <w:autoSpaceDE w:val="0"/>
        <w:autoSpaceDN w:val="0"/>
        <w:adjustRightInd w:val="0"/>
        <w:spacing w:after="120" w:line="360" w:lineRule="auto"/>
        <w:rPr>
          <w:rFonts w:cs="Arial"/>
        </w:rPr>
      </w:pPr>
      <w:r>
        <w:rPr>
          <w:rFonts w:cs="Arial"/>
        </w:rPr>
        <w:t>W</w:t>
      </w:r>
      <w:r w:rsidR="000F7E56" w:rsidRPr="000F7E56">
        <w:rPr>
          <w:rFonts w:cs="Arial"/>
        </w:rPr>
        <w:t xml:space="preserve">hat constitutes good end-of-life </w:t>
      </w:r>
      <w:r w:rsidR="00A50DEB">
        <w:rPr>
          <w:rFonts w:cs="Arial"/>
        </w:rPr>
        <w:t xml:space="preserve">care </w:t>
      </w:r>
      <w:r w:rsidR="000F7E56" w:rsidRPr="000F7E56">
        <w:rPr>
          <w:rFonts w:cs="Arial"/>
        </w:rPr>
        <w:t xml:space="preserve">is influenced by the intersectionality of  </w:t>
      </w:r>
      <w:r w:rsidR="007C7041">
        <w:rPr>
          <w:rFonts w:cs="Arial"/>
        </w:rPr>
        <w:t xml:space="preserve"> diverse </w:t>
      </w:r>
      <w:r w:rsidR="000F7E56" w:rsidRPr="000F7E56">
        <w:rPr>
          <w:rFonts w:cs="Arial"/>
        </w:rPr>
        <w:t>factors including, beliefs and culture.  All people desire personalised, compassionate and holistic end-of-life care</w:t>
      </w:r>
      <w:r w:rsidR="00E77740">
        <w:rPr>
          <w:rFonts w:cs="Arial"/>
        </w:rPr>
        <w:t xml:space="preserve"> and the </w:t>
      </w:r>
      <w:r w:rsidR="007C7041">
        <w:rPr>
          <w:rFonts w:cs="Arial"/>
        </w:rPr>
        <w:t xml:space="preserve">current </w:t>
      </w:r>
      <w:r w:rsidR="00E77740">
        <w:rPr>
          <w:rFonts w:cs="Arial"/>
        </w:rPr>
        <w:t xml:space="preserve">frameworks for good palliative care support this. </w:t>
      </w:r>
      <w:r w:rsidR="000F7E56" w:rsidRPr="000F7E56">
        <w:rPr>
          <w:rFonts w:cs="Arial"/>
        </w:rPr>
        <w:t xml:space="preserve"> </w:t>
      </w:r>
      <w:r w:rsidR="00E77740" w:rsidRPr="000F7E56">
        <w:rPr>
          <w:rFonts w:cs="Arial"/>
          <w:sz w:val="24"/>
          <w:szCs w:val="24"/>
        </w:rPr>
        <w:t xml:space="preserve">However, HCPs </w:t>
      </w:r>
      <w:r w:rsidR="00E77740">
        <w:rPr>
          <w:rFonts w:cs="Arial"/>
          <w:sz w:val="24"/>
          <w:szCs w:val="24"/>
        </w:rPr>
        <w:t>need</w:t>
      </w:r>
      <w:r w:rsidR="00E77740" w:rsidRPr="000F7E56">
        <w:rPr>
          <w:rFonts w:cs="Arial"/>
          <w:sz w:val="24"/>
          <w:szCs w:val="24"/>
        </w:rPr>
        <w:t xml:space="preserve"> additional skills to navigate complex, sensitive communication</w:t>
      </w:r>
      <w:r w:rsidR="00E77740">
        <w:rPr>
          <w:rFonts w:cs="Arial"/>
          <w:sz w:val="24"/>
          <w:szCs w:val="24"/>
        </w:rPr>
        <w:t xml:space="preserve"> and enquire about aspects of people’s lives that may be unfamiliar</w:t>
      </w:r>
      <w:r w:rsidR="00E77740" w:rsidRPr="000F7E56">
        <w:rPr>
          <w:rFonts w:cs="Arial"/>
          <w:sz w:val="24"/>
          <w:szCs w:val="24"/>
        </w:rPr>
        <w:t>.</w:t>
      </w:r>
      <w:r w:rsidR="000F7E56" w:rsidRPr="000F7E56">
        <w:rPr>
          <w:rFonts w:cs="Arial"/>
        </w:rPr>
        <w:t xml:space="preserve">  </w:t>
      </w:r>
      <w:r w:rsidR="00A82D6E">
        <w:rPr>
          <w:rFonts w:cs="Arial"/>
        </w:rPr>
        <w:t>T</w:t>
      </w:r>
      <w:r w:rsidR="00A82D6E" w:rsidRPr="000F7E56">
        <w:rPr>
          <w:rFonts w:cs="Arial"/>
        </w:rPr>
        <w:t>he challenge for HCPs and services</w:t>
      </w:r>
      <w:r w:rsidR="00A82D6E">
        <w:rPr>
          <w:rFonts w:cs="Arial"/>
        </w:rPr>
        <w:t xml:space="preserve"> </w:t>
      </w:r>
      <w:r w:rsidR="000F7E56" w:rsidRPr="000F7E56">
        <w:rPr>
          <w:rFonts w:cs="Arial"/>
        </w:rPr>
        <w:t xml:space="preserve">is in the delivery of </w:t>
      </w:r>
      <w:r w:rsidR="00A82D6E">
        <w:rPr>
          <w:rFonts w:cs="Arial"/>
        </w:rPr>
        <w:t>holistic care</w:t>
      </w:r>
      <w:r w:rsidR="000F7E56" w:rsidRPr="000F7E56">
        <w:rPr>
          <w:rFonts w:cs="Arial"/>
        </w:rPr>
        <w:t xml:space="preserve"> and the range of skills that are required </w:t>
      </w:r>
      <w:r w:rsidR="00A82D6E">
        <w:rPr>
          <w:rFonts w:cs="Arial"/>
        </w:rPr>
        <w:t>to do this.</w:t>
      </w:r>
    </w:p>
    <w:p w14:paraId="4B40846E" w14:textId="77777777" w:rsidR="000F7E56" w:rsidRPr="000F7E56" w:rsidRDefault="000F7E56" w:rsidP="000F7E56">
      <w:pPr>
        <w:autoSpaceDE w:val="0"/>
        <w:autoSpaceDN w:val="0"/>
        <w:adjustRightInd w:val="0"/>
        <w:spacing w:after="120" w:line="360" w:lineRule="auto"/>
        <w:rPr>
          <w:rFonts w:cs="Arial"/>
          <w:color w:val="4472C4" w:themeColor="accent1"/>
        </w:rPr>
      </w:pPr>
    </w:p>
    <w:p w14:paraId="05254ADA" w14:textId="77777777" w:rsidR="000F7E56" w:rsidRPr="000F7E56" w:rsidRDefault="000F7E56" w:rsidP="000F7E56">
      <w:pPr>
        <w:spacing w:after="120" w:line="360" w:lineRule="auto"/>
        <w:rPr>
          <w:rFonts w:cs="Arial"/>
          <w:color w:val="4472C4" w:themeColor="accent1"/>
        </w:rPr>
      </w:pPr>
      <w:r w:rsidRPr="000F7E56">
        <w:rPr>
          <w:color w:val="4472C4" w:themeColor="accent1"/>
        </w:rPr>
        <w:t>Future work</w:t>
      </w:r>
      <w:r w:rsidRPr="000F7E56">
        <w:rPr>
          <w:rFonts w:cs="Arial"/>
          <w:i/>
          <w:color w:val="4472C4" w:themeColor="accent1"/>
        </w:rPr>
        <w:t xml:space="preserve"> </w:t>
      </w:r>
    </w:p>
    <w:p w14:paraId="02B54D57" w14:textId="3F7BEFEA" w:rsidR="000F7E56" w:rsidRPr="000F7E56" w:rsidRDefault="000F7E56" w:rsidP="000F7E56">
      <w:pPr>
        <w:spacing w:after="120" w:line="360" w:lineRule="auto"/>
        <w:rPr>
          <w:rFonts w:cs="Arial"/>
          <w:i/>
        </w:rPr>
      </w:pPr>
      <w:r w:rsidRPr="000F7E56">
        <w:rPr>
          <w:rFonts w:cs="Arial"/>
        </w:rPr>
        <w:t>Priorities for future research</w:t>
      </w:r>
      <w:r w:rsidR="00F259A8">
        <w:rPr>
          <w:rFonts w:cs="Arial"/>
        </w:rPr>
        <w:t>:</w:t>
      </w:r>
    </w:p>
    <w:p w14:paraId="0064A24E" w14:textId="10AFB0B3" w:rsidR="000F7E56" w:rsidRPr="000F7E56" w:rsidRDefault="000F7E56" w:rsidP="000C7E4F">
      <w:pPr>
        <w:numPr>
          <w:ilvl w:val="0"/>
          <w:numId w:val="14"/>
        </w:numPr>
        <w:spacing w:after="120" w:line="360" w:lineRule="auto"/>
        <w:contextualSpacing/>
        <w:rPr>
          <w:rFonts w:cs="Arial"/>
        </w:rPr>
      </w:pPr>
      <w:r w:rsidRPr="000F7E56">
        <w:rPr>
          <w:rFonts w:cs="Arial"/>
        </w:rPr>
        <w:t xml:space="preserve">How can health professionals identify if/when a patient is ‘ready’ </w:t>
      </w:r>
      <w:r w:rsidR="00401A2F">
        <w:rPr>
          <w:rFonts w:cs="Arial"/>
        </w:rPr>
        <w:t>for</w:t>
      </w:r>
      <w:r w:rsidRPr="000F7E56">
        <w:rPr>
          <w:rFonts w:cs="Arial"/>
        </w:rPr>
        <w:t xml:space="preserve"> discussions of deterioration and dying?</w:t>
      </w:r>
    </w:p>
    <w:p w14:paraId="2FB33772" w14:textId="3F1A862A" w:rsidR="000F7E56" w:rsidRPr="000F7E56" w:rsidRDefault="000F7E56" w:rsidP="000C7E4F">
      <w:pPr>
        <w:numPr>
          <w:ilvl w:val="0"/>
          <w:numId w:val="14"/>
        </w:numPr>
        <w:spacing w:after="120" w:line="360" w:lineRule="auto"/>
        <w:contextualSpacing/>
        <w:rPr>
          <w:rFonts w:cs="Arial"/>
        </w:rPr>
      </w:pPr>
      <w:r w:rsidRPr="000F7E56">
        <w:rPr>
          <w:rFonts w:cs="Arial"/>
        </w:rPr>
        <w:t>How can discussions about uncertain recovery and the need for decisions about treatment especially resuscitation be most effectively conducted in a crisis?</w:t>
      </w:r>
    </w:p>
    <w:p w14:paraId="0962E83A" w14:textId="61D4484E" w:rsidR="000F7E56" w:rsidRPr="000F7E56" w:rsidRDefault="000F7E56" w:rsidP="000C7E4F">
      <w:pPr>
        <w:numPr>
          <w:ilvl w:val="0"/>
          <w:numId w:val="14"/>
        </w:numPr>
        <w:spacing w:after="120" w:line="360" w:lineRule="auto"/>
        <w:contextualSpacing/>
        <w:rPr>
          <w:rFonts w:cs="Arial"/>
        </w:rPr>
      </w:pPr>
      <w:r w:rsidRPr="000F7E56">
        <w:rPr>
          <w:rFonts w:cs="Arial"/>
        </w:rPr>
        <w:t>How can professionals recognise and respond to the diversity of faith and cultural practices as well as the heterogeneity of beliefs and preferences relating to end-of-life between</w:t>
      </w:r>
      <w:r w:rsidR="00401A2F">
        <w:rPr>
          <w:rFonts w:cs="Arial"/>
        </w:rPr>
        <w:t xml:space="preserve"> individuals</w:t>
      </w:r>
      <w:r w:rsidRPr="000F7E56">
        <w:rPr>
          <w:rFonts w:cs="Arial"/>
        </w:rPr>
        <w:t xml:space="preserve"> ?</w:t>
      </w:r>
    </w:p>
    <w:p w14:paraId="185D730C" w14:textId="77777777" w:rsidR="00802C61" w:rsidRPr="00802C61" w:rsidRDefault="00802C61" w:rsidP="00802C61">
      <w:pPr>
        <w:pStyle w:val="ListParagraph"/>
        <w:numPr>
          <w:ilvl w:val="0"/>
          <w:numId w:val="14"/>
        </w:numPr>
        <w:rPr>
          <w:rFonts w:cs="Arial"/>
        </w:rPr>
      </w:pPr>
      <w:r w:rsidRPr="00802C61">
        <w:rPr>
          <w:rFonts w:cs="Arial"/>
        </w:rPr>
        <w:t>How can conversations be most effectively conducted where translation is required  to enhance patient understanding.</w:t>
      </w:r>
    </w:p>
    <w:p w14:paraId="000B2AF1" w14:textId="77777777" w:rsidR="00EF1968" w:rsidRDefault="00EF1968" w:rsidP="00EF1968">
      <w:pPr>
        <w:spacing w:after="120" w:line="360" w:lineRule="auto"/>
        <w:contextualSpacing/>
        <w:rPr>
          <w:rFonts w:cs="Arial"/>
        </w:rPr>
      </w:pPr>
    </w:p>
    <w:p w14:paraId="5D38AE81" w14:textId="185B424C" w:rsidR="00EF1968" w:rsidRPr="00D74EFC" w:rsidRDefault="00EF1968" w:rsidP="00D74EFC">
      <w:pPr>
        <w:spacing w:after="120" w:line="360" w:lineRule="auto"/>
        <w:contextualSpacing/>
        <w:rPr>
          <w:rFonts w:cs="Arial"/>
          <w:color w:val="4472C4" w:themeColor="accent1"/>
        </w:rPr>
      </w:pPr>
      <w:r w:rsidRPr="00D74EFC">
        <w:rPr>
          <w:rFonts w:cs="Arial"/>
          <w:color w:val="4472C4" w:themeColor="accent1"/>
        </w:rPr>
        <w:t>Limitations</w:t>
      </w:r>
    </w:p>
    <w:p w14:paraId="1D52CA24" w14:textId="5C9288E0" w:rsidR="000F7E56" w:rsidRPr="000F7E56" w:rsidRDefault="001372CC" w:rsidP="00D74EFC">
      <w:pPr>
        <w:spacing w:after="120" w:line="360" w:lineRule="auto"/>
        <w:contextualSpacing/>
        <w:rPr>
          <w:color w:val="4472C4" w:themeColor="accent1"/>
        </w:rPr>
      </w:pPr>
      <w:r w:rsidRPr="00BD2106">
        <w:rPr>
          <w:rFonts w:cstheme="minorHAnsi"/>
        </w:rPr>
        <w:t xml:space="preserve">We have tried to include </w:t>
      </w:r>
      <w:r>
        <w:rPr>
          <w:rFonts w:cstheme="minorHAnsi"/>
        </w:rPr>
        <w:t xml:space="preserve">a </w:t>
      </w:r>
      <w:r w:rsidRPr="00BD2106">
        <w:rPr>
          <w:rFonts w:cstheme="minorHAnsi"/>
        </w:rPr>
        <w:t xml:space="preserve">broad ethnic diversity in the sample but acknowledge that we could not include all </w:t>
      </w:r>
      <w:proofErr w:type="spellStart"/>
      <w:r w:rsidRPr="00BD2106">
        <w:rPr>
          <w:rFonts w:cstheme="minorHAnsi"/>
        </w:rPr>
        <w:t>groups</w:t>
      </w:r>
      <w:r w:rsidR="008856FA">
        <w:rPr>
          <w:rFonts w:cstheme="minorHAnsi"/>
        </w:rPr>
        <w:t>.</w:t>
      </w:r>
      <w:r w:rsidR="000F7E56" w:rsidRPr="000F7E56">
        <w:rPr>
          <w:color w:val="4472C4" w:themeColor="accent1"/>
        </w:rPr>
        <w:t>Funding</w:t>
      </w:r>
      <w:proofErr w:type="spellEnd"/>
    </w:p>
    <w:p w14:paraId="0C21971B" w14:textId="6ACD592E" w:rsidR="000F7E56" w:rsidRDefault="000F7E56" w:rsidP="000F7E56">
      <w:pPr>
        <w:spacing w:after="120" w:line="360" w:lineRule="auto"/>
        <w:rPr>
          <w:sz w:val="24"/>
          <w:szCs w:val="24"/>
        </w:rPr>
      </w:pPr>
      <w:r w:rsidRPr="000F7E56">
        <w:rPr>
          <w:rFonts w:eastAsia="Times New Roman"/>
          <w:color w:val="333333"/>
          <w:sz w:val="24"/>
          <w:szCs w:val="24"/>
          <w:lang w:val="en"/>
        </w:rPr>
        <w:t xml:space="preserve">This project was funded by the National Institute for Health Research (NIHR) HS&amp;DR </w:t>
      </w:r>
      <w:proofErr w:type="spellStart"/>
      <w:r w:rsidRPr="000F7E56">
        <w:rPr>
          <w:rFonts w:eastAsia="Times New Roman"/>
          <w:color w:val="333333"/>
          <w:sz w:val="24"/>
          <w:szCs w:val="24"/>
          <w:lang w:val="en"/>
        </w:rPr>
        <w:t>programme</w:t>
      </w:r>
      <w:proofErr w:type="spellEnd"/>
      <w:r w:rsidRPr="000F7E56">
        <w:rPr>
          <w:rFonts w:eastAsia="Times New Roman"/>
          <w:color w:val="333333"/>
          <w:sz w:val="24"/>
          <w:szCs w:val="24"/>
          <w:lang w:val="en"/>
        </w:rPr>
        <w:t xml:space="preserve"> (</w:t>
      </w:r>
      <w:r w:rsidRPr="000F7E56">
        <w:rPr>
          <w:sz w:val="24"/>
          <w:szCs w:val="24"/>
        </w:rPr>
        <w:t xml:space="preserve">Ref: 124594 17/05/30) </w:t>
      </w:r>
    </w:p>
    <w:p w14:paraId="417C7FD4" w14:textId="77777777" w:rsidR="00F259A8" w:rsidRPr="00F74B53" w:rsidRDefault="00F259A8" w:rsidP="00F259A8">
      <w:pPr>
        <w:pBdr>
          <w:top w:val="nil"/>
          <w:left w:val="nil"/>
          <w:bottom w:val="nil"/>
          <w:right w:val="nil"/>
          <w:between w:val="nil"/>
          <w:bar w:val="nil"/>
        </w:pBdr>
        <w:spacing w:before="160" w:after="120" w:line="360" w:lineRule="auto"/>
        <w:rPr>
          <w:rFonts w:eastAsia="Helvetica Neue" w:cstheme="minorHAnsi"/>
          <w:bdr w:val="nil"/>
          <w:lang w:eastAsia="en-GB"/>
          <w14:textOutline w14:w="0" w14:cap="flat" w14:cmpd="sng" w14:algn="ctr">
            <w14:noFill/>
            <w14:prstDash w14:val="solid"/>
            <w14:bevel/>
          </w14:textOutline>
        </w:rPr>
      </w:pPr>
      <w:r w:rsidRPr="00F74B53">
        <w:rPr>
          <w:rFonts w:eastAsia="Times New Roman" w:cstheme="minorHAnsi"/>
          <w:bdr w:val="nil"/>
          <w:lang w:eastAsia="en-GB"/>
          <w14:textOutline w14:w="0" w14:cap="flat" w14:cmpd="sng" w14:algn="ctr">
            <w14:noFill/>
            <w14:prstDash w14:val="solid"/>
            <w14:bevel/>
          </w14:textOutline>
        </w:rPr>
        <w:t>The study is registered on the research registry (</w:t>
      </w:r>
      <w:r w:rsidRPr="00F74B53">
        <w:rPr>
          <w:rFonts w:eastAsia="Helvetica Neue" w:cstheme="minorHAnsi"/>
          <w:bdr w:val="nil"/>
          <w:lang w:eastAsia="en-GB"/>
          <w14:textOutline w14:w="0" w14:cap="flat" w14:cmpd="sng" w14:algn="ctr">
            <w14:noFill/>
            <w14:prstDash w14:val="solid"/>
            <w14:bevel/>
          </w14:textOutline>
        </w:rPr>
        <w:t>researchregistry6161)</w:t>
      </w:r>
    </w:p>
    <w:p w14:paraId="62E33531" w14:textId="77777777" w:rsidR="00F259A8" w:rsidRPr="000F7E56" w:rsidRDefault="00F259A8" w:rsidP="000F7E56">
      <w:pPr>
        <w:spacing w:after="120" w:line="360" w:lineRule="auto"/>
        <w:rPr>
          <w:sz w:val="24"/>
          <w:szCs w:val="24"/>
        </w:rPr>
      </w:pPr>
    </w:p>
    <w:p w14:paraId="7FAE99FB" w14:textId="77777777" w:rsidR="000F7E56" w:rsidRPr="000F7E56" w:rsidRDefault="000F7E56" w:rsidP="000F7E56">
      <w:r w:rsidRPr="000F7E56">
        <w:br w:type="page"/>
      </w:r>
    </w:p>
    <w:p w14:paraId="685634B5" w14:textId="77777777" w:rsidR="000F7E56" w:rsidRPr="000F7E56" w:rsidRDefault="000F7E56" w:rsidP="000F7E56">
      <w:pPr>
        <w:keepNext/>
        <w:keepLines/>
        <w:spacing w:before="320" w:after="120" w:line="240" w:lineRule="auto"/>
        <w:jc w:val="center"/>
        <w:outlineLvl w:val="0"/>
        <w:rPr>
          <w:rFonts w:ascii="Calibri Light" w:eastAsia="SimSun" w:hAnsi="Calibri Light" w:cs="Times New Roman"/>
          <w:color w:val="2E74B5"/>
          <w:sz w:val="56"/>
          <w:szCs w:val="32"/>
          <w:lang w:eastAsia="en-GB"/>
        </w:rPr>
      </w:pPr>
      <w:bookmarkStart w:id="8" w:name="_Toc38365566"/>
      <w:bookmarkStart w:id="9" w:name="_Toc106697749"/>
      <w:bookmarkStart w:id="10" w:name="_Hlk90048158"/>
      <w:r w:rsidRPr="000F7E56">
        <w:rPr>
          <w:rFonts w:ascii="Calibri Light" w:eastAsia="SimSun" w:hAnsi="Calibri Light" w:cs="Times New Roman"/>
          <w:color w:val="2E74B5"/>
          <w:sz w:val="56"/>
          <w:szCs w:val="32"/>
          <w:lang w:eastAsia="en-GB"/>
        </w:rPr>
        <w:lastRenderedPageBreak/>
        <w:t xml:space="preserve">Plain English </w:t>
      </w:r>
      <w:r w:rsidRPr="000F7E56">
        <w:rPr>
          <w:rFonts w:ascii="Calibri Light" w:eastAsia="SimSun" w:hAnsi="Calibri Light" w:cs="Times New Roman"/>
          <w:color w:val="2E74B5"/>
          <w:sz w:val="56"/>
          <w:szCs w:val="32"/>
        </w:rPr>
        <w:t>Summary</w:t>
      </w:r>
      <w:bookmarkEnd w:id="8"/>
      <w:bookmarkEnd w:id="9"/>
    </w:p>
    <w:bookmarkEnd w:id="10"/>
    <w:p w14:paraId="4E30EDC7" w14:textId="77777777" w:rsidR="000F7E56" w:rsidRPr="000F7E56" w:rsidRDefault="000F7E56" w:rsidP="000F7E56">
      <w:pPr>
        <w:spacing w:line="360" w:lineRule="auto"/>
      </w:pPr>
    </w:p>
    <w:p w14:paraId="461EC5F5" w14:textId="5DFC2A6E" w:rsidR="000F7E56" w:rsidRPr="000F7E56" w:rsidRDefault="000F7E56" w:rsidP="000F7E56">
      <w:pPr>
        <w:spacing w:after="120" w:line="360" w:lineRule="auto"/>
        <w:rPr>
          <w:sz w:val="24"/>
          <w:szCs w:val="24"/>
        </w:rPr>
      </w:pPr>
      <w:r w:rsidRPr="000F7E56">
        <w:rPr>
          <w:sz w:val="24"/>
          <w:szCs w:val="24"/>
        </w:rPr>
        <w:t xml:space="preserve">This study explored the experiences of terminally ill patients and their families from </w:t>
      </w:r>
      <w:r w:rsidR="00031D5C">
        <w:rPr>
          <w:sz w:val="24"/>
          <w:szCs w:val="24"/>
        </w:rPr>
        <w:t xml:space="preserve">different </w:t>
      </w:r>
      <w:r w:rsidRPr="000F7E56">
        <w:rPr>
          <w:sz w:val="24"/>
          <w:szCs w:val="24"/>
        </w:rPr>
        <w:t xml:space="preserve"> ethnic backgrounds and whether and how they think ahead about </w:t>
      </w:r>
      <w:r w:rsidR="00205777">
        <w:rPr>
          <w:sz w:val="24"/>
          <w:szCs w:val="24"/>
        </w:rPr>
        <w:t xml:space="preserve">their health getting worse </w:t>
      </w:r>
      <w:r w:rsidRPr="000F7E56">
        <w:rPr>
          <w:sz w:val="24"/>
          <w:szCs w:val="24"/>
        </w:rPr>
        <w:t xml:space="preserve">and dying. </w:t>
      </w:r>
      <w:r w:rsidR="007E1714">
        <w:rPr>
          <w:sz w:val="24"/>
          <w:szCs w:val="24"/>
        </w:rPr>
        <w:t>It i</w:t>
      </w:r>
      <w:r w:rsidR="0015325B">
        <w:rPr>
          <w:sz w:val="24"/>
          <w:szCs w:val="24"/>
        </w:rPr>
        <w:t>n</w:t>
      </w:r>
      <w:r w:rsidR="007E1714">
        <w:rPr>
          <w:sz w:val="24"/>
          <w:szCs w:val="24"/>
        </w:rPr>
        <w:t>cluded</w:t>
      </w:r>
      <w:r w:rsidRPr="000F7E56">
        <w:rPr>
          <w:rFonts w:cstheme="majorHAnsi"/>
          <w:sz w:val="24"/>
          <w:szCs w:val="24"/>
        </w:rPr>
        <w:t xml:space="preserve"> 93 interviews </w:t>
      </w:r>
      <w:r w:rsidR="0015325B">
        <w:rPr>
          <w:rFonts w:cstheme="majorHAnsi"/>
          <w:sz w:val="24"/>
          <w:szCs w:val="24"/>
        </w:rPr>
        <w:t>from</w:t>
      </w:r>
      <w:r w:rsidRPr="000F7E56">
        <w:rPr>
          <w:rFonts w:cstheme="majorHAnsi"/>
          <w:sz w:val="24"/>
          <w:szCs w:val="24"/>
        </w:rPr>
        <w:t xml:space="preserve"> </w:t>
      </w:r>
      <w:r w:rsidRPr="000F7E56">
        <w:rPr>
          <w:sz w:val="24"/>
          <w:szCs w:val="24"/>
        </w:rPr>
        <w:t>18 patient case studies,</w:t>
      </w:r>
      <w:r w:rsidR="00166E7A">
        <w:rPr>
          <w:sz w:val="24"/>
          <w:szCs w:val="24"/>
        </w:rPr>
        <w:t xml:space="preserve"> </w:t>
      </w:r>
      <w:r w:rsidRPr="000F7E56">
        <w:rPr>
          <w:sz w:val="24"/>
          <w:szCs w:val="24"/>
        </w:rPr>
        <w:t xml:space="preserve">19 </w:t>
      </w:r>
      <w:r w:rsidR="0015325B">
        <w:rPr>
          <w:sz w:val="24"/>
          <w:szCs w:val="24"/>
        </w:rPr>
        <w:t xml:space="preserve">interviews with </w:t>
      </w:r>
      <w:r w:rsidRPr="000F7E56">
        <w:rPr>
          <w:sz w:val="24"/>
          <w:szCs w:val="24"/>
        </w:rPr>
        <w:t>bereaved family care givers and workshops with 50 public and professional stakeholders.</w:t>
      </w:r>
    </w:p>
    <w:p w14:paraId="259D199A" w14:textId="443F8652" w:rsidR="000F7E56" w:rsidRPr="000F7E56" w:rsidRDefault="00B34D84" w:rsidP="000F7E56">
      <w:pPr>
        <w:spacing w:after="120" w:line="360" w:lineRule="auto"/>
        <w:rPr>
          <w:sz w:val="24"/>
          <w:szCs w:val="24"/>
        </w:rPr>
      </w:pPr>
      <w:r>
        <w:rPr>
          <w:rFonts w:cs="Arial"/>
          <w:sz w:val="24"/>
          <w:szCs w:val="24"/>
        </w:rPr>
        <w:t xml:space="preserve">Most </w:t>
      </w:r>
      <w:r w:rsidR="000F7E56" w:rsidRPr="000F7E56">
        <w:rPr>
          <w:rFonts w:cs="Arial"/>
          <w:sz w:val="24"/>
          <w:szCs w:val="24"/>
        </w:rPr>
        <w:t>patients and their family care givers live</w:t>
      </w:r>
      <w:r>
        <w:rPr>
          <w:rFonts w:cs="Arial"/>
          <w:sz w:val="24"/>
          <w:szCs w:val="24"/>
        </w:rPr>
        <w:t>d</w:t>
      </w:r>
      <w:r w:rsidR="000F7E56" w:rsidRPr="000F7E56">
        <w:rPr>
          <w:rFonts w:cs="Arial"/>
          <w:sz w:val="24"/>
          <w:szCs w:val="24"/>
        </w:rPr>
        <w:t xml:space="preserve"> with hope, the future only considered in terms of practical matters of wills and funerals rather than thinking about becoming less well and dying which, for some, was counter to their beliefs.  Family duty and community expectations </w:t>
      </w:r>
      <w:r w:rsidR="00205777">
        <w:rPr>
          <w:rFonts w:cs="Arial"/>
          <w:sz w:val="24"/>
          <w:szCs w:val="24"/>
        </w:rPr>
        <w:t>stopped</w:t>
      </w:r>
      <w:r w:rsidR="000F7E56" w:rsidRPr="000F7E56">
        <w:rPr>
          <w:rFonts w:cs="Arial"/>
          <w:sz w:val="24"/>
          <w:szCs w:val="24"/>
        </w:rPr>
        <w:t xml:space="preserve"> some participants from seeking additional support.  </w:t>
      </w:r>
      <w:r w:rsidR="0015325B">
        <w:rPr>
          <w:rFonts w:cs="Arial"/>
          <w:sz w:val="24"/>
          <w:szCs w:val="24"/>
        </w:rPr>
        <w:t>However</w:t>
      </w:r>
      <w:r w:rsidR="000F7E56" w:rsidRPr="000F7E56">
        <w:rPr>
          <w:rFonts w:cs="Arial"/>
          <w:sz w:val="24"/>
          <w:szCs w:val="24"/>
        </w:rPr>
        <w:t>, w</w:t>
      </w:r>
      <w:r w:rsidR="000F7E56" w:rsidRPr="000F7E56">
        <w:rPr>
          <w:sz w:val="24"/>
          <w:szCs w:val="24"/>
        </w:rPr>
        <w:t xml:space="preserve">here the family </w:t>
      </w:r>
      <w:r w:rsidR="00205777">
        <w:rPr>
          <w:sz w:val="24"/>
          <w:szCs w:val="24"/>
        </w:rPr>
        <w:t xml:space="preserve">did not know </w:t>
      </w:r>
      <w:r w:rsidR="000F7E56" w:rsidRPr="000F7E56">
        <w:rPr>
          <w:sz w:val="24"/>
          <w:szCs w:val="24"/>
        </w:rPr>
        <w:t>how gravely ill the patient was the</w:t>
      </w:r>
      <w:r w:rsidR="00B3043D">
        <w:rPr>
          <w:sz w:val="24"/>
          <w:szCs w:val="24"/>
        </w:rPr>
        <w:t>ir</w:t>
      </w:r>
      <w:r w:rsidR="000F7E56" w:rsidRPr="000F7E56">
        <w:rPr>
          <w:sz w:val="24"/>
          <w:szCs w:val="24"/>
        </w:rPr>
        <w:t xml:space="preserve"> unexpected de</w:t>
      </w:r>
      <w:r w:rsidR="00205777">
        <w:rPr>
          <w:sz w:val="24"/>
          <w:szCs w:val="24"/>
        </w:rPr>
        <w:t>cline</w:t>
      </w:r>
      <w:r w:rsidR="000F7E56" w:rsidRPr="000F7E56">
        <w:rPr>
          <w:sz w:val="24"/>
          <w:szCs w:val="24"/>
        </w:rPr>
        <w:t xml:space="preserve"> and death could be a devastating experience, with regret that they had been denied the chance to prepare and to make the best use of the time.  </w:t>
      </w:r>
      <w:r w:rsidR="00205777" w:rsidRPr="000F7E56">
        <w:rPr>
          <w:rFonts w:cs="Arial"/>
          <w:sz w:val="24"/>
          <w:szCs w:val="24"/>
        </w:rPr>
        <w:t>Health care professionals</w:t>
      </w:r>
      <w:r w:rsidR="00205777">
        <w:rPr>
          <w:rFonts w:cs="Arial"/>
          <w:sz w:val="24"/>
          <w:szCs w:val="24"/>
        </w:rPr>
        <w:t xml:space="preserve"> (HCPs) </w:t>
      </w:r>
      <w:r w:rsidR="00205777" w:rsidRPr="000F7E56">
        <w:rPr>
          <w:rFonts w:cs="Arial"/>
          <w:sz w:val="24"/>
          <w:szCs w:val="24"/>
        </w:rPr>
        <w:t xml:space="preserve"> appear to feature little in people’s </w:t>
      </w:r>
      <w:proofErr w:type="spellStart"/>
      <w:r w:rsidR="00205777" w:rsidRPr="000F7E56">
        <w:rPr>
          <w:rFonts w:cs="Arial"/>
          <w:sz w:val="24"/>
          <w:szCs w:val="24"/>
        </w:rPr>
        <w:t>lives</w:t>
      </w:r>
      <w:r w:rsidR="00B3043D">
        <w:rPr>
          <w:rFonts w:cs="Arial"/>
          <w:sz w:val="24"/>
          <w:szCs w:val="24"/>
        </w:rPr>
        <w:t>.S</w:t>
      </w:r>
      <w:r w:rsidR="00205777" w:rsidRPr="000F7E56">
        <w:rPr>
          <w:rFonts w:cs="Arial"/>
          <w:sz w:val="24"/>
          <w:szCs w:val="24"/>
        </w:rPr>
        <w:t>ome</w:t>
      </w:r>
      <w:proofErr w:type="spellEnd"/>
      <w:r w:rsidR="00205777" w:rsidRPr="000F7E56">
        <w:rPr>
          <w:rFonts w:cs="Arial"/>
          <w:sz w:val="24"/>
          <w:szCs w:val="24"/>
        </w:rPr>
        <w:t xml:space="preserve"> participants indicated a lack of trust and </w:t>
      </w:r>
      <w:r w:rsidR="00B3043D">
        <w:rPr>
          <w:rFonts w:cs="Arial"/>
          <w:sz w:val="24"/>
          <w:szCs w:val="24"/>
        </w:rPr>
        <w:t xml:space="preserve">a poor </w:t>
      </w:r>
      <w:r w:rsidR="00205777" w:rsidRPr="000F7E56">
        <w:rPr>
          <w:rFonts w:cs="Arial"/>
          <w:sz w:val="24"/>
          <w:szCs w:val="24"/>
        </w:rPr>
        <w:t xml:space="preserve">experience of health care </w:t>
      </w:r>
      <w:r w:rsidR="004E2A13">
        <w:rPr>
          <w:rFonts w:cs="Arial"/>
          <w:sz w:val="24"/>
          <w:szCs w:val="24"/>
        </w:rPr>
        <w:t xml:space="preserve">but </w:t>
      </w:r>
      <w:r w:rsidR="007356A0">
        <w:rPr>
          <w:rFonts w:cs="Arial"/>
          <w:sz w:val="24"/>
          <w:szCs w:val="24"/>
        </w:rPr>
        <w:t xml:space="preserve">others </w:t>
      </w:r>
      <w:r w:rsidR="004E2A13">
        <w:rPr>
          <w:rFonts w:cs="Arial"/>
          <w:sz w:val="24"/>
          <w:szCs w:val="24"/>
        </w:rPr>
        <w:t xml:space="preserve"> talked of good experiences.</w:t>
      </w:r>
      <w:r w:rsidR="00205777" w:rsidRPr="000F7E56">
        <w:rPr>
          <w:rFonts w:cs="Arial"/>
          <w:sz w:val="24"/>
          <w:szCs w:val="24"/>
        </w:rPr>
        <w:t>.</w:t>
      </w:r>
    </w:p>
    <w:p w14:paraId="16EBFB5F" w14:textId="2EEDAFC1" w:rsidR="000F7E56" w:rsidRPr="000F7E56" w:rsidRDefault="000F7E56" w:rsidP="000F7E56">
      <w:pPr>
        <w:spacing w:after="120" w:line="360" w:lineRule="auto"/>
        <w:rPr>
          <w:sz w:val="24"/>
          <w:szCs w:val="24"/>
        </w:rPr>
      </w:pPr>
      <w:r w:rsidRPr="000F7E56">
        <w:rPr>
          <w:rFonts w:cs="Arial"/>
          <w:sz w:val="24"/>
          <w:szCs w:val="24"/>
        </w:rPr>
        <w:t xml:space="preserve">People </w:t>
      </w:r>
      <w:r w:rsidR="004F7602">
        <w:rPr>
          <w:rFonts w:cs="Arial"/>
          <w:sz w:val="24"/>
          <w:szCs w:val="24"/>
        </w:rPr>
        <w:t>want</w:t>
      </w:r>
      <w:r w:rsidR="004F7602" w:rsidRPr="000F7E56">
        <w:rPr>
          <w:rFonts w:cs="Arial"/>
          <w:sz w:val="24"/>
          <w:szCs w:val="24"/>
        </w:rPr>
        <w:t xml:space="preserve"> </w:t>
      </w:r>
      <w:r w:rsidRPr="000F7E56">
        <w:rPr>
          <w:rFonts w:cs="Arial"/>
          <w:sz w:val="24"/>
          <w:szCs w:val="24"/>
        </w:rPr>
        <w:t>care that is personal</w:t>
      </w:r>
      <w:r w:rsidR="004F7602">
        <w:rPr>
          <w:rFonts w:cs="Arial"/>
          <w:sz w:val="24"/>
          <w:szCs w:val="24"/>
        </w:rPr>
        <w:t xml:space="preserve"> to them</w:t>
      </w:r>
      <w:r w:rsidR="00205777">
        <w:rPr>
          <w:rFonts w:cs="Arial"/>
          <w:sz w:val="24"/>
          <w:szCs w:val="24"/>
        </w:rPr>
        <w:t xml:space="preserve"> and</w:t>
      </w:r>
      <w:r w:rsidR="00E77740">
        <w:rPr>
          <w:rFonts w:cs="Arial"/>
          <w:sz w:val="24"/>
          <w:szCs w:val="24"/>
        </w:rPr>
        <w:t xml:space="preserve"> </w:t>
      </w:r>
      <w:r w:rsidRPr="000F7E56">
        <w:rPr>
          <w:rFonts w:cs="Arial"/>
          <w:sz w:val="24"/>
          <w:szCs w:val="24"/>
        </w:rPr>
        <w:t>compassionate</w:t>
      </w:r>
      <w:r w:rsidR="00205777">
        <w:rPr>
          <w:rFonts w:cs="Arial"/>
          <w:sz w:val="24"/>
          <w:szCs w:val="24"/>
        </w:rPr>
        <w:t xml:space="preserve">. This is no different to people from white British backgrounds </w:t>
      </w:r>
      <w:r w:rsidRPr="000F7E56">
        <w:rPr>
          <w:rFonts w:cs="Arial"/>
          <w:sz w:val="24"/>
          <w:szCs w:val="24"/>
        </w:rPr>
        <w:t xml:space="preserve"> and </w:t>
      </w:r>
      <w:r w:rsidR="00205777">
        <w:rPr>
          <w:rFonts w:cs="Arial"/>
          <w:sz w:val="24"/>
          <w:szCs w:val="24"/>
        </w:rPr>
        <w:t xml:space="preserve">supports the </w:t>
      </w:r>
      <w:r w:rsidR="00892E04">
        <w:rPr>
          <w:rFonts w:cs="Arial"/>
          <w:sz w:val="24"/>
          <w:szCs w:val="24"/>
        </w:rPr>
        <w:t xml:space="preserve">use of </w:t>
      </w:r>
      <w:r w:rsidRPr="000F7E56">
        <w:rPr>
          <w:rFonts w:cs="Arial"/>
          <w:sz w:val="24"/>
          <w:szCs w:val="24"/>
        </w:rPr>
        <w:t xml:space="preserve">different </w:t>
      </w:r>
      <w:r w:rsidR="00892E04">
        <w:rPr>
          <w:rFonts w:cs="Arial"/>
          <w:sz w:val="24"/>
          <w:szCs w:val="24"/>
        </w:rPr>
        <w:t xml:space="preserve">physical, social, spiritual and psychological care </w:t>
      </w:r>
      <w:r w:rsidRPr="000F7E56">
        <w:rPr>
          <w:rFonts w:cs="Arial"/>
          <w:sz w:val="24"/>
          <w:szCs w:val="24"/>
        </w:rPr>
        <w:t>framework</w:t>
      </w:r>
      <w:r w:rsidR="00205777">
        <w:rPr>
          <w:rFonts w:cs="Arial"/>
          <w:sz w:val="24"/>
          <w:szCs w:val="24"/>
        </w:rPr>
        <w:t>s</w:t>
      </w:r>
      <w:r w:rsidRPr="000F7E56">
        <w:rPr>
          <w:rFonts w:cs="Arial"/>
          <w:sz w:val="24"/>
          <w:szCs w:val="24"/>
        </w:rPr>
        <w:t xml:space="preserve"> </w:t>
      </w:r>
      <w:r w:rsidR="00892E04">
        <w:rPr>
          <w:rFonts w:cs="Arial"/>
          <w:sz w:val="24"/>
          <w:szCs w:val="24"/>
        </w:rPr>
        <w:t xml:space="preserve">used in palliative care </w:t>
      </w:r>
      <w:r w:rsidR="00205777">
        <w:rPr>
          <w:rFonts w:cs="Arial"/>
          <w:sz w:val="24"/>
          <w:szCs w:val="24"/>
        </w:rPr>
        <w:t>t</w:t>
      </w:r>
      <w:r w:rsidR="004E2A13">
        <w:rPr>
          <w:rFonts w:cs="Arial"/>
          <w:sz w:val="24"/>
          <w:szCs w:val="24"/>
        </w:rPr>
        <w:t>o</w:t>
      </w:r>
      <w:r w:rsidR="00205777">
        <w:rPr>
          <w:rFonts w:cs="Arial"/>
          <w:sz w:val="24"/>
          <w:szCs w:val="24"/>
        </w:rPr>
        <w:t xml:space="preserve"> </w:t>
      </w:r>
      <w:r w:rsidRPr="000F7E56">
        <w:rPr>
          <w:rFonts w:cs="Arial"/>
          <w:sz w:val="24"/>
          <w:szCs w:val="24"/>
        </w:rPr>
        <w:t xml:space="preserve"> address the </w:t>
      </w:r>
      <w:r w:rsidR="00892E04">
        <w:rPr>
          <w:rFonts w:cs="Arial"/>
          <w:sz w:val="24"/>
          <w:szCs w:val="24"/>
        </w:rPr>
        <w:t xml:space="preserve">individual </w:t>
      </w:r>
      <w:r w:rsidRPr="000F7E56">
        <w:rPr>
          <w:rFonts w:cs="Arial"/>
          <w:sz w:val="24"/>
          <w:szCs w:val="24"/>
        </w:rPr>
        <w:t>needs of patients and families</w:t>
      </w:r>
      <w:r w:rsidR="00205777">
        <w:rPr>
          <w:rFonts w:cs="Arial"/>
          <w:sz w:val="24"/>
          <w:szCs w:val="24"/>
        </w:rPr>
        <w:t>.</w:t>
      </w:r>
      <w:r w:rsidRPr="000F7E56">
        <w:rPr>
          <w:rFonts w:cs="Arial"/>
          <w:sz w:val="24"/>
          <w:szCs w:val="24"/>
        </w:rPr>
        <w:t xml:space="preserve">  However, HCPs </w:t>
      </w:r>
      <w:r w:rsidR="004F7602">
        <w:rPr>
          <w:rFonts w:cs="Arial"/>
          <w:sz w:val="24"/>
          <w:szCs w:val="24"/>
        </w:rPr>
        <w:t>need</w:t>
      </w:r>
      <w:r w:rsidRPr="000F7E56">
        <w:rPr>
          <w:rFonts w:cs="Arial"/>
          <w:sz w:val="24"/>
          <w:szCs w:val="24"/>
        </w:rPr>
        <w:t xml:space="preserve"> additional skills to navigate complex, sensitive communication</w:t>
      </w:r>
      <w:r w:rsidR="00892E04">
        <w:rPr>
          <w:rFonts w:cs="Arial"/>
          <w:sz w:val="24"/>
          <w:szCs w:val="24"/>
        </w:rPr>
        <w:t xml:space="preserve"> and enquire about </w:t>
      </w:r>
      <w:r w:rsidR="004E2A13">
        <w:rPr>
          <w:rFonts w:cs="Arial"/>
          <w:sz w:val="24"/>
          <w:szCs w:val="24"/>
        </w:rPr>
        <w:t xml:space="preserve">aspects of </w:t>
      </w:r>
      <w:r w:rsidR="00892E04">
        <w:rPr>
          <w:rFonts w:cs="Arial"/>
          <w:sz w:val="24"/>
          <w:szCs w:val="24"/>
        </w:rPr>
        <w:t>people’s lives that may be unfamiliar</w:t>
      </w:r>
      <w:r w:rsidRPr="000F7E56">
        <w:rPr>
          <w:rFonts w:cs="Arial"/>
          <w:sz w:val="24"/>
          <w:szCs w:val="24"/>
        </w:rPr>
        <w:t>.</w:t>
      </w:r>
      <w:r w:rsidRPr="000F7E56">
        <w:rPr>
          <w:sz w:val="24"/>
          <w:szCs w:val="24"/>
        </w:rPr>
        <w:t xml:space="preserve"> Personalising care require</w:t>
      </w:r>
      <w:r w:rsidR="00892E04">
        <w:rPr>
          <w:sz w:val="24"/>
          <w:szCs w:val="24"/>
        </w:rPr>
        <w:t>s</w:t>
      </w:r>
      <w:r w:rsidRPr="000F7E56">
        <w:rPr>
          <w:sz w:val="24"/>
          <w:szCs w:val="24"/>
        </w:rPr>
        <w:t xml:space="preserve"> </w:t>
      </w:r>
      <w:r w:rsidR="00892E04">
        <w:rPr>
          <w:sz w:val="24"/>
          <w:szCs w:val="24"/>
        </w:rPr>
        <w:t xml:space="preserve">HCPs to </w:t>
      </w:r>
      <w:r w:rsidRPr="000F7E56">
        <w:rPr>
          <w:sz w:val="24"/>
          <w:szCs w:val="24"/>
        </w:rPr>
        <w:t xml:space="preserve"> get to ‘know’ the person</w:t>
      </w:r>
      <w:r w:rsidR="00892E04">
        <w:rPr>
          <w:sz w:val="24"/>
          <w:szCs w:val="24"/>
        </w:rPr>
        <w:t xml:space="preserve"> and d</w:t>
      </w:r>
      <w:r w:rsidRPr="000F7E56">
        <w:rPr>
          <w:sz w:val="24"/>
          <w:szCs w:val="24"/>
        </w:rPr>
        <w:t xml:space="preserve">evelop  </w:t>
      </w:r>
      <w:r w:rsidRPr="000F7E56">
        <w:rPr>
          <w:rFonts w:cs="Arial"/>
          <w:sz w:val="24"/>
          <w:szCs w:val="24"/>
        </w:rPr>
        <w:t xml:space="preserve">confidence and skills </w:t>
      </w:r>
      <w:r w:rsidR="009601D8">
        <w:rPr>
          <w:rFonts w:cs="Arial"/>
          <w:sz w:val="24"/>
          <w:szCs w:val="24"/>
        </w:rPr>
        <w:t xml:space="preserve"> to </w:t>
      </w:r>
      <w:r w:rsidRPr="000F7E56">
        <w:rPr>
          <w:rFonts w:cs="Arial"/>
          <w:sz w:val="24"/>
          <w:szCs w:val="24"/>
        </w:rPr>
        <w:t>supporting p</w:t>
      </w:r>
      <w:r w:rsidR="00271048">
        <w:rPr>
          <w:rFonts w:cs="Arial"/>
          <w:sz w:val="24"/>
          <w:szCs w:val="24"/>
        </w:rPr>
        <w:t xml:space="preserve">atients and their families. </w:t>
      </w:r>
      <w:r w:rsidR="009F071D">
        <w:rPr>
          <w:rFonts w:cs="Arial"/>
          <w:sz w:val="24"/>
          <w:szCs w:val="24"/>
        </w:rPr>
        <w:t>T</w:t>
      </w:r>
      <w:r w:rsidR="009F071D" w:rsidRPr="000F7E56">
        <w:rPr>
          <w:rFonts w:cs="Arial"/>
          <w:sz w:val="24"/>
          <w:szCs w:val="24"/>
        </w:rPr>
        <w:t>raining</w:t>
      </w:r>
      <w:r w:rsidR="009F071D">
        <w:rPr>
          <w:rFonts w:cs="Arial"/>
          <w:sz w:val="24"/>
          <w:szCs w:val="24"/>
        </w:rPr>
        <w:t>, u</w:t>
      </w:r>
      <w:r w:rsidRPr="000F7E56">
        <w:rPr>
          <w:rFonts w:cs="Arial"/>
          <w:sz w:val="24"/>
          <w:szCs w:val="24"/>
        </w:rPr>
        <w:t>sing stories based on our interviews</w:t>
      </w:r>
      <w:r w:rsidR="009F071D">
        <w:rPr>
          <w:rFonts w:cs="Arial"/>
          <w:sz w:val="24"/>
          <w:szCs w:val="24"/>
        </w:rPr>
        <w:t>,</w:t>
      </w:r>
      <w:r w:rsidRPr="000F7E56">
        <w:rPr>
          <w:rFonts w:cs="Arial"/>
          <w:sz w:val="24"/>
          <w:szCs w:val="24"/>
        </w:rPr>
        <w:t xml:space="preserve"> w</w:t>
      </w:r>
      <w:r w:rsidR="009F071D">
        <w:rPr>
          <w:rFonts w:cs="Arial"/>
          <w:sz w:val="24"/>
          <w:szCs w:val="24"/>
        </w:rPr>
        <w:t>as</w:t>
      </w:r>
      <w:r w:rsidRPr="000F7E56">
        <w:rPr>
          <w:rFonts w:cs="Arial"/>
          <w:sz w:val="24"/>
          <w:szCs w:val="24"/>
        </w:rPr>
        <w:t xml:space="preserve"> seen as </w:t>
      </w:r>
      <w:r w:rsidR="00A23AC7">
        <w:rPr>
          <w:rFonts w:cs="Arial"/>
          <w:sz w:val="24"/>
          <w:szCs w:val="24"/>
        </w:rPr>
        <w:t xml:space="preserve">an </w:t>
      </w:r>
      <w:r w:rsidRPr="000F7E56">
        <w:rPr>
          <w:rFonts w:cs="Arial"/>
          <w:sz w:val="24"/>
          <w:szCs w:val="24"/>
        </w:rPr>
        <w:t xml:space="preserve">effective  </w:t>
      </w:r>
      <w:r w:rsidR="009F071D">
        <w:rPr>
          <w:rFonts w:cs="Arial"/>
          <w:sz w:val="24"/>
          <w:szCs w:val="24"/>
        </w:rPr>
        <w:t xml:space="preserve">way </w:t>
      </w:r>
      <w:r w:rsidRPr="000F7E56">
        <w:rPr>
          <w:rFonts w:cs="Arial"/>
          <w:sz w:val="24"/>
          <w:szCs w:val="24"/>
        </w:rPr>
        <w:t xml:space="preserve">to </w:t>
      </w:r>
      <w:r w:rsidR="009F071D">
        <w:rPr>
          <w:rFonts w:cs="Arial"/>
          <w:sz w:val="24"/>
          <w:szCs w:val="24"/>
        </w:rPr>
        <w:t>.</w:t>
      </w:r>
      <w:r w:rsidRPr="000F7E56">
        <w:rPr>
          <w:rFonts w:cs="Arial"/>
          <w:sz w:val="24"/>
          <w:szCs w:val="24"/>
        </w:rPr>
        <w:t xml:space="preserve">support this.  </w:t>
      </w:r>
      <w:r w:rsidR="00970F39" w:rsidRPr="000F7E56">
        <w:rPr>
          <w:sz w:val="24"/>
          <w:szCs w:val="24"/>
        </w:rPr>
        <w:t>Effective communication and</w:t>
      </w:r>
      <w:r w:rsidR="007207F1">
        <w:rPr>
          <w:sz w:val="24"/>
          <w:szCs w:val="24"/>
        </w:rPr>
        <w:t xml:space="preserve"> </w:t>
      </w:r>
      <w:r w:rsidR="008F475D">
        <w:rPr>
          <w:sz w:val="24"/>
          <w:szCs w:val="24"/>
        </w:rPr>
        <w:t xml:space="preserve">information </w:t>
      </w:r>
      <w:r w:rsidR="007207F1">
        <w:rPr>
          <w:sz w:val="24"/>
          <w:szCs w:val="24"/>
        </w:rPr>
        <w:t>s</w:t>
      </w:r>
      <w:r w:rsidR="007207F1" w:rsidRPr="000F7E56">
        <w:rPr>
          <w:sz w:val="24"/>
          <w:szCs w:val="24"/>
        </w:rPr>
        <w:t xml:space="preserve">haring </w:t>
      </w:r>
      <w:r w:rsidR="007207F1">
        <w:rPr>
          <w:sz w:val="24"/>
          <w:szCs w:val="24"/>
        </w:rPr>
        <w:t xml:space="preserve">between </w:t>
      </w:r>
      <w:r w:rsidR="00970F39" w:rsidRPr="000F7E56">
        <w:rPr>
          <w:sz w:val="24"/>
          <w:szCs w:val="24"/>
        </w:rPr>
        <w:t xml:space="preserve">trusted individuals </w:t>
      </w:r>
      <w:proofErr w:type="spellStart"/>
      <w:r w:rsidR="00970F39" w:rsidRPr="000F7E56">
        <w:rPr>
          <w:sz w:val="24"/>
          <w:szCs w:val="24"/>
        </w:rPr>
        <w:t>swas</w:t>
      </w:r>
      <w:proofErr w:type="spellEnd"/>
      <w:r w:rsidR="00970F39" w:rsidRPr="000F7E56">
        <w:rPr>
          <w:sz w:val="24"/>
          <w:szCs w:val="24"/>
        </w:rPr>
        <w:t xml:space="preserve"> seen by stakeholders as</w:t>
      </w:r>
      <w:r w:rsidR="00970F39">
        <w:rPr>
          <w:sz w:val="24"/>
          <w:szCs w:val="24"/>
        </w:rPr>
        <w:t xml:space="preserve"> important</w:t>
      </w:r>
      <w:r w:rsidR="00970F39" w:rsidRPr="000F7E56">
        <w:rPr>
          <w:sz w:val="24"/>
          <w:szCs w:val="24"/>
        </w:rPr>
        <w:t xml:space="preserve"> in </w:t>
      </w:r>
      <w:r w:rsidR="00970F39">
        <w:rPr>
          <w:sz w:val="24"/>
          <w:szCs w:val="24"/>
        </w:rPr>
        <w:t>providing better</w:t>
      </w:r>
      <w:r w:rsidR="00970F39" w:rsidRPr="000F7E56">
        <w:rPr>
          <w:sz w:val="24"/>
          <w:szCs w:val="24"/>
        </w:rPr>
        <w:t xml:space="preserve"> care.  </w:t>
      </w:r>
    </w:p>
    <w:p w14:paraId="7617177E" w14:textId="77777777" w:rsidR="000F7E56" w:rsidRPr="000F7E56" w:rsidRDefault="000F7E56" w:rsidP="000F7E56">
      <w:pPr>
        <w:rPr>
          <w:rFonts w:eastAsiaTheme="minorEastAsia" w:cstheme="minorHAnsi"/>
          <w:b/>
          <w:color w:val="4472C4" w:themeColor="accent1"/>
          <w:sz w:val="36"/>
          <w:szCs w:val="36"/>
        </w:rPr>
      </w:pPr>
      <w:r w:rsidRPr="000F7E56">
        <w:rPr>
          <w:rFonts w:eastAsiaTheme="minorEastAsia" w:cstheme="minorHAnsi"/>
          <w:b/>
          <w:color w:val="4472C4" w:themeColor="accent1"/>
          <w:sz w:val="36"/>
          <w:szCs w:val="36"/>
        </w:rPr>
        <w:br w:type="page"/>
      </w:r>
    </w:p>
    <w:p w14:paraId="6EED2E83" w14:textId="77777777" w:rsidR="000F7E56" w:rsidRPr="000F7E56" w:rsidRDefault="000F7E56" w:rsidP="000F7E56">
      <w:pPr>
        <w:keepNext/>
        <w:keepLines/>
        <w:spacing w:before="320" w:after="120" w:line="240" w:lineRule="auto"/>
        <w:jc w:val="center"/>
        <w:outlineLvl w:val="0"/>
        <w:rPr>
          <w:rFonts w:ascii="Calibri Light" w:eastAsia="SimSun" w:hAnsi="Calibri Light" w:cs="Times New Roman"/>
          <w:color w:val="2E74B5"/>
          <w:sz w:val="56"/>
          <w:szCs w:val="32"/>
          <w:lang w:eastAsia="en-GB"/>
        </w:rPr>
      </w:pPr>
      <w:bookmarkStart w:id="11" w:name="_Toc38365567"/>
      <w:bookmarkStart w:id="12" w:name="_Toc106697750"/>
      <w:r w:rsidRPr="000F7E56">
        <w:rPr>
          <w:rFonts w:ascii="Calibri Light" w:eastAsia="SimSun" w:hAnsi="Calibri Light" w:cs="Times New Roman"/>
          <w:color w:val="2E74B5"/>
          <w:sz w:val="56"/>
          <w:szCs w:val="32"/>
          <w:lang w:eastAsia="en-GB"/>
        </w:rPr>
        <w:lastRenderedPageBreak/>
        <w:t>Scientific Summary</w:t>
      </w:r>
      <w:bookmarkEnd w:id="11"/>
      <w:bookmarkEnd w:id="12"/>
    </w:p>
    <w:p w14:paraId="1C1E4D9B" w14:textId="77777777" w:rsidR="000F7E56" w:rsidRPr="000F7E56" w:rsidRDefault="000F7E56" w:rsidP="000F7E56">
      <w:pPr>
        <w:keepNext/>
        <w:keepLines/>
        <w:spacing w:after="120" w:line="360" w:lineRule="auto"/>
        <w:outlineLvl w:val="1"/>
        <w:rPr>
          <w:rFonts w:asciiTheme="majorHAnsi" w:eastAsiaTheme="majorEastAsia" w:hAnsiTheme="majorHAnsi" w:cstheme="majorBidi"/>
          <w:color w:val="2F5496" w:themeColor="accent1" w:themeShade="BF"/>
          <w:sz w:val="24"/>
          <w:szCs w:val="24"/>
        </w:rPr>
      </w:pPr>
      <w:bookmarkStart w:id="13" w:name="_Toc106697751"/>
      <w:r w:rsidRPr="000F7E56">
        <w:rPr>
          <w:rFonts w:asciiTheme="majorHAnsi" w:eastAsiaTheme="majorEastAsia" w:hAnsiTheme="majorHAnsi" w:cstheme="majorBidi"/>
          <w:color w:val="2F5496" w:themeColor="accent1" w:themeShade="BF"/>
          <w:sz w:val="24"/>
          <w:szCs w:val="24"/>
        </w:rPr>
        <w:t>Background</w:t>
      </w:r>
      <w:bookmarkEnd w:id="13"/>
    </w:p>
    <w:p w14:paraId="5193EA15" w14:textId="77777777" w:rsidR="000F7E56" w:rsidRPr="000F7E56" w:rsidRDefault="000F7E56" w:rsidP="000F7E56">
      <w:pPr>
        <w:spacing w:after="120" w:line="360" w:lineRule="auto"/>
      </w:pPr>
      <w:r w:rsidRPr="000F7E56">
        <w:t xml:space="preserve">This study explored the experiences of terminally ill patients from ethnically diverse (ED) backgrounds and their family care givers (FCGs) and whether and how they think ahead about deterioration and dying and the nature of their engagement with healthcare professionals (HCPs) in end-of-life-care planning (EOLCP). We have explored diversity in approaches to decision-making and the barriers and facilitators to discussions and planning for future deterioration.  </w:t>
      </w:r>
    </w:p>
    <w:p w14:paraId="3287F901" w14:textId="77777777" w:rsidR="000F7E56" w:rsidRPr="000F7E56" w:rsidRDefault="000F7E56" w:rsidP="000F7E56">
      <w:pPr>
        <w:spacing w:after="120" w:line="360" w:lineRule="auto"/>
      </w:pPr>
      <w:r w:rsidRPr="000F7E56">
        <w:t xml:space="preserve">NICE Quality standards and national policy and guidance require that HCPs offer patients with advanced disease an opportunity to have open and honest conversations about their illness and its prognosis, to engage in shared decision-making including anticipatory EOLCP, and thereby enable personalised care at the end of life and equitable access to palliative care services.  Thinking ahead about decisions and preferences related to anticipated deterioration may help people be cared for in the way, and in the place, that they prefer. However, little is known about the nature of ED patients’ preferences for end-of- life- care (EOLC) or how the current EOLCP policy, paradigm and practice 'fit' with diverse cultural values and beliefs. </w:t>
      </w:r>
    </w:p>
    <w:p w14:paraId="256858E2" w14:textId="77777777" w:rsidR="000F7E56" w:rsidRPr="000F7E56" w:rsidRDefault="000F7E56" w:rsidP="000F7E56">
      <w:pPr>
        <w:spacing w:after="120" w:line="360" w:lineRule="auto"/>
      </w:pPr>
      <w:r w:rsidRPr="000F7E56">
        <w:t xml:space="preserve">Additionally, evidence indicates that many HCPs lack confidence both in engaging in EOLCP and in supporting ED patients and their families generally and lack training and development in this area. </w:t>
      </w:r>
    </w:p>
    <w:p w14:paraId="2F268E73" w14:textId="77777777" w:rsidR="000F7E56" w:rsidRPr="000F7E56" w:rsidRDefault="000F7E56" w:rsidP="000F7E56">
      <w:pPr>
        <w:keepNext/>
        <w:keepLines/>
        <w:spacing w:after="120" w:line="360" w:lineRule="auto"/>
        <w:outlineLvl w:val="1"/>
        <w:rPr>
          <w:rFonts w:asciiTheme="majorHAnsi" w:eastAsiaTheme="majorEastAsia" w:hAnsiTheme="majorHAnsi" w:cstheme="majorBidi"/>
          <w:color w:val="2F5496" w:themeColor="accent1" w:themeShade="BF"/>
          <w:sz w:val="24"/>
          <w:szCs w:val="24"/>
        </w:rPr>
      </w:pPr>
      <w:bookmarkStart w:id="14" w:name="_Toc106697752"/>
      <w:r w:rsidRPr="000F7E56">
        <w:rPr>
          <w:rFonts w:asciiTheme="majorHAnsi" w:eastAsiaTheme="majorEastAsia" w:hAnsiTheme="majorHAnsi" w:cstheme="majorBidi"/>
          <w:color w:val="2F5496" w:themeColor="accent1" w:themeShade="BF"/>
          <w:sz w:val="24"/>
          <w:szCs w:val="24"/>
        </w:rPr>
        <w:t>Aim</w:t>
      </w:r>
      <w:bookmarkEnd w:id="14"/>
    </w:p>
    <w:p w14:paraId="75339C07" w14:textId="77777777" w:rsidR="000F7E56" w:rsidRPr="000F7E56" w:rsidRDefault="000F7E56" w:rsidP="000F7E56">
      <w:pPr>
        <w:keepNext/>
        <w:keepLines/>
        <w:spacing w:after="120" w:line="360" w:lineRule="auto"/>
        <w:outlineLvl w:val="1"/>
        <w:rPr>
          <w:rFonts w:eastAsiaTheme="majorEastAsia" w:cstheme="minorHAnsi"/>
          <w:b/>
          <w:color w:val="2F5496" w:themeColor="accent1" w:themeShade="BF"/>
        </w:rPr>
      </w:pPr>
      <w:bookmarkStart w:id="15" w:name="_Toc106697753"/>
      <w:r w:rsidRPr="000F7E56">
        <w:rPr>
          <w:rFonts w:cstheme="minorHAnsi"/>
        </w:rPr>
        <w:t>To address the research question:</w:t>
      </w:r>
      <w:bookmarkEnd w:id="15"/>
      <w:r w:rsidRPr="000F7E56">
        <w:rPr>
          <w:rFonts w:cstheme="minorHAnsi"/>
        </w:rPr>
        <w:t xml:space="preserve"> </w:t>
      </w:r>
    </w:p>
    <w:p w14:paraId="57F5B8F8" w14:textId="77777777" w:rsidR="000F7E56" w:rsidRPr="000F7E56" w:rsidRDefault="000F7E56" w:rsidP="000F7E56">
      <w:pPr>
        <w:spacing w:after="120" w:line="360" w:lineRule="auto"/>
        <w:contextualSpacing/>
        <w:rPr>
          <w:rFonts w:cstheme="minorHAnsi"/>
          <w:b/>
        </w:rPr>
      </w:pPr>
      <w:r w:rsidRPr="000F7E56">
        <w:rPr>
          <w:rFonts w:cstheme="minorHAnsi"/>
          <w:b/>
        </w:rPr>
        <w:t>What are the barriers and enablers to ethnically diverse patients, family care Givers and health care professionals engaging in end-of-life-care planning?</w:t>
      </w:r>
    </w:p>
    <w:p w14:paraId="08C5E8D3" w14:textId="77777777" w:rsidR="000F7E56" w:rsidRPr="000F7E56" w:rsidRDefault="000F7E56" w:rsidP="000F7E56">
      <w:pPr>
        <w:keepNext/>
        <w:keepLines/>
        <w:spacing w:after="120" w:line="360" w:lineRule="auto"/>
        <w:outlineLvl w:val="1"/>
        <w:rPr>
          <w:rFonts w:asciiTheme="majorHAnsi" w:eastAsiaTheme="majorEastAsia" w:hAnsiTheme="majorHAnsi" w:cstheme="majorBidi"/>
          <w:color w:val="2F5496" w:themeColor="accent1" w:themeShade="BF"/>
          <w:sz w:val="24"/>
          <w:szCs w:val="24"/>
        </w:rPr>
      </w:pPr>
      <w:bookmarkStart w:id="16" w:name="_Toc106697754"/>
      <w:r w:rsidRPr="000F7E56">
        <w:rPr>
          <w:rFonts w:asciiTheme="majorHAnsi" w:eastAsiaTheme="majorEastAsia" w:hAnsiTheme="majorHAnsi" w:cstheme="majorBidi"/>
          <w:color w:val="2F5496" w:themeColor="accent1" w:themeShade="BF"/>
          <w:sz w:val="24"/>
          <w:szCs w:val="24"/>
        </w:rPr>
        <w:t>Objectives</w:t>
      </w:r>
      <w:bookmarkEnd w:id="16"/>
    </w:p>
    <w:p w14:paraId="2B819B41" w14:textId="77777777" w:rsidR="000F7E56" w:rsidRPr="000F7E56" w:rsidRDefault="000F7E56" w:rsidP="000F7E56">
      <w:pPr>
        <w:spacing w:after="120" w:line="360" w:lineRule="auto"/>
        <w:ind w:left="720" w:hanging="720"/>
        <w:contextualSpacing/>
        <w:rPr>
          <w:rFonts w:cstheme="minorHAnsi"/>
        </w:rPr>
      </w:pPr>
      <w:r w:rsidRPr="000F7E56">
        <w:rPr>
          <w:rFonts w:cstheme="minorHAnsi"/>
          <w:sz w:val="18"/>
        </w:rPr>
        <w:t xml:space="preserve">1. </w:t>
      </w:r>
      <w:r w:rsidRPr="000F7E56">
        <w:rPr>
          <w:rFonts w:cstheme="minorHAnsi"/>
          <w:sz w:val="18"/>
        </w:rPr>
        <w:tab/>
      </w:r>
      <w:r w:rsidRPr="000F7E56">
        <w:rPr>
          <w:rFonts w:cstheme="minorHAnsi"/>
        </w:rPr>
        <w:t>To explore how terminally ill patients from ED backgrounds, their FCGs and the HCPs who support them, think ahead about deterioration and dying, whether and how they engage in EOLCP and identify barriers and enablers to this engagement.</w:t>
      </w:r>
    </w:p>
    <w:p w14:paraId="262DD3B9" w14:textId="77777777" w:rsidR="000F7E56" w:rsidRPr="000F7E56" w:rsidRDefault="000F7E56" w:rsidP="000F7E56">
      <w:pPr>
        <w:spacing w:after="120" w:line="360" w:lineRule="auto"/>
        <w:ind w:left="720" w:hanging="720"/>
        <w:contextualSpacing/>
        <w:rPr>
          <w:rFonts w:cstheme="minorHAnsi"/>
        </w:rPr>
      </w:pPr>
      <w:r w:rsidRPr="000F7E56">
        <w:rPr>
          <w:rFonts w:cstheme="minorHAnsi"/>
        </w:rPr>
        <w:t xml:space="preserve">2. </w:t>
      </w:r>
      <w:r w:rsidRPr="000F7E56">
        <w:rPr>
          <w:rFonts w:cstheme="minorHAnsi"/>
        </w:rPr>
        <w:tab/>
        <w:t>To explore the experiences and reflections of bereaved FCGs on end-of-life-care, the role and value of thinking ahead and of engagement with HCPs in EOLCP.</w:t>
      </w:r>
    </w:p>
    <w:p w14:paraId="47202225" w14:textId="77777777" w:rsidR="000F7E56" w:rsidRPr="000F7E56" w:rsidRDefault="000F7E56" w:rsidP="000F7E56">
      <w:pPr>
        <w:spacing w:after="120" w:line="360" w:lineRule="auto"/>
        <w:ind w:left="720" w:hanging="720"/>
        <w:contextualSpacing/>
        <w:rPr>
          <w:rFonts w:cstheme="minorHAnsi"/>
        </w:rPr>
      </w:pPr>
      <w:r w:rsidRPr="000F7E56">
        <w:rPr>
          <w:rFonts w:cstheme="minorHAnsi"/>
        </w:rPr>
        <w:t xml:space="preserve">3. </w:t>
      </w:r>
      <w:r w:rsidRPr="000F7E56">
        <w:rPr>
          <w:rFonts w:cstheme="minorHAnsi"/>
        </w:rPr>
        <w:tab/>
        <w:t>To identify information and training needs to support best practices in EOLCP and to produce an e-learning module available free to NHS and hospice providers.</w:t>
      </w:r>
    </w:p>
    <w:p w14:paraId="36CAB949" w14:textId="77777777" w:rsidR="000F7E56" w:rsidRPr="000F7E56" w:rsidRDefault="000F7E56" w:rsidP="000F7E56">
      <w:pPr>
        <w:keepNext/>
        <w:keepLines/>
        <w:spacing w:after="120" w:line="360" w:lineRule="auto"/>
        <w:outlineLvl w:val="1"/>
        <w:rPr>
          <w:rFonts w:asciiTheme="majorHAnsi" w:eastAsiaTheme="majorEastAsia" w:hAnsiTheme="majorHAnsi" w:cstheme="majorBidi"/>
          <w:color w:val="2F5496" w:themeColor="accent1" w:themeShade="BF"/>
          <w:sz w:val="26"/>
          <w:szCs w:val="26"/>
        </w:rPr>
      </w:pPr>
    </w:p>
    <w:p w14:paraId="1A33092D" w14:textId="75BD9ABD" w:rsidR="000F7E56" w:rsidRPr="000F7E56" w:rsidRDefault="000F7E56" w:rsidP="000F7E56">
      <w:pPr>
        <w:keepNext/>
        <w:keepLines/>
        <w:spacing w:after="120" w:line="360" w:lineRule="auto"/>
        <w:outlineLvl w:val="1"/>
        <w:rPr>
          <w:rFonts w:asciiTheme="majorHAnsi" w:eastAsiaTheme="majorEastAsia" w:hAnsiTheme="majorHAnsi" w:cstheme="majorHAnsi"/>
          <w:color w:val="4472C4" w:themeColor="accent1"/>
          <w:sz w:val="24"/>
          <w:szCs w:val="24"/>
        </w:rPr>
      </w:pPr>
      <w:bookmarkStart w:id="17" w:name="_Toc106697755"/>
      <w:r w:rsidRPr="000F7E56">
        <w:rPr>
          <w:rFonts w:asciiTheme="majorHAnsi" w:eastAsiaTheme="majorEastAsia" w:hAnsiTheme="majorHAnsi" w:cstheme="majorHAnsi"/>
          <w:color w:val="4472C4" w:themeColor="accent1"/>
          <w:sz w:val="24"/>
          <w:szCs w:val="24"/>
        </w:rPr>
        <w:t>Patient and Public Involvement</w:t>
      </w:r>
      <w:r w:rsidR="00A86DA9">
        <w:rPr>
          <w:rFonts w:asciiTheme="majorHAnsi" w:eastAsiaTheme="majorEastAsia" w:hAnsiTheme="majorHAnsi" w:cstheme="majorHAnsi"/>
          <w:color w:val="4472C4" w:themeColor="accent1"/>
          <w:sz w:val="24"/>
          <w:szCs w:val="24"/>
        </w:rPr>
        <w:t xml:space="preserve"> (PPI)</w:t>
      </w:r>
      <w:bookmarkEnd w:id="17"/>
    </w:p>
    <w:p w14:paraId="32F3CD27" w14:textId="7ED2E19F" w:rsidR="000F7E56" w:rsidRPr="000F7E56" w:rsidRDefault="00A86DA9" w:rsidP="000F7E56">
      <w:pPr>
        <w:spacing w:after="120" w:line="360" w:lineRule="auto"/>
        <w:rPr>
          <w:rFonts w:cstheme="minorHAnsi"/>
        </w:rPr>
      </w:pPr>
      <w:r>
        <w:rPr>
          <w:rFonts w:cstheme="minorHAnsi"/>
        </w:rPr>
        <w:t xml:space="preserve">Patient and public involvement </w:t>
      </w:r>
      <w:r w:rsidR="000F7E56" w:rsidRPr="000F7E56">
        <w:rPr>
          <w:rFonts w:cstheme="minorHAnsi"/>
        </w:rPr>
        <w:t>is a central characteristic and strength of this project in ensuring that it was grounded in the concerns and experience of patients and FCGs and conducted in an appropriate and sensitive manner. PPI was instrumental in the development of the study research question and funding application, the design and development of the study materials, recruitment through community engagement, enhancing the interpretation of data and in co-creation of outputs and dissemination of findings. The project team included a PPI co-applicant and a Public, Carers and Bereaved Relatives research consultee group (PCBR).</w:t>
      </w:r>
    </w:p>
    <w:p w14:paraId="4E1227C9" w14:textId="77777777" w:rsidR="000F7E56" w:rsidRPr="000F7E56" w:rsidRDefault="000F7E56" w:rsidP="000F7E56">
      <w:pPr>
        <w:keepNext/>
        <w:keepLines/>
        <w:spacing w:after="120" w:line="360" w:lineRule="auto"/>
        <w:outlineLvl w:val="1"/>
        <w:rPr>
          <w:rFonts w:asciiTheme="majorHAnsi" w:eastAsiaTheme="majorEastAsia" w:hAnsiTheme="majorHAnsi" w:cstheme="majorBidi"/>
          <w:color w:val="2F5496" w:themeColor="accent1" w:themeShade="BF"/>
          <w:sz w:val="24"/>
          <w:szCs w:val="24"/>
        </w:rPr>
      </w:pPr>
      <w:bookmarkStart w:id="18" w:name="_Toc106697756"/>
      <w:r w:rsidRPr="000F7E56">
        <w:rPr>
          <w:rFonts w:asciiTheme="majorHAnsi" w:eastAsiaTheme="majorEastAsia" w:hAnsiTheme="majorHAnsi" w:cstheme="majorBidi"/>
          <w:color w:val="2F5496" w:themeColor="accent1" w:themeShade="BF"/>
          <w:sz w:val="24"/>
          <w:szCs w:val="24"/>
        </w:rPr>
        <w:t>Design and methods</w:t>
      </w:r>
      <w:bookmarkEnd w:id="18"/>
    </w:p>
    <w:p w14:paraId="298D22F6" w14:textId="77777777" w:rsidR="000F7E56" w:rsidRPr="000F7E56" w:rsidRDefault="000F7E56" w:rsidP="000F7E56">
      <w:pPr>
        <w:spacing w:after="120" w:line="360" w:lineRule="auto"/>
      </w:pPr>
      <w:r w:rsidRPr="000F7E56">
        <w:t>This qualitative exploratory study recruited participants into three Work Streams between February 2019 and May 2021</w:t>
      </w:r>
    </w:p>
    <w:p w14:paraId="26830226" w14:textId="77777777" w:rsidR="000F7E56" w:rsidRPr="000F7E56" w:rsidRDefault="000F7E56" w:rsidP="000F7E56">
      <w:pPr>
        <w:spacing w:after="120" w:line="360" w:lineRule="auto"/>
      </w:pPr>
      <w:r w:rsidRPr="000F7E56">
        <w:t>Work Stream 1 (WS1): Longitudinal patient-centred case studies, triangulating different data sources including baseline and follow up interviews over six-nine months with a patient, their FCG and an HCP nominated by the patient and a review of clinical records. Patients in seven participant identification centres (GP practices, Acute hospitals, hospices, community services/self-referral) were first approached by an HCP that was known to them.</w:t>
      </w:r>
    </w:p>
    <w:p w14:paraId="0AF629EC" w14:textId="21DC9576" w:rsidR="000F7E56" w:rsidRPr="000F7E56" w:rsidRDefault="000F7E56" w:rsidP="000F7E56">
      <w:pPr>
        <w:spacing w:after="120" w:line="360" w:lineRule="auto"/>
      </w:pPr>
      <w:r w:rsidRPr="000F7E56">
        <w:t xml:space="preserve">Work Stream 2 (WS2): A single interview with </w:t>
      </w:r>
      <w:r w:rsidR="004651C6">
        <w:t>B</w:t>
      </w:r>
      <w:r w:rsidRPr="000F7E56">
        <w:t>FCGs who had experienced the loss of a family member from advanced illness in the previous three to 12 months. Participants were approached by an HCP known to them or by contacting the research team themselves.</w:t>
      </w:r>
    </w:p>
    <w:p w14:paraId="20B30C77" w14:textId="77777777" w:rsidR="000F7E56" w:rsidRPr="000F7E56" w:rsidRDefault="000F7E56" w:rsidP="000F7E56">
      <w:pPr>
        <w:spacing w:after="120" w:line="360" w:lineRule="auto"/>
      </w:pPr>
      <w:r w:rsidRPr="000F7E56">
        <w:t>Work Stream 3 (WS3): Public and professional stakeholder responses to the themes of WS1 and WS2 in facilitated virtual workshops or written workbooks.</w:t>
      </w:r>
    </w:p>
    <w:p w14:paraId="0FF200E2" w14:textId="1C4605E2" w:rsidR="000F7E56" w:rsidRPr="000F7E56" w:rsidRDefault="000F7E56" w:rsidP="000F7E56">
      <w:pPr>
        <w:spacing w:after="120" w:line="360" w:lineRule="auto"/>
      </w:pPr>
      <w:r w:rsidRPr="000F7E56">
        <w:t xml:space="preserve">Participants for WS1 and WS2 and most participants in WS3 were intentionally recruited in Nottingham, Nottinghamshire, Leicester and Leicestershire. Additional academic stakeholder participants for WS3 were recruited nationally. Awareness about the study was promoted through a range of strategies including local </w:t>
      </w:r>
      <w:r w:rsidR="00BB3FFA">
        <w:t>C</w:t>
      </w:r>
      <w:r w:rsidRPr="000F7E56">
        <w:t xml:space="preserve">linical </w:t>
      </w:r>
      <w:r w:rsidR="00BB3FFA">
        <w:t>R</w:t>
      </w:r>
      <w:r w:rsidRPr="000F7E56">
        <w:t xml:space="preserve">esearch </w:t>
      </w:r>
      <w:r w:rsidR="00BB3FFA">
        <w:t>N</w:t>
      </w:r>
      <w:r w:rsidRPr="000F7E56">
        <w:t>etwork</w:t>
      </w:r>
      <w:r w:rsidR="00BB3FFA">
        <w:t>s (CRN)</w:t>
      </w:r>
      <w:r w:rsidRPr="000F7E56">
        <w:t>, emails, flyers, website, twitter and an extensive programme of community engagement events and local radio.</w:t>
      </w:r>
    </w:p>
    <w:p w14:paraId="521894CC" w14:textId="77777777" w:rsidR="000F7E56" w:rsidRPr="000F7E56" w:rsidRDefault="000F7E56" w:rsidP="000F7E56">
      <w:pPr>
        <w:spacing w:after="120" w:line="360" w:lineRule="auto"/>
        <w:rPr>
          <w:rFonts w:cstheme="minorHAnsi"/>
        </w:rPr>
      </w:pPr>
      <w:r w:rsidRPr="000F7E56">
        <w:t xml:space="preserve">We purposively sampled participants to achieve heterogeneity in key attributes and construct a </w:t>
      </w:r>
      <w:r w:rsidRPr="000F7E56">
        <w:rPr>
          <w:rFonts w:cstheme="minorHAnsi"/>
        </w:rPr>
        <w:t>matrix that may be important for attribution of themes/subthemes and in our search for examples of variance within the data.</w:t>
      </w:r>
    </w:p>
    <w:p w14:paraId="141146E1" w14:textId="77777777" w:rsidR="000F7E56" w:rsidRPr="000F7E56" w:rsidRDefault="000F7E56" w:rsidP="000F7E56">
      <w:pPr>
        <w:spacing w:after="120" w:line="360" w:lineRule="auto"/>
        <w:rPr>
          <w:rFonts w:cstheme="minorHAnsi"/>
        </w:rPr>
      </w:pPr>
      <w:r w:rsidRPr="000F7E56">
        <w:rPr>
          <w:rFonts w:cstheme="minorHAnsi"/>
        </w:rPr>
        <w:lastRenderedPageBreak/>
        <w:t>Recruitment was facilitated through translated materials and interviews were conducted in the preferred language of the participant. Most interviews were conducted in the patient’s or FCG’s home or the place of work for HCP but some were conducted by phone, principally due to COVID -19 restrictions.</w:t>
      </w:r>
    </w:p>
    <w:p w14:paraId="75D8E75F" w14:textId="77777777" w:rsidR="000F7E56" w:rsidRPr="000F7E56" w:rsidRDefault="000F7E56" w:rsidP="000F7E56">
      <w:pPr>
        <w:keepNext/>
        <w:keepLines/>
        <w:spacing w:after="120" w:line="360" w:lineRule="auto"/>
        <w:outlineLvl w:val="1"/>
        <w:rPr>
          <w:rFonts w:asciiTheme="majorHAnsi" w:eastAsiaTheme="majorEastAsia" w:hAnsiTheme="majorHAnsi" w:cstheme="majorBidi"/>
          <w:color w:val="2F5496" w:themeColor="accent1" w:themeShade="BF"/>
          <w:sz w:val="24"/>
          <w:szCs w:val="24"/>
        </w:rPr>
      </w:pPr>
      <w:bookmarkStart w:id="19" w:name="_Toc106697757"/>
      <w:r w:rsidRPr="000F7E56">
        <w:rPr>
          <w:rFonts w:asciiTheme="majorHAnsi" w:eastAsiaTheme="majorEastAsia" w:hAnsiTheme="majorHAnsi" w:cstheme="majorBidi"/>
          <w:color w:val="2F5496" w:themeColor="accent1" w:themeShade="BF"/>
          <w:sz w:val="24"/>
          <w:szCs w:val="24"/>
        </w:rPr>
        <w:t>Data analysis</w:t>
      </w:r>
      <w:bookmarkEnd w:id="19"/>
    </w:p>
    <w:p w14:paraId="1D312C36" w14:textId="77777777" w:rsidR="000F7E56" w:rsidRPr="000F7E56" w:rsidRDefault="000F7E56" w:rsidP="000F7E56">
      <w:pPr>
        <w:spacing w:after="120" w:line="360" w:lineRule="auto"/>
      </w:pPr>
      <w:r w:rsidRPr="000F7E56">
        <w:t xml:space="preserve">Each data set in WS1 and WS2 were subject to both separate and integrated analysis through the method of constant comparison. Patient centred case studies triangulated different stakeholder perspectives and data sources. </w:t>
      </w:r>
    </w:p>
    <w:p w14:paraId="0279E179" w14:textId="169E7C05" w:rsidR="000F7E56" w:rsidRPr="000F7E56" w:rsidRDefault="000F7E56" w:rsidP="000F7E56">
      <w:pPr>
        <w:spacing w:after="120" w:line="360" w:lineRule="auto"/>
        <w:rPr>
          <w:rFonts w:cstheme="minorHAnsi"/>
          <w:lang w:val="en-US"/>
        </w:rPr>
      </w:pPr>
      <w:r w:rsidRPr="000F7E56">
        <w:rPr>
          <w:rFonts w:cstheme="minorHAnsi"/>
          <w:lang w:val="en-US"/>
        </w:rPr>
        <w:t xml:space="preserve">A pragmatic thematic analysis of each WS3 workshop field notes was conducted coding data into themes and sub-themes relating to the specific questions addressed in each workshop through a process of constant comparison. To ascertain how the HCPs in WS3 discussed the practices around thinking ahead and EOLCP additional analysis of workshop field notes used two implementation science approaches, </w:t>
      </w:r>
      <w:proofErr w:type="spellStart"/>
      <w:r w:rsidRPr="000F7E56">
        <w:rPr>
          <w:rFonts w:cstheme="minorHAnsi"/>
          <w:lang w:val="en-US"/>
        </w:rPr>
        <w:t>behaviour</w:t>
      </w:r>
      <w:proofErr w:type="spellEnd"/>
      <w:r w:rsidRPr="000F7E56">
        <w:rPr>
          <w:rFonts w:cstheme="minorHAnsi"/>
          <w:lang w:val="en-US"/>
        </w:rPr>
        <w:t xml:space="preserve"> change techniques and </w:t>
      </w:r>
      <w:proofErr w:type="spellStart"/>
      <w:r w:rsidRPr="000F7E56">
        <w:rPr>
          <w:rFonts w:cstheme="minorHAnsi"/>
          <w:lang w:val="en-US"/>
        </w:rPr>
        <w:t>Normalisation</w:t>
      </w:r>
      <w:proofErr w:type="spellEnd"/>
      <w:r w:rsidRPr="000F7E56">
        <w:rPr>
          <w:rFonts w:cstheme="minorHAnsi"/>
          <w:lang w:val="en-US"/>
        </w:rPr>
        <w:t xml:space="preserve"> Process Theory (NPT). </w:t>
      </w:r>
      <w:r w:rsidR="009D1E7E" w:rsidRPr="009D1E7E">
        <w:rPr>
          <w:rFonts w:cstheme="minorHAnsi"/>
          <w:lang w:val="en-US"/>
        </w:rPr>
        <w:t>The identified techniques informed the content of the learning resource.</w:t>
      </w:r>
    </w:p>
    <w:p w14:paraId="18CB87DF" w14:textId="77777777" w:rsidR="000F7E56" w:rsidRPr="000F7E56" w:rsidRDefault="000F7E56" w:rsidP="000F7E56">
      <w:pPr>
        <w:keepNext/>
        <w:keepLines/>
        <w:spacing w:after="120" w:line="360" w:lineRule="auto"/>
        <w:outlineLvl w:val="1"/>
        <w:rPr>
          <w:rFonts w:asciiTheme="majorHAnsi" w:eastAsiaTheme="majorEastAsia" w:hAnsiTheme="majorHAnsi" w:cstheme="majorBidi"/>
          <w:color w:val="2F5496" w:themeColor="accent1" w:themeShade="BF"/>
          <w:sz w:val="24"/>
          <w:szCs w:val="24"/>
        </w:rPr>
      </w:pPr>
      <w:bookmarkStart w:id="20" w:name="_Toc106697758"/>
      <w:r w:rsidRPr="000F7E56">
        <w:rPr>
          <w:rFonts w:asciiTheme="majorHAnsi" w:eastAsiaTheme="majorEastAsia" w:hAnsiTheme="majorHAnsi" w:cstheme="majorBidi"/>
          <w:color w:val="2F5496" w:themeColor="accent1" w:themeShade="BF"/>
          <w:sz w:val="24"/>
          <w:szCs w:val="24"/>
        </w:rPr>
        <w:t>Research findings</w:t>
      </w:r>
      <w:bookmarkEnd w:id="20"/>
    </w:p>
    <w:p w14:paraId="5328303C" w14:textId="77777777" w:rsidR="000F7E56" w:rsidRPr="00F74B53" w:rsidRDefault="000F7E56" w:rsidP="000F7E56">
      <w:pPr>
        <w:spacing w:after="120" w:line="360" w:lineRule="auto"/>
        <w:rPr>
          <w:rFonts w:cstheme="minorHAnsi"/>
        </w:rPr>
      </w:pPr>
      <w:r w:rsidRPr="00F74B53">
        <w:rPr>
          <w:rFonts w:cstheme="minorHAnsi"/>
        </w:rPr>
        <w:t xml:space="preserve">115 individual participants were recruited in the study.  </w:t>
      </w:r>
    </w:p>
    <w:p w14:paraId="47CF3D72" w14:textId="6294EFA2" w:rsidR="000F7E56" w:rsidRPr="00F74B53" w:rsidRDefault="000F7E56" w:rsidP="000F7E56">
      <w:pPr>
        <w:spacing w:after="120" w:line="360" w:lineRule="auto"/>
        <w:rPr>
          <w:rFonts w:cstheme="minorHAnsi"/>
        </w:rPr>
      </w:pPr>
      <w:r w:rsidRPr="00F74B53">
        <w:rPr>
          <w:rFonts w:cstheme="minorHAnsi"/>
        </w:rPr>
        <w:t xml:space="preserve">In WS1 there were 18 patient case studies which comprised 93 interviews. Seven comprised interviews with patients, their FCG’s and their HCP’s the others comprised two of the three perspectives. Four patients died and one case study includes post bereavement interviews with two FCG’s. </w:t>
      </w:r>
      <w:r w:rsidR="00073490">
        <w:rPr>
          <w:rFonts w:cstheme="minorHAnsi"/>
        </w:rPr>
        <w:t>In e</w:t>
      </w:r>
      <w:r w:rsidR="00FE4FE0">
        <w:rPr>
          <w:rFonts w:cstheme="minorHAnsi"/>
        </w:rPr>
        <w:t xml:space="preserve">leven of the </w:t>
      </w:r>
      <w:r w:rsidR="00073490">
        <w:rPr>
          <w:rFonts w:cstheme="minorHAnsi"/>
        </w:rPr>
        <w:t xml:space="preserve">case studies </w:t>
      </w:r>
      <w:r w:rsidR="00FE4FE0">
        <w:rPr>
          <w:rFonts w:cstheme="minorHAnsi"/>
        </w:rPr>
        <w:t>HCPs interviewed were nurses</w:t>
      </w:r>
      <w:r w:rsidRPr="00F74B53">
        <w:rPr>
          <w:rFonts w:cstheme="minorHAnsi"/>
        </w:rPr>
        <w:t xml:space="preserve">. </w:t>
      </w:r>
      <w:r w:rsidR="00E05E4F">
        <w:rPr>
          <w:rFonts w:cstheme="minorHAnsi"/>
        </w:rPr>
        <w:t>We interviewed 11 HCPs nominated by patients, all of whom were nurses</w:t>
      </w:r>
      <w:r w:rsidRPr="00F74B53">
        <w:rPr>
          <w:rFonts w:cstheme="minorHAnsi"/>
        </w:rPr>
        <w:t>. Four of the Case studies required at least one participant to be interviewed with the assistance of an interpreter.</w:t>
      </w:r>
    </w:p>
    <w:p w14:paraId="74751B79" w14:textId="1FE0DDE6" w:rsidR="000F7E56" w:rsidRPr="00F74B53" w:rsidRDefault="000F7E56" w:rsidP="000F7E56">
      <w:pPr>
        <w:spacing w:after="120" w:line="360" w:lineRule="auto"/>
        <w:rPr>
          <w:rFonts w:cstheme="minorHAnsi"/>
        </w:rPr>
      </w:pPr>
      <w:r w:rsidRPr="00F74B53">
        <w:rPr>
          <w:rFonts w:cstheme="minorHAnsi"/>
        </w:rPr>
        <w:t xml:space="preserve">In WS2 </w:t>
      </w:r>
      <w:r w:rsidR="00A41955">
        <w:rPr>
          <w:rFonts w:cstheme="minorHAnsi"/>
        </w:rPr>
        <w:t>19</w:t>
      </w:r>
      <w:r w:rsidRPr="00F74B53">
        <w:rPr>
          <w:rFonts w:cstheme="minorHAnsi"/>
        </w:rPr>
        <w:t xml:space="preserve"> participants were recruited. One participant was interviewed in Punjabi, all others in English. In WS3 50 participants were recruited</w:t>
      </w:r>
      <w:r w:rsidR="00004E55" w:rsidRPr="00F74B53">
        <w:rPr>
          <w:rFonts w:cstheme="minorHAnsi"/>
        </w:rPr>
        <w:t>,</w:t>
      </w:r>
      <w:r w:rsidRPr="00F74B53">
        <w:rPr>
          <w:rFonts w:cstheme="minorHAnsi"/>
        </w:rPr>
        <w:t xml:space="preserve"> 37 attended a workshop discussion and 13 completed a workbook</w:t>
      </w:r>
    </w:p>
    <w:p w14:paraId="4BABE1B9" w14:textId="77777777" w:rsidR="000F7E56" w:rsidRPr="000F7E56" w:rsidRDefault="000F7E56" w:rsidP="000F7E56">
      <w:pPr>
        <w:keepNext/>
        <w:keepLines/>
        <w:spacing w:after="120" w:line="360" w:lineRule="auto"/>
        <w:outlineLvl w:val="1"/>
        <w:rPr>
          <w:rFonts w:asciiTheme="majorHAnsi" w:eastAsiaTheme="majorEastAsia" w:hAnsiTheme="majorHAnsi" w:cstheme="majorBidi"/>
          <w:color w:val="2F5496" w:themeColor="accent1" w:themeShade="BF"/>
          <w:sz w:val="24"/>
          <w:szCs w:val="24"/>
        </w:rPr>
      </w:pPr>
      <w:bookmarkStart w:id="21" w:name="_Toc106697759"/>
      <w:r w:rsidRPr="000F7E56">
        <w:rPr>
          <w:rFonts w:asciiTheme="majorHAnsi" w:eastAsiaTheme="majorEastAsia" w:hAnsiTheme="majorHAnsi" w:cstheme="majorBidi"/>
          <w:color w:val="2F5496" w:themeColor="accent1" w:themeShade="BF"/>
          <w:sz w:val="24"/>
          <w:szCs w:val="24"/>
        </w:rPr>
        <w:t>Demographics</w:t>
      </w:r>
      <w:bookmarkEnd w:id="21"/>
    </w:p>
    <w:p w14:paraId="1BFF5E49" w14:textId="27027057" w:rsidR="000F7E56" w:rsidRPr="000F7E56" w:rsidRDefault="007A53A2" w:rsidP="000F7E56">
      <w:pPr>
        <w:spacing w:after="120" w:line="360" w:lineRule="auto"/>
        <w:rPr>
          <w:rFonts w:asciiTheme="majorHAnsi" w:hAnsiTheme="majorHAnsi" w:cstheme="majorHAnsi"/>
        </w:rPr>
      </w:pPr>
      <w:bookmarkStart w:id="22" w:name="_Hlk90280028"/>
      <w:r>
        <w:rPr>
          <w:rFonts w:ascii="Calibri" w:eastAsia="Calibri" w:hAnsi="Calibri" w:cs="Calibri"/>
        </w:rPr>
        <w:t>T</w:t>
      </w:r>
      <w:r w:rsidR="000F7E56" w:rsidRPr="000F7E56">
        <w:rPr>
          <w:rFonts w:ascii="Calibri" w:eastAsia="Calibri" w:hAnsi="Calibri" w:cs="Calibri"/>
        </w:rPr>
        <w:t>he age of the participants in WS1 ranged between 40 and 96 years old. The majority (n=11) had cancer</w:t>
      </w:r>
      <w:r w:rsidR="000F7E56" w:rsidRPr="000F7E56">
        <w:rPr>
          <w:rFonts w:ascii="Calibri" w:eastAsia="Calibri" w:hAnsi="Calibri" w:cs="Times New Roman"/>
        </w:rPr>
        <w:t xml:space="preserve">. Eleven of the participants were female. Ten participants described their ethnicity as Indian, three as Caribbean, two as African. The remaining described themselves as Pakistani, </w:t>
      </w:r>
      <w:r w:rsidR="002A2FEB">
        <w:rPr>
          <w:rFonts w:ascii="Calibri" w:eastAsia="Calibri" w:hAnsi="Calibri" w:cs="Times New Roman"/>
        </w:rPr>
        <w:t>f</w:t>
      </w:r>
      <w:r w:rsidR="000F7E56" w:rsidRPr="000F7E56">
        <w:rPr>
          <w:rFonts w:ascii="Calibri" w:eastAsia="Calibri" w:hAnsi="Calibri" w:cs="Times New Roman"/>
        </w:rPr>
        <w:t xml:space="preserve">ormer Yugoslavian and Chinese. </w:t>
      </w:r>
      <w:r w:rsidR="002A2FEB">
        <w:rPr>
          <w:rFonts w:ascii="Calibri" w:eastAsia="Calibri" w:hAnsi="Calibri" w:cs="Times New Roman"/>
        </w:rPr>
        <w:t>P</w:t>
      </w:r>
      <w:r w:rsidR="000F7E56" w:rsidRPr="000F7E56">
        <w:rPr>
          <w:rFonts w:ascii="Calibri" w:eastAsia="Calibri" w:hAnsi="Calibri" w:cs="Times New Roman"/>
        </w:rPr>
        <w:t>articipants described their faith as Christian (n=7), Hindu (</w:t>
      </w:r>
      <w:r w:rsidR="00F74B53">
        <w:rPr>
          <w:rFonts w:ascii="Calibri" w:eastAsia="Calibri" w:hAnsi="Calibri" w:cs="Times New Roman"/>
        </w:rPr>
        <w:t>n</w:t>
      </w:r>
      <w:r w:rsidR="000F7E56" w:rsidRPr="000F7E56">
        <w:rPr>
          <w:rFonts w:ascii="Calibri" w:eastAsia="Calibri" w:hAnsi="Calibri" w:cs="Times New Roman"/>
        </w:rPr>
        <w:t>=</w:t>
      </w:r>
      <w:r w:rsidR="00F74B53" w:rsidRPr="000F7E56">
        <w:rPr>
          <w:rFonts w:ascii="Calibri" w:eastAsia="Calibri" w:hAnsi="Calibri" w:cs="Times New Roman"/>
        </w:rPr>
        <w:t>6) Muslim</w:t>
      </w:r>
      <w:r w:rsidR="000F7E56" w:rsidRPr="000F7E56">
        <w:rPr>
          <w:rFonts w:ascii="Calibri" w:eastAsia="Calibri" w:hAnsi="Calibri" w:cs="Times New Roman"/>
        </w:rPr>
        <w:t xml:space="preserve"> (n=3), Jain (n=1) and Buddhist (n=1). Their living and social circumstances were quite diverse. Although the majority (n=8) lived with a spouse, eight lived as a sole adult and four had dependent children. Two lived with their adult children.</w:t>
      </w:r>
    </w:p>
    <w:p w14:paraId="2ED0D576" w14:textId="77777777" w:rsidR="000F7E56" w:rsidRPr="00F74B53" w:rsidRDefault="000F7E56" w:rsidP="000F7E56">
      <w:pPr>
        <w:spacing w:after="120" w:line="360" w:lineRule="auto"/>
      </w:pPr>
      <w:r w:rsidRPr="00F74B53">
        <w:rPr>
          <w:rFonts w:cstheme="minorHAnsi"/>
        </w:rPr>
        <w:lastRenderedPageBreak/>
        <w:t>Nineteen bereaved family carers were recruited of whom two self-referred.</w:t>
      </w:r>
      <w:r w:rsidRPr="00F74B53">
        <w:t xml:space="preserve"> Thirteen were female and six male. The majority described their ethnicity as Indian (11/19), four as African Caribbean, two as Pakistani, one each as British Indian, and British Asian. Seven were spouses and eight were children with others being siblings (n=2), a grandchild (n=1) and one a daughter-in-law (n=1). The majority of the deceased people had cancer 11 (58%) and faith described as Hindu (n=8), Muslim (n=6), Christian (n=4) and Sikh (n=1).   </w:t>
      </w:r>
    </w:p>
    <w:p w14:paraId="1C99D986" w14:textId="77777777" w:rsidR="000F7E56" w:rsidRPr="00F74B53" w:rsidRDefault="000F7E56" w:rsidP="000F7E56">
      <w:pPr>
        <w:spacing w:after="120" w:line="360" w:lineRule="auto"/>
        <w:rPr>
          <w:lang w:val="en-US"/>
        </w:rPr>
      </w:pPr>
      <w:r w:rsidRPr="00F74B53">
        <w:rPr>
          <w:lang w:val="en-US"/>
        </w:rPr>
        <w:t xml:space="preserve">Of the 50 participants in WS3 18 were members of the public (Lay or Community or Faith Leaders), 19 HCPs, seven Academics and six were Educators. </w:t>
      </w:r>
    </w:p>
    <w:p w14:paraId="553AB25C" w14:textId="77777777" w:rsidR="000F7E56" w:rsidRPr="000F7E56" w:rsidRDefault="000F7E56" w:rsidP="000F7E56">
      <w:pPr>
        <w:spacing w:after="120" w:line="360" w:lineRule="auto"/>
        <w:rPr>
          <w:lang w:val="en-US"/>
        </w:rPr>
      </w:pPr>
    </w:p>
    <w:p w14:paraId="47D9549B" w14:textId="77777777" w:rsidR="000F7E56" w:rsidRPr="000F7E56" w:rsidRDefault="000F7E56" w:rsidP="000F7E56">
      <w:pPr>
        <w:keepNext/>
        <w:keepLines/>
        <w:spacing w:after="120" w:line="360" w:lineRule="auto"/>
        <w:outlineLvl w:val="1"/>
        <w:rPr>
          <w:rFonts w:asciiTheme="majorHAnsi" w:eastAsiaTheme="majorEastAsia" w:hAnsiTheme="majorHAnsi" w:cstheme="majorBidi"/>
          <w:color w:val="2F5496" w:themeColor="accent1" w:themeShade="BF"/>
          <w:sz w:val="24"/>
          <w:szCs w:val="24"/>
        </w:rPr>
      </w:pPr>
      <w:bookmarkStart w:id="23" w:name="_Toc106697760"/>
      <w:bookmarkEnd w:id="22"/>
      <w:r w:rsidRPr="000F7E56">
        <w:rPr>
          <w:rFonts w:asciiTheme="majorHAnsi" w:eastAsiaTheme="majorEastAsia" w:hAnsiTheme="majorHAnsi" w:cstheme="majorBidi"/>
          <w:color w:val="2F5496" w:themeColor="accent1" w:themeShade="BF"/>
          <w:sz w:val="24"/>
          <w:szCs w:val="24"/>
        </w:rPr>
        <w:t>Findings of the case studies and bereaved family care givers (WS1 and WS2)</w:t>
      </w:r>
      <w:bookmarkEnd w:id="23"/>
    </w:p>
    <w:p w14:paraId="778F8856" w14:textId="77777777" w:rsidR="000F7E56" w:rsidRPr="000F7E56" w:rsidRDefault="000F7E56" w:rsidP="000F7E56">
      <w:pPr>
        <w:autoSpaceDE w:val="0"/>
        <w:autoSpaceDN w:val="0"/>
        <w:adjustRightInd w:val="0"/>
        <w:spacing w:after="120" w:line="360" w:lineRule="auto"/>
        <w:rPr>
          <w:rFonts w:cs="Arial"/>
        </w:rPr>
      </w:pPr>
      <w:r w:rsidRPr="000F7E56">
        <w:rPr>
          <w:rFonts w:cs="Arial"/>
        </w:rPr>
        <w:t xml:space="preserve">Although there is mostly overall satisfaction with care our findings indicate that participants generally did not articulate strong relationships with professionals and some indicate a lack of trust and experience a disjointed system, devoid of due regard for them.  </w:t>
      </w:r>
    </w:p>
    <w:p w14:paraId="586E36C3" w14:textId="77777777" w:rsidR="000F7E56" w:rsidRPr="000F7E56" w:rsidRDefault="000F7E56" w:rsidP="000F7E56">
      <w:pPr>
        <w:autoSpaceDE w:val="0"/>
        <w:autoSpaceDN w:val="0"/>
        <w:adjustRightInd w:val="0"/>
        <w:spacing w:after="120" w:line="360" w:lineRule="auto"/>
        <w:rPr>
          <w:rFonts w:cs="Arial"/>
        </w:rPr>
      </w:pPr>
      <w:r w:rsidRPr="000F7E56">
        <w:rPr>
          <w:rFonts w:cs="Arial"/>
        </w:rPr>
        <w:t xml:space="preserve">The predominant stance of patients was to live with hope, in the now, and not overly contemplate the future and where they did this tended to orientate to practical matters of wills and funerals rather than the business of dying. The future was difficult to predict so pointless to plan for and moreover for some thinking ahead and especially planning ahead was counter to their values and faith. In contrast and tension with this was </w:t>
      </w:r>
      <w:r w:rsidRPr="000F7E56">
        <w:t>where the family had lacked awareness of how gravely ill the patient was. Here the occurrence of unexpected deterioration and death could be a devastating experience, following which participants could feel regret that they had been denied the chance to prepare and to make the best use of the time they had remaining.</w:t>
      </w:r>
    </w:p>
    <w:p w14:paraId="1737C9DC" w14:textId="77777777" w:rsidR="000F7E56" w:rsidRPr="000F7E56" w:rsidRDefault="000F7E56" w:rsidP="000F7E56">
      <w:pPr>
        <w:spacing w:after="120" w:line="360" w:lineRule="auto"/>
        <w:rPr>
          <w:i/>
        </w:rPr>
      </w:pPr>
      <w:r w:rsidRPr="000F7E56">
        <w:rPr>
          <w:i/>
        </w:rPr>
        <w:t>EOLCP discussions</w:t>
      </w:r>
    </w:p>
    <w:p w14:paraId="5247A96E" w14:textId="77777777" w:rsidR="000F7E56" w:rsidRPr="000F7E56" w:rsidRDefault="000F7E56" w:rsidP="000F7E56">
      <w:pPr>
        <w:spacing w:after="120" w:line="360" w:lineRule="auto"/>
      </w:pPr>
      <w:r w:rsidRPr="000F7E56">
        <w:t xml:space="preserve">HCPs sought to identify when patients were ‘ready’ for EOLCP discussions and accompany patients as this evolved through their illness.  In contrast when clinical urgency required immediate discussion FCGs told of the harshness and impact of this, especially if involved them acting as translators for their loved one.  </w:t>
      </w:r>
    </w:p>
    <w:p w14:paraId="223BB6C2" w14:textId="77777777" w:rsidR="00004E55" w:rsidRPr="00004E55" w:rsidRDefault="000F7E56" w:rsidP="00004E55">
      <w:pPr>
        <w:spacing w:line="360" w:lineRule="auto"/>
      </w:pPr>
      <w:r w:rsidRPr="000F7E56">
        <w:t xml:space="preserve">Accounts of patients and families detailed the challenges in information sharing about prognosis and discussions of treatments, seeing prognostic uncertainty as professional avoidance and nihilism and some considered treatments were being withheld. </w:t>
      </w:r>
      <w:r w:rsidR="00004E55" w:rsidRPr="00004E55">
        <w:t xml:space="preserve">Uncertainty was fundamental to patient and FCG experience of illness. Some participants used this as a justification for optimism, others for a more negative or fatalistic stance.  </w:t>
      </w:r>
      <w:r w:rsidR="00004E55">
        <w:t>T</w:t>
      </w:r>
      <w:r w:rsidR="00004E55" w:rsidRPr="00004E55">
        <w:t xml:space="preserve">he response to uncertainty mediated ‘readiness’ for future planning. </w:t>
      </w:r>
      <w:r w:rsidR="00004E55" w:rsidRPr="000F7E56">
        <w:t>The predominant position of HCPs – that of balancing physical burdens and benefits of treatments, was only sometimes shared.</w:t>
      </w:r>
    </w:p>
    <w:p w14:paraId="67DEE320" w14:textId="77777777" w:rsidR="000F7E56" w:rsidRPr="000F7E56" w:rsidRDefault="000F7E56" w:rsidP="000F7E56">
      <w:pPr>
        <w:spacing w:after="120" w:line="360" w:lineRule="auto"/>
      </w:pPr>
    </w:p>
    <w:p w14:paraId="6CBC3ABC" w14:textId="77777777" w:rsidR="000F7E56" w:rsidRPr="000F7E56" w:rsidRDefault="000F7E56" w:rsidP="000F7E56">
      <w:pPr>
        <w:spacing w:after="120" w:line="360" w:lineRule="auto"/>
        <w:rPr>
          <w:i/>
        </w:rPr>
      </w:pPr>
    </w:p>
    <w:p w14:paraId="0C261EA8" w14:textId="77777777" w:rsidR="000F7E56" w:rsidRPr="000F7E56" w:rsidRDefault="000F7E56" w:rsidP="000F7E56">
      <w:pPr>
        <w:spacing w:after="120" w:line="360" w:lineRule="auto"/>
        <w:rPr>
          <w:i/>
        </w:rPr>
      </w:pPr>
      <w:r w:rsidRPr="000F7E56">
        <w:rPr>
          <w:i/>
        </w:rPr>
        <w:t>Decisions about treatment</w:t>
      </w:r>
    </w:p>
    <w:p w14:paraId="2D72DD49" w14:textId="77777777" w:rsidR="000F7E56" w:rsidRPr="000F7E56" w:rsidRDefault="000F7E56" w:rsidP="000F7E56">
      <w:pPr>
        <w:spacing w:after="120" w:line="360" w:lineRule="auto"/>
      </w:pPr>
      <w:r w:rsidRPr="000F7E56">
        <w:t xml:space="preserve">Some had set limits to future care, including cessation or rejection of treatment, such as dialysis or pain relief. Others were clear that they wished to receive all available treatment for as long as possible, and for professionals to make every effort to prolong life, including resuscitation. Participants’ responses were strongly influenced by past experience and observation of others. Several participants expressed a concern that certain treatments, including resuscitation and pain relief, would be either administered or withheld in a deliberate attempt to shorten life. The desire for active treatment was attributed in some cases to religious beliefs but was also expressed by patients who had no religious convictions.  </w:t>
      </w:r>
    </w:p>
    <w:p w14:paraId="2AA01396" w14:textId="77777777" w:rsidR="000F7E56" w:rsidRPr="000F7E56" w:rsidRDefault="000F7E56" w:rsidP="000F7E56">
      <w:pPr>
        <w:spacing w:after="120" w:line="360" w:lineRule="auto"/>
        <w:rPr>
          <w:i/>
        </w:rPr>
      </w:pPr>
      <w:r w:rsidRPr="000F7E56">
        <w:rPr>
          <w:i/>
        </w:rPr>
        <w:t>End of life observances</w:t>
      </w:r>
    </w:p>
    <w:p w14:paraId="5A1C21B4" w14:textId="77777777" w:rsidR="000F7E56" w:rsidRPr="000F7E56" w:rsidRDefault="000F7E56" w:rsidP="000F7E56">
      <w:pPr>
        <w:spacing w:after="120" w:line="360" w:lineRule="auto"/>
      </w:pPr>
      <w:r w:rsidRPr="000F7E56">
        <w:t>Religious and cultural mores for this life and the next were of great importance to many and there were anxieties about how the system valued and enabled these adequately. Family duty and community expectations in care were foregrounded in some accounts. This coupled with complexities related to migration revealed considerable hardships and distress.  Concern about being in the (un)care of strangers was common.</w:t>
      </w:r>
    </w:p>
    <w:p w14:paraId="0445E9C9" w14:textId="77777777" w:rsidR="000F7E56" w:rsidRPr="000F7E56" w:rsidRDefault="000F7E56" w:rsidP="000F7E56">
      <w:pPr>
        <w:keepNext/>
        <w:keepLines/>
        <w:spacing w:after="120" w:line="360" w:lineRule="auto"/>
        <w:outlineLvl w:val="1"/>
        <w:rPr>
          <w:rFonts w:asciiTheme="majorHAnsi" w:eastAsiaTheme="majorEastAsia" w:hAnsiTheme="majorHAnsi" w:cstheme="majorBidi"/>
          <w:color w:val="2F5496" w:themeColor="accent1" w:themeShade="BF"/>
          <w:sz w:val="24"/>
          <w:szCs w:val="24"/>
        </w:rPr>
      </w:pPr>
      <w:bookmarkStart w:id="24" w:name="_Toc106697761"/>
      <w:r w:rsidRPr="000F7E56">
        <w:rPr>
          <w:rFonts w:asciiTheme="majorHAnsi" w:eastAsiaTheme="majorEastAsia" w:hAnsiTheme="majorHAnsi" w:cstheme="majorBidi"/>
          <w:color w:val="2F5496" w:themeColor="accent1" w:themeShade="BF"/>
          <w:sz w:val="24"/>
          <w:szCs w:val="24"/>
        </w:rPr>
        <w:t>Findings from stakeholder workshops and workbooks (WS3)</w:t>
      </w:r>
      <w:bookmarkEnd w:id="24"/>
    </w:p>
    <w:p w14:paraId="09266D02" w14:textId="5EF0A4E5" w:rsidR="000F7E56" w:rsidRPr="000F7E56" w:rsidRDefault="000F7E56" w:rsidP="000F7E56">
      <w:pPr>
        <w:spacing w:after="120" w:line="360" w:lineRule="auto"/>
      </w:pPr>
      <w:r w:rsidRPr="000F7E56">
        <w:rPr>
          <w:lang w:val="en-US"/>
        </w:rPr>
        <w:t>Lay and Community</w:t>
      </w:r>
      <w:r w:rsidR="00E05E4F">
        <w:rPr>
          <w:lang w:val="en-US"/>
        </w:rPr>
        <w:t xml:space="preserve"> and</w:t>
      </w:r>
      <w:r w:rsidRPr="000F7E56">
        <w:rPr>
          <w:lang w:val="en-US"/>
        </w:rPr>
        <w:t xml:space="preserve"> Faith leaders identified that the key and possibly insurmountable barriers to EOLCP were religious fundamentalism, community pressure and cultural expectations. </w:t>
      </w:r>
      <w:r w:rsidR="002A2FEB" w:rsidRPr="000F7E56">
        <w:rPr>
          <w:lang w:val="en-US"/>
        </w:rPr>
        <w:t xml:space="preserve"> </w:t>
      </w:r>
      <w:r w:rsidR="002A2FEB" w:rsidRPr="000F7E56">
        <w:t>Previous negative healthcare experiences also built a lack of trust of professionals and organisations.</w:t>
      </w:r>
      <w:r w:rsidR="002A2FEB">
        <w:t xml:space="preserve"> </w:t>
      </w:r>
      <w:r w:rsidRPr="000F7E56">
        <w:rPr>
          <w:lang w:val="en-US"/>
        </w:rPr>
        <w:t xml:space="preserve">Cultural and religious literacy of </w:t>
      </w:r>
      <w:proofErr w:type="spellStart"/>
      <w:r w:rsidRPr="000F7E56">
        <w:rPr>
          <w:lang w:val="en-US"/>
        </w:rPr>
        <w:t>organisations</w:t>
      </w:r>
      <w:proofErr w:type="spellEnd"/>
      <w:r w:rsidRPr="000F7E56">
        <w:rPr>
          <w:lang w:val="en-US"/>
        </w:rPr>
        <w:t xml:space="preserve"> and individual professionals was seen as lacking as was accurate understanding of communities about end of life services</w:t>
      </w:r>
      <w:r w:rsidRPr="000F7E56">
        <w:t xml:space="preserve">  </w:t>
      </w:r>
    </w:p>
    <w:p w14:paraId="2230A6EB" w14:textId="77777777" w:rsidR="000F7E56" w:rsidRPr="000F7E56" w:rsidRDefault="000F7E56" w:rsidP="000F7E56">
      <w:pPr>
        <w:spacing w:after="120" w:line="360" w:lineRule="auto"/>
      </w:pPr>
      <w:r w:rsidRPr="000F7E56">
        <w:t xml:space="preserve">Effective communication was seen as the key enabler both in the translation between languages but also of use of accessible concepts and terminologies. Additionally, information shared by trusted sources was seen as an important element to enhance care. Personalising care required additional ways of getting to ‘know’ the person (their socio-cultural-spiritual context) and an openness to seeing and doing things differently.   </w:t>
      </w:r>
    </w:p>
    <w:p w14:paraId="3F8039E5" w14:textId="6F7C422C" w:rsidR="000F7E56" w:rsidRPr="000F7E56" w:rsidRDefault="000F7E56" w:rsidP="000F7E56">
      <w:pPr>
        <w:spacing w:after="120" w:line="360" w:lineRule="auto"/>
      </w:pPr>
      <w:r w:rsidRPr="000F7E56">
        <w:t>Development of confidence and skills in supporting people where the ‘usual’ way of doing things is not adequate is needed and evidence-based stories were seen as a powerful training tool to this end.  A number of behavioural change techniques pertinent to this were identified</w:t>
      </w:r>
      <w:r w:rsidR="00793AE7">
        <w:t>,</w:t>
      </w:r>
      <w:r w:rsidRPr="000F7E56">
        <w:t xml:space="preserve"> </w:t>
      </w:r>
      <w:r w:rsidR="00793AE7" w:rsidRPr="00793AE7">
        <w:t>such as setting staged goals with families to ensure an agreed approach to challenges ahead, and facilitating social support within the wider family context for the patient and immediate carer.</w:t>
      </w:r>
    </w:p>
    <w:p w14:paraId="3539ECB2" w14:textId="4819BFA0" w:rsidR="000F7E56" w:rsidRPr="000F7E56" w:rsidRDefault="000F7E56" w:rsidP="000F7E56">
      <w:pPr>
        <w:spacing w:after="120" w:line="360" w:lineRule="auto"/>
      </w:pPr>
      <w:r w:rsidRPr="000F7E56">
        <w:lastRenderedPageBreak/>
        <w:t>A strong message from the findings is that HCP</w:t>
      </w:r>
      <w:r w:rsidR="00E24E5A">
        <w:t>s</w:t>
      </w:r>
      <w:r w:rsidRPr="000F7E56">
        <w:t xml:space="preserve"> and other stakeholders regard </w:t>
      </w:r>
      <w:r w:rsidR="006B6197">
        <w:t xml:space="preserve">genuinely integrated </w:t>
      </w:r>
      <w:r w:rsidR="00973CC1">
        <w:t xml:space="preserve"> </w:t>
      </w:r>
      <w:r w:rsidR="00E24E5A">
        <w:t xml:space="preserve"> interprofessional </w:t>
      </w:r>
      <w:r w:rsidRPr="000F7E56">
        <w:t xml:space="preserve">working as key </w:t>
      </w:r>
      <w:r w:rsidR="00F62541">
        <w:t xml:space="preserve"> to </w:t>
      </w:r>
      <w:r w:rsidR="006B6197">
        <w:t xml:space="preserve"> providing more </w:t>
      </w:r>
      <w:r w:rsidR="00364FAD">
        <w:t xml:space="preserve"> effective end-of-life care to </w:t>
      </w:r>
      <w:r w:rsidRPr="000F7E56">
        <w:t xml:space="preserve"> patients and their families from diverse ethnic backgrounds.</w:t>
      </w:r>
    </w:p>
    <w:p w14:paraId="0A3A2EBA" w14:textId="77777777" w:rsidR="000F7E56" w:rsidRPr="000F7E56" w:rsidRDefault="000F7E56" w:rsidP="000F7E56">
      <w:pPr>
        <w:keepNext/>
        <w:keepLines/>
        <w:spacing w:after="120" w:line="360" w:lineRule="auto"/>
        <w:outlineLvl w:val="1"/>
        <w:rPr>
          <w:rFonts w:asciiTheme="majorHAnsi" w:eastAsiaTheme="majorEastAsia" w:hAnsiTheme="majorHAnsi" w:cstheme="majorBidi"/>
          <w:color w:val="2F5496" w:themeColor="accent1" w:themeShade="BF"/>
          <w:sz w:val="24"/>
          <w:szCs w:val="24"/>
        </w:rPr>
      </w:pPr>
      <w:bookmarkStart w:id="25" w:name="_Toc106697762"/>
      <w:r w:rsidRPr="000F7E56">
        <w:rPr>
          <w:rFonts w:asciiTheme="majorHAnsi" w:eastAsiaTheme="majorEastAsia" w:hAnsiTheme="majorHAnsi" w:cstheme="majorBidi"/>
          <w:color w:val="2F5496" w:themeColor="accent1" w:themeShade="BF"/>
          <w:sz w:val="24"/>
          <w:szCs w:val="24"/>
        </w:rPr>
        <w:t>Conclusions</w:t>
      </w:r>
      <w:bookmarkEnd w:id="25"/>
    </w:p>
    <w:p w14:paraId="6BF17291" w14:textId="651CA788" w:rsidR="00E30BCD" w:rsidRDefault="000F7E56" w:rsidP="000F7E56">
      <w:pPr>
        <w:autoSpaceDE w:val="0"/>
        <w:autoSpaceDN w:val="0"/>
        <w:adjustRightInd w:val="0"/>
        <w:spacing w:after="120" w:line="360" w:lineRule="auto"/>
        <w:rPr>
          <w:rFonts w:cs="Arial"/>
        </w:rPr>
      </w:pPr>
      <w:r w:rsidRPr="000F7E56">
        <w:rPr>
          <w:rFonts w:cs="Arial"/>
        </w:rPr>
        <w:t>Good end</w:t>
      </w:r>
      <w:r w:rsidR="00364FAD">
        <w:rPr>
          <w:rFonts w:cs="Arial"/>
        </w:rPr>
        <w:t>-</w:t>
      </w:r>
      <w:r w:rsidRPr="000F7E56">
        <w:rPr>
          <w:rFonts w:cs="Arial"/>
        </w:rPr>
        <w:t xml:space="preserve"> of</w:t>
      </w:r>
      <w:r w:rsidR="00364FAD">
        <w:rPr>
          <w:rFonts w:cs="Arial"/>
        </w:rPr>
        <w:t>-</w:t>
      </w:r>
      <w:r w:rsidRPr="000F7E56">
        <w:rPr>
          <w:rFonts w:cs="Arial"/>
        </w:rPr>
        <w:t xml:space="preserve"> life care is care aligned with </w:t>
      </w:r>
      <w:r w:rsidR="00891849" w:rsidRPr="000F7E56">
        <w:rPr>
          <w:rFonts w:cs="Arial"/>
        </w:rPr>
        <w:t xml:space="preserve">patient </w:t>
      </w:r>
      <w:r w:rsidRPr="000F7E56">
        <w:rPr>
          <w:rFonts w:cs="Arial"/>
        </w:rPr>
        <w:t xml:space="preserve">preferences </w:t>
      </w:r>
      <w:r w:rsidR="00E30BCD">
        <w:rPr>
          <w:rFonts w:cs="Arial"/>
        </w:rPr>
        <w:t>.</w:t>
      </w:r>
      <w:r w:rsidR="00891849">
        <w:rPr>
          <w:rFonts w:cs="Arial"/>
        </w:rPr>
        <w:t xml:space="preserve"> Truly </w:t>
      </w:r>
      <w:r w:rsidRPr="000F7E56">
        <w:rPr>
          <w:rFonts w:cs="Arial"/>
        </w:rPr>
        <w:t>personalised care requires engagement with the differing values, beliefs and choices of individuals. Our findings indicate that what constitutes a good end</w:t>
      </w:r>
      <w:r w:rsidR="00BB3FFA">
        <w:rPr>
          <w:rFonts w:cs="Arial"/>
        </w:rPr>
        <w:t>-</w:t>
      </w:r>
      <w:r w:rsidRPr="000F7E56">
        <w:rPr>
          <w:rFonts w:cs="Arial"/>
        </w:rPr>
        <w:t>of</w:t>
      </w:r>
      <w:r w:rsidR="00BB3FFA">
        <w:rPr>
          <w:rFonts w:cs="Arial"/>
        </w:rPr>
        <w:t>-</w:t>
      </w:r>
      <w:r w:rsidRPr="000F7E56">
        <w:rPr>
          <w:rFonts w:cs="Arial"/>
        </w:rPr>
        <w:t xml:space="preserve">life and a good death is influenced by the intersectionality of a number of </w:t>
      </w:r>
      <w:r w:rsidR="002A2FEB">
        <w:rPr>
          <w:rFonts w:cs="Arial"/>
        </w:rPr>
        <w:t xml:space="preserve">complex </w:t>
      </w:r>
      <w:r w:rsidRPr="000F7E56">
        <w:rPr>
          <w:rFonts w:cs="Arial"/>
        </w:rPr>
        <w:t>factors including</w:t>
      </w:r>
      <w:r w:rsidR="00BB3FFA">
        <w:rPr>
          <w:rFonts w:cs="Arial"/>
        </w:rPr>
        <w:t>,</w:t>
      </w:r>
      <w:r w:rsidRPr="000F7E56">
        <w:rPr>
          <w:rFonts w:cs="Arial"/>
        </w:rPr>
        <w:t xml:space="preserve"> but by no means limited to</w:t>
      </w:r>
      <w:r w:rsidR="00BB3FFA">
        <w:rPr>
          <w:rFonts w:cs="Arial"/>
        </w:rPr>
        <w:t>,</w:t>
      </w:r>
      <w:r w:rsidRPr="000F7E56">
        <w:rPr>
          <w:rFonts w:cs="Arial"/>
        </w:rPr>
        <w:t xml:space="preserve"> those of beliefs and culture. All people desire care that is personalised, compassionate and holistic </w:t>
      </w:r>
      <w:r w:rsidR="00E30BCD" w:rsidRPr="00E30BCD">
        <w:rPr>
          <w:rFonts w:cs="Arial"/>
        </w:rPr>
        <w:t>and the frameworks for good palliative care support this.  However, HCPs need additional skills to navigate complex, sensitive communication and enquire about spiritual values and aspects of people’s lives with which they may be unfamiliar.  The challenge for HCPs and services is in the delivery of this holistic care framework and the additional range of skills that are required to do this.</w:t>
      </w:r>
    </w:p>
    <w:p w14:paraId="2E0ABEBA" w14:textId="77777777" w:rsidR="00E30BCD" w:rsidRDefault="00E30BCD" w:rsidP="000F7E56">
      <w:pPr>
        <w:autoSpaceDE w:val="0"/>
        <w:autoSpaceDN w:val="0"/>
        <w:adjustRightInd w:val="0"/>
        <w:spacing w:after="120" w:line="360" w:lineRule="auto"/>
        <w:rPr>
          <w:rFonts w:cs="Arial"/>
        </w:rPr>
      </w:pPr>
    </w:p>
    <w:p w14:paraId="751F42AD" w14:textId="6F0A1BB6" w:rsidR="000F7E56" w:rsidRPr="000F7E56" w:rsidRDefault="000F7E56" w:rsidP="000F7E56">
      <w:pPr>
        <w:autoSpaceDE w:val="0"/>
        <w:autoSpaceDN w:val="0"/>
        <w:adjustRightInd w:val="0"/>
        <w:spacing w:after="120" w:line="360" w:lineRule="auto"/>
        <w:rPr>
          <w:rFonts w:cs="Arial"/>
        </w:rPr>
      </w:pPr>
      <w:r w:rsidRPr="000F7E56">
        <w:rPr>
          <w:rFonts w:cs="Arial"/>
        </w:rPr>
        <w:t xml:space="preserve"> The nuanced </w:t>
      </w:r>
      <w:r w:rsidR="003D3D3C">
        <w:rPr>
          <w:rFonts w:cs="Arial"/>
        </w:rPr>
        <w:t xml:space="preserve">– and changing - </w:t>
      </w:r>
      <w:r w:rsidRPr="000F7E56">
        <w:rPr>
          <w:rFonts w:cs="Arial"/>
        </w:rPr>
        <w:t xml:space="preserve">preferences for information, decision-making and care in the accounts and experiences of our participants indicate that only a focus on outcomes that relate to care being personalised, compassionate and holistic will address inequity. What constitutes a useful and safe discussion about the future may look and feel different when underpinned by specific paradigms about life, illness and death. Offering opportunities for information and discussion about a person’s illness and situation </w:t>
      </w:r>
      <w:r w:rsidR="00975FF9">
        <w:rPr>
          <w:rFonts w:cs="Arial"/>
        </w:rPr>
        <w:t>wa</w:t>
      </w:r>
      <w:r w:rsidRPr="000F7E56">
        <w:rPr>
          <w:rFonts w:cs="Arial"/>
        </w:rPr>
        <w:t xml:space="preserve">s valued by many but not by all of our participants and the level </w:t>
      </w:r>
      <w:r w:rsidR="00975FF9">
        <w:rPr>
          <w:rFonts w:cs="Arial"/>
        </w:rPr>
        <w:t xml:space="preserve">and timing </w:t>
      </w:r>
      <w:r w:rsidRPr="000F7E56">
        <w:rPr>
          <w:rFonts w:cs="Arial"/>
        </w:rPr>
        <w:t>of that discussion and who that discussion is held with</w:t>
      </w:r>
      <w:r w:rsidR="00632481">
        <w:rPr>
          <w:rFonts w:cs="Arial"/>
        </w:rPr>
        <w:t>,</w:t>
      </w:r>
      <w:r w:rsidRPr="000F7E56">
        <w:rPr>
          <w:rFonts w:cs="Arial"/>
        </w:rPr>
        <w:t xml:space="preserve"> must be navigated with skill.  </w:t>
      </w:r>
    </w:p>
    <w:p w14:paraId="4B4DCE06" w14:textId="77777777" w:rsidR="000F7E56" w:rsidRPr="000F7E56" w:rsidRDefault="000F7E56" w:rsidP="000F7E56">
      <w:pPr>
        <w:spacing w:after="120" w:line="360" w:lineRule="auto"/>
        <w:rPr>
          <w:rFonts w:cs="Arial"/>
        </w:rPr>
      </w:pPr>
      <w:r w:rsidRPr="000F7E56">
        <w:rPr>
          <w:rFonts w:cs="Arial"/>
          <w:i/>
        </w:rPr>
        <w:t>Implications for practice</w:t>
      </w:r>
      <w:r w:rsidRPr="000F7E56">
        <w:rPr>
          <w:rFonts w:cs="Arial"/>
        </w:rPr>
        <w:t xml:space="preserve">:  </w:t>
      </w:r>
    </w:p>
    <w:p w14:paraId="02E59AAB" w14:textId="6F391E5B" w:rsidR="000F7E56" w:rsidRPr="000F7E56" w:rsidRDefault="000F7E56" w:rsidP="000F7E56">
      <w:pPr>
        <w:spacing w:after="120" w:line="360" w:lineRule="auto"/>
        <w:rPr>
          <w:rFonts w:cs="Arial"/>
        </w:rPr>
      </w:pPr>
      <w:r w:rsidRPr="000F7E56">
        <w:rPr>
          <w:rFonts w:cs="Arial"/>
        </w:rPr>
        <w:t xml:space="preserve">EOLCP </w:t>
      </w:r>
      <w:r w:rsidR="00E30BCD">
        <w:rPr>
          <w:rFonts w:cs="Arial"/>
        </w:rPr>
        <w:t xml:space="preserve">and related </w:t>
      </w:r>
      <w:r w:rsidRPr="000F7E56">
        <w:rPr>
          <w:rFonts w:cs="Arial"/>
        </w:rPr>
        <w:t xml:space="preserve">documentation is seen in policy as the predominant vehicle for enabling good end of life but this may be in tension with the preferences of patients.  </w:t>
      </w:r>
    </w:p>
    <w:p w14:paraId="3D6B4778" w14:textId="77777777" w:rsidR="000F7E56" w:rsidRPr="000F7E56" w:rsidRDefault="000F7E56" w:rsidP="000F7E56">
      <w:pPr>
        <w:spacing w:after="120" w:line="360" w:lineRule="auto"/>
        <w:rPr>
          <w:rFonts w:cs="Arial"/>
        </w:rPr>
      </w:pPr>
      <w:r w:rsidRPr="000F7E56">
        <w:rPr>
          <w:rFonts w:cs="Arial"/>
        </w:rPr>
        <w:t xml:space="preserve">Systemic support needs to be more effectively attuned to the values and socio-cultural contexts of patients and families and provide continuity in order to deliver on personalised care. </w:t>
      </w:r>
    </w:p>
    <w:p w14:paraId="57A1AD06" w14:textId="77777777" w:rsidR="000F7E56" w:rsidRPr="000F7E56" w:rsidRDefault="000F7E56" w:rsidP="000F7E56">
      <w:pPr>
        <w:spacing w:after="120" w:line="360" w:lineRule="auto"/>
        <w:rPr>
          <w:rFonts w:cs="Arial"/>
        </w:rPr>
      </w:pPr>
      <w:r w:rsidRPr="000F7E56">
        <w:rPr>
          <w:rFonts w:cs="Arial"/>
        </w:rPr>
        <w:t>Health professionals require high level skills to navigate complex, sensitive communication and interpersonal relationships that foster appropriate discussions and planning for anticipated deterioration. This could be fostered by an integrated team approach which includes members with skills in language and cultural bridging or advocacy.</w:t>
      </w:r>
    </w:p>
    <w:p w14:paraId="70779545" w14:textId="77777777" w:rsidR="000F7E56" w:rsidRPr="000F7E56" w:rsidRDefault="000F7E56" w:rsidP="000F7E56">
      <w:pPr>
        <w:spacing w:after="120" w:line="360" w:lineRule="auto"/>
        <w:rPr>
          <w:rFonts w:cs="Arial"/>
          <w:i/>
        </w:rPr>
      </w:pPr>
      <w:r w:rsidRPr="000F7E56">
        <w:rPr>
          <w:rFonts w:cs="Arial"/>
          <w:i/>
        </w:rPr>
        <w:t>Recommendations for research:</w:t>
      </w:r>
    </w:p>
    <w:p w14:paraId="36A66CF5" w14:textId="77777777" w:rsidR="000F7E56" w:rsidRPr="000F7E56" w:rsidRDefault="000F7E56" w:rsidP="000C7E4F">
      <w:pPr>
        <w:numPr>
          <w:ilvl w:val="0"/>
          <w:numId w:val="13"/>
        </w:numPr>
        <w:spacing w:after="120" w:line="360" w:lineRule="auto"/>
        <w:ind w:left="1077" w:hanging="357"/>
        <w:contextualSpacing/>
        <w:rPr>
          <w:rFonts w:cs="Arial"/>
        </w:rPr>
      </w:pPr>
      <w:r w:rsidRPr="000F7E56">
        <w:rPr>
          <w:rFonts w:cs="Arial"/>
        </w:rPr>
        <w:lastRenderedPageBreak/>
        <w:t>How can health professionals identify if/when a patient is ‘ready’ for anticipatory discussions of deterioration and dying?</w:t>
      </w:r>
    </w:p>
    <w:p w14:paraId="29AEB445" w14:textId="77777777" w:rsidR="000F7E56" w:rsidRPr="000F7E56" w:rsidRDefault="000F7E56" w:rsidP="000C7E4F">
      <w:pPr>
        <w:numPr>
          <w:ilvl w:val="0"/>
          <w:numId w:val="13"/>
        </w:numPr>
        <w:spacing w:after="120" w:line="360" w:lineRule="auto"/>
        <w:ind w:left="1077" w:hanging="357"/>
        <w:contextualSpacing/>
        <w:rPr>
          <w:rFonts w:cs="Arial"/>
        </w:rPr>
      </w:pPr>
      <w:r w:rsidRPr="000F7E56">
        <w:rPr>
          <w:rFonts w:cs="Arial"/>
        </w:rPr>
        <w:t>How can discussions about uncertain recovery and the need for decisions about ceilings of care especially resuscitation be most effectively conducted in a crisis?</w:t>
      </w:r>
    </w:p>
    <w:p w14:paraId="2E467690" w14:textId="77777777" w:rsidR="000F7E56" w:rsidRPr="000F7E56" w:rsidRDefault="000F7E56" w:rsidP="000C7E4F">
      <w:pPr>
        <w:numPr>
          <w:ilvl w:val="0"/>
          <w:numId w:val="13"/>
        </w:numPr>
        <w:spacing w:after="120" w:line="360" w:lineRule="auto"/>
        <w:ind w:left="1077" w:hanging="357"/>
        <w:contextualSpacing/>
        <w:rPr>
          <w:rFonts w:cs="Arial"/>
        </w:rPr>
      </w:pPr>
      <w:r w:rsidRPr="000F7E56">
        <w:rPr>
          <w:rFonts w:cs="Arial"/>
        </w:rPr>
        <w:t>How can professionals recognise and respond to the diversity of faith and cultural practices as well as the heterogeneity of beliefs and preferences relating to end of life care between individuals from different ethnic groups?</w:t>
      </w:r>
    </w:p>
    <w:p w14:paraId="478F3DF0" w14:textId="77777777" w:rsidR="00802C61" w:rsidRDefault="000F7E56" w:rsidP="00802C61">
      <w:pPr>
        <w:numPr>
          <w:ilvl w:val="0"/>
          <w:numId w:val="13"/>
        </w:numPr>
        <w:spacing w:after="120" w:line="360" w:lineRule="auto"/>
        <w:ind w:left="1077" w:hanging="357"/>
        <w:contextualSpacing/>
        <w:rPr>
          <w:rFonts w:cs="Arial"/>
        </w:rPr>
      </w:pPr>
      <w:r w:rsidRPr="000F7E56">
        <w:rPr>
          <w:rFonts w:cs="Arial"/>
        </w:rPr>
        <w:t xml:space="preserve">What are the implications of an understanding of collectivist and relational models of care and decision-making for current UK health policy and practice and their focus on individual choice, autonomy and anticipatory planning? </w:t>
      </w:r>
    </w:p>
    <w:p w14:paraId="6D3AC5F7" w14:textId="3451F776" w:rsidR="00802C61" w:rsidRPr="000617EB" w:rsidRDefault="00802C61" w:rsidP="00D74EFC">
      <w:pPr>
        <w:numPr>
          <w:ilvl w:val="0"/>
          <w:numId w:val="13"/>
        </w:numPr>
        <w:spacing w:after="120" w:line="360" w:lineRule="auto"/>
        <w:ind w:left="1077" w:hanging="357"/>
        <w:contextualSpacing/>
        <w:rPr>
          <w:rFonts w:cs="Arial"/>
        </w:rPr>
      </w:pPr>
      <w:r w:rsidRPr="000617EB">
        <w:rPr>
          <w:rFonts w:cs="Arial"/>
        </w:rPr>
        <w:t>How can conversations be most effectively conducted where translation is required  to enhance patient understanding.</w:t>
      </w:r>
    </w:p>
    <w:p w14:paraId="1CA71ED3" w14:textId="77777777" w:rsidR="00802C61" w:rsidRPr="000F7E56" w:rsidRDefault="00802C61" w:rsidP="00D74EFC">
      <w:pPr>
        <w:spacing w:after="120" w:line="360" w:lineRule="auto"/>
        <w:ind w:left="1077"/>
        <w:contextualSpacing/>
        <w:rPr>
          <w:rFonts w:cs="Arial"/>
        </w:rPr>
      </w:pPr>
    </w:p>
    <w:p w14:paraId="72E1394F" w14:textId="77777777" w:rsidR="000F7E56" w:rsidRPr="000F7E56" w:rsidRDefault="000F7E56" w:rsidP="000F7E56">
      <w:pPr>
        <w:spacing w:after="120" w:line="360" w:lineRule="auto"/>
        <w:rPr>
          <w:rFonts w:cs="Arial"/>
        </w:rPr>
      </w:pPr>
    </w:p>
    <w:p w14:paraId="45608203" w14:textId="77777777" w:rsidR="000F7E56" w:rsidRPr="000F7E56" w:rsidRDefault="000F7E56" w:rsidP="000F7E56">
      <w:pPr>
        <w:keepNext/>
        <w:keepLines/>
        <w:spacing w:after="120" w:line="360" w:lineRule="auto"/>
        <w:outlineLvl w:val="1"/>
        <w:rPr>
          <w:rFonts w:asciiTheme="majorHAnsi" w:eastAsiaTheme="majorEastAsia" w:hAnsiTheme="majorHAnsi" w:cstheme="majorBidi"/>
          <w:color w:val="2F5496" w:themeColor="accent1" w:themeShade="BF"/>
          <w:sz w:val="24"/>
          <w:szCs w:val="24"/>
        </w:rPr>
      </w:pPr>
      <w:bookmarkStart w:id="26" w:name="_Toc106697763"/>
      <w:r w:rsidRPr="000F7E56">
        <w:rPr>
          <w:rFonts w:asciiTheme="majorHAnsi" w:eastAsiaTheme="majorEastAsia" w:hAnsiTheme="majorHAnsi" w:cstheme="majorBidi"/>
          <w:color w:val="2F5496" w:themeColor="accent1" w:themeShade="BF"/>
          <w:sz w:val="24"/>
          <w:szCs w:val="24"/>
        </w:rPr>
        <w:t>Governance and approvals</w:t>
      </w:r>
      <w:bookmarkEnd w:id="26"/>
    </w:p>
    <w:p w14:paraId="22687FBD" w14:textId="644F0ED7" w:rsidR="000F7E56" w:rsidRPr="00F74B53" w:rsidRDefault="000F7E56" w:rsidP="000F7E56">
      <w:pPr>
        <w:autoSpaceDE w:val="0"/>
        <w:autoSpaceDN w:val="0"/>
        <w:adjustRightInd w:val="0"/>
        <w:spacing w:after="120" w:line="360" w:lineRule="auto"/>
        <w:rPr>
          <w:rFonts w:cstheme="minorHAnsi"/>
        </w:rPr>
      </w:pPr>
      <w:r w:rsidRPr="00F74B53">
        <w:rPr>
          <w:rFonts w:cstheme="minorHAnsi"/>
        </w:rPr>
        <w:t xml:space="preserve">The University of Hospitals of Leicester is the study Sponsor (Ref: </w:t>
      </w:r>
      <w:r w:rsidR="00E05E4F">
        <w:rPr>
          <w:rFonts w:cstheme="minorHAnsi"/>
        </w:rPr>
        <w:t xml:space="preserve">IRAS 251664 </w:t>
      </w:r>
      <w:r w:rsidRPr="00F74B53">
        <w:rPr>
          <w:rFonts w:cstheme="minorHAnsi"/>
        </w:rPr>
        <w:t xml:space="preserve">Edge111248). </w:t>
      </w:r>
      <w:r w:rsidRPr="00F74B53">
        <w:rPr>
          <w:rFonts w:cstheme="minorHAnsi"/>
          <w:lang w:val="en-US"/>
        </w:rPr>
        <w:t xml:space="preserve">NHS Research Ethics Committee approval was obtained in December 2018 (Ref: 18/WM/0310) with two subsequent substantial amendments (May 2019 and </w:t>
      </w:r>
      <w:r w:rsidRPr="00F74B53">
        <w:rPr>
          <w:rFonts w:cs="Arial"/>
        </w:rPr>
        <w:t xml:space="preserve">March 2020). </w:t>
      </w:r>
      <w:r w:rsidR="00E05E4F">
        <w:rPr>
          <w:rFonts w:cs="Arial"/>
        </w:rPr>
        <w:t>HRA approval was obtained on 4/12/18.</w:t>
      </w:r>
    </w:p>
    <w:p w14:paraId="1DF9368D" w14:textId="77777777" w:rsidR="000F7E56" w:rsidRPr="00F74B53" w:rsidRDefault="000F7E56" w:rsidP="000F7E56">
      <w:pPr>
        <w:spacing w:after="120" w:line="360" w:lineRule="auto"/>
        <w:rPr>
          <w:rFonts w:cstheme="minorHAnsi"/>
        </w:rPr>
      </w:pPr>
      <w:r w:rsidRPr="00F74B53">
        <w:rPr>
          <w:rFonts w:cstheme="minorHAnsi"/>
        </w:rPr>
        <w:t>Funding</w:t>
      </w:r>
    </w:p>
    <w:p w14:paraId="7CAE7E3C" w14:textId="77777777" w:rsidR="000F7E56" w:rsidRPr="00F74B53" w:rsidRDefault="000F7E56" w:rsidP="000F7E56">
      <w:pPr>
        <w:spacing w:after="120" w:line="360" w:lineRule="auto"/>
        <w:rPr>
          <w:rFonts w:cstheme="minorHAnsi"/>
        </w:rPr>
      </w:pPr>
      <w:r w:rsidRPr="00F74B53">
        <w:rPr>
          <w:rFonts w:eastAsia="Times New Roman" w:cstheme="minorHAnsi"/>
          <w:lang w:val="en"/>
        </w:rPr>
        <w:t xml:space="preserve">This project was funded by the National Institute for Health Research (NIHR) HS&amp;DR </w:t>
      </w:r>
      <w:proofErr w:type="spellStart"/>
      <w:r w:rsidRPr="00F74B53">
        <w:rPr>
          <w:rFonts w:eastAsia="Times New Roman" w:cstheme="minorHAnsi"/>
          <w:lang w:val="en"/>
        </w:rPr>
        <w:t>programme</w:t>
      </w:r>
      <w:proofErr w:type="spellEnd"/>
      <w:r w:rsidRPr="00F74B53">
        <w:rPr>
          <w:rFonts w:eastAsia="Times New Roman" w:cstheme="minorHAnsi"/>
          <w:lang w:val="en"/>
        </w:rPr>
        <w:t xml:space="preserve"> (</w:t>
      </w:r>
      <w:r w:rsidRPr="00F74B53">
        <w:rPr>
          <w:rFonts w:cstheme="minorHAnsi"/>
        </w:rPr>
        <w:t xml:space="preserve">Ref: 124594 17/05/30) </w:t>
      </w:r>
      <w:r w:rsidRPr="00F74B53">
        <w:rPr>
          <w:rFonts w:eastAsia="Times New Roman" w:cstheme="minorHAnsi"/>
          <w:lang w:val="en"/>
        </w:rPr>
        <w:t>and will be published in full in XXX Journal; Vol. XX, No. XX. See the NIHR Journals Library website for further project information.</w:t>
      </w:r>
    </w:p>
    <w:p w14:paraId="4D2DBAC8" w14:textId="77777777" w:rsidR="000F7E56" w:rsidRPr="00F74B53" w:rsidRDefault="000F7E56" w:rsidP="000F7E56">
      <w:pPr>
        <w:pBdr>
          <w:top w:val="nil"/>
          <w:left w:val="nil"/>
          <w:bottom w:val="nil"/>
          <w:right w:val="nil"/>
          <w:between w:val="nil"/>
          <w:bar w:val="nil"/>
        </w:pBdr>
        <w:spacing w:before="160" w:after="120" w:line="360" w:lineRule="auto"/>
        <w:rPr>
          <w:rFonts w:eastAsia="Helvetica Neue" w:cstheme="minorHAnsi"/>
          <w:bdr w:val="nil"/>
          <w:lang w:eastAsia="en-GB"/>
          <w14:textOutline w14:w="0" w14:cap="flat" w14:cmpd="sng" w14:algn="ctr">
            <w14:noFill/>
            <w14:prstDash w14:val="solid"/>
            <w14:bevel/>
          </w14:textOutline>
        </w:rPr>
      </w:pPr>
      <w:r w:rsidRPr="00F74B53">
        <w:rPr>
          <w:rFonts w:eastAsia="Times New Roman" w:cstheme="minorHAnsi"/>
          <w:bdr w:val="nil"/>
          <w:lang w:eastAsia="en-GB"/>
          <w14:textOutline w14:w="0" w14:cap="flat" w14:cmpd="sng" w14:algn="ctr">
            <w14:noFill/>
            <w14:prstDash w14:val="solid"/>
            <w14:bevel/>
          </w14:textOutline>
        </w:rPr>
        <w:t>The study is registered on the research registry (</w:t>
      </w:r>
      <w:r w:rsidRPr="00F74B53">
        <w:rPr>
          <w:rFonts w:eastAsia="Helvetica Neue" w:cstheme="minorHAnsi"/>
          <w:bdr w:val="nil"/>
          <w:lang w:eastAsia="en-GB"/>
          <w14:textOutline w14:w="0" w14:cap="flat" w14:cmpd="sng" w14:algn="ctr">
            <w14:noFill/>
            <w14:prstDash w14:val="solid"/>
            <w14:bevel/>
          </w14:textOutline>
        </w:rPr>
        <w:t>researchregistry6161)</w:t>
      </w:r>
    </w:p>
    <w:p w14:paraId="6E637594" w14:textId="77777777" w:rsidR="000F7E56" w:rsidRPr="00F74B53" w:rsidRDefault="000F7E56" w:rsidP="000F7E56">
      <w:pPr>
        <w:spacing w:after="120" w:line="360" w:lineRule="auto"/>
        <w:rPr>
          <w:rFonts w:cstheme="minorHAnsi"/>
        </w:rPr>
      </w:pPr>
    </w:p>
    <w:p w14:paraId="78A29052" w14:textId="77777777" w:rsidR="000F7E56" w:rsidRPr="000F7E56" w:rsidRDefault="000F7E56" w:rsidP="000F7E56">
      <w:pPr>
        <w:spacing w:after="120" w:line="360" w:lineRule="auto"/>
        <w:rPr>
          <w:rFonts w:cstheme="minorHAnsi"/>
        </w:rPr>
      </w:pPr>
    </w:p>
    <w:p w14:paraId="0F8786D0" w14:textId="77777777" w:rsidR="000F7E56" w:rsidRPr="000F7E56" w:rsidRDefault="000F7E56" w:rsidP="000F7E56">
      <w:pPr>
        <w:spacing w:line="360" w:lineRule="auto"/>
      </w:pPr>
    </w:p>
    <w:p w14:paraId="5D4B9820" w14:textId="77777777" w:rsidR="000F7E56" w:rsidRPr="000F7E56" w:rsidRDefault="000F7E56" w:rsidP="000F7E56">
      <w:pPr>
        <w:keepNext/>
        <w:keepLines/>
        <w:spacing w:before="320" w:after="120" w:line="240" w:lineRule="auto"/>
        <w:jc w:val="center"/>
        <w:outlineLvl w:val="0"/>
        <w:rPr>
          <w:rFonts w:ascii="Calibri Light" w:eastAsia="SimSun" w:hAnsi="Calibri Light" w:cs="Times New Roman"/>
          <w:color w:val="2E74B5"/>
          <w:sz w:val="56"/>
          <w:szCs w:val="32"/>
          <w:lang w:eastAsia="en-GB"/>
        </w:rPr>
      </w:pPr>
      <w:r w:rsidRPr="000F7E56">
        <w:rPr>
          <w:rFonts w:eastAsiaTheme="minorEastAsia" w:cstheme="minorHAnsi"/>
          <w:b/>
          <w:color w:val="4472C4" w:themeColor="accent1"/>
          <w:sz w:val="36"/>
          <w:szCs w:val="36"/>
        </w:rPr>
        <w:br w:type="page"/>
      </w:r>
      <w:bookmarkStart w:id="27" w:name="_Toc89665135"/>
      <w:bookmarkStart w:id="28" w:name="_Toc89671888"/>
      <w:bookmarkStart w:id="29" w:name="_Toc89763938"/>
    </w:p>
    <w:p w14:paraId="3817F72A" w14:textId="77777777" w:rsidR="000F7E56" w:rsidRPr="000F7E56" w:rsidRDefault="000F7E56" w:rsidP="000F7E56">
      <w:pPr>
        <w:keepNext/>
        <w:keepLines/>
        <w:spacing w:before="320" w:after="120" w:line="240" w:lineRule="auto"/>
        <w:jc w:val="center"/>
        <w:outlineLvl w:val="0"/>
        <w:rPr>
          <w:rFonts w:ascii="Calibri Light" w:eastAsia="SimSun" w:hAnsi="Calibri Light" w:cs="Calibri Light"/>
          <w:color w:val="4472C4" w:themeColor="accent1"/>
          <w:sz w:val="56"/>
          <w:szCs w:val="32"/>
        </w:rPr>
      </w:pPr>
      <w:bookmarkStart w:id="30" w:name="_Toc106697764"/>
      <w:r w:rsidRPr="000F7E56">
        <w:rPr>
          <w:rFonts w:ascii="Calibri Light" w:eastAsia="SimSun" w:hAnsi="Calibri Light" w:cs="Calibri Light"/>
          <w:color w:val="4472C4" w:themeColor="accent1"/>
          <w:sz w:val="56"/>
          <w:szCs w:val="32"/>
        </w:rPr>
        <w:lastRenderedPageBreak/>
        <w:t>Chapter 1: Context and Introduction</w:t>
      </w:r>
      <w:bookmarkEnd w:id="0"/>
      <w:bookmarkEnd w:id="27"/>
      <w:bookmarkEnd w:id="28"/>
      <w:bookmarkEnd w:id="29"/>
      <w:bookmarkEnd w:id="30"/>
    </w:p>
    <w:p w14:paraId="0A71E38C" w14:textId="77777777" w:rsidR="000F7E56" w:rsidRPr="000F7E56" w:rsidRDefault="000F7E56" w:rsidP="000F7E56">
      <w:pPr>
        <w:spacing w:after="120" w:line="264" w:lineRule="auto"/>
        <w:rPr>
          <w:rFonts w:ascii="Calibri" w:eastAsia="SimSun" w:hAnsi="Calibri" w:cs="Arial"/>
          <w:sz w:val="20"/>
          <w:szCs w:val="20"/>
        </w:rPr>
      </w:pPr>
    </w:p>
    <w:p w14:paraId="4E332ACE" w14:textId="519CF732" w:rsidR="000F7E56" w:rsidRPr="000F7E56" w:rsidRDefault="000F7E56" w:rsidP="000F7E56">
      <w:pPr>
        <w:spacing w:before="120" w:after="0" w:line="360" w:lineRule="auto"/>
        <w:rPr>
          <w:rFonts w:ascii="Calibri" w:eastAsia="SimSun" w:hAnsi="Calibri" w:cs="Calibri"/>
        </w:rPr>
      </w:pPr>
      <w:r w:rsidRPr="000F7E56">
        <w:rPr>
          <w:rFonts w:ascii="Calibri" w:eastAsia="SimSun" w:hAnsi="Calibri" w:cs="Calibri"/>
        </w:rPr>
        <w:t>This report presents findings of a 35-month study funded by the National Institute for Health Research (NIHR) Health Services and Delivery Research programme. The study explored how terminally ill patients with advanced illness from ethnically diverse (ED) backgrounds and their family care givers (FCGs) thought ahead about preferences related to anticipated deterioration and dying and whether and how they engaged with healthcare professionals (HCPs) in end-of-life care planning (EOLCP). In this study we have used the term ‘ethnically diverse’ to describe individuals who are diverse in terms of language, culture and ethnic background. It should be noted that when using the term ‘ethnically diverse’ we are referring to all ethnic minority groups except the White British group. Throughout this report the term ‘ethnically diverse’ also refers to ethnic minorities including White minorities, such as European, Gypsy, Roma and Irish Traveller groups.</w:t>
      </w:r>
      <w:r w:rsidRPr="000F7E56">
        <w:rPr>
          <w:rFonts w:ascii="Calibri" w:eastAsia="SimSun" w:hAnsi="Calibri" w:cs="Calibri"/>
        </w:rPr>
        <w:fldChar w:fldCharType="begin"/>
      </w:r>
      <w:r w:rsidR="000D5597">
        <w:rPr>
          <w:rFonts w:ascii="Calibri" w:eastAsia="SimSun" w:hAnsi="Calibri" w:cs="Calibri"/>
        </w:rPr>
        <w:instrText xml:space="preserve"> ADDIN ZOTERO_ITEM CSL_CITATION {"citationID":"cIZAO1hh","properties":{"formattedCitation":"\\super 1\\nosupersub{}","plainCitation":"1","noteIndex":0},"citationItems":[{"id":751,"uris":["http://zotero.org/users/8748280/items/4YHRWE62"],"itemData":{"id":751,"type":"webpage","abstract":"How we write about ethnicity, including our definition of ethnic minorities, words and phrases we use and avoid, and why we don’t use BAME or BME","language":"en","title":"Writing about ethnicity","URL":"https://www.ethnicity-facts-figures.service.gov.uk/style-guide/writing-about-ethnicity","accessed":{"date-parts":[["2021",11,9]]}}}],"schema":"https://github.com/citation-style-language/schema/raw/master/csl-citation.json"} </w:instrText>
      </w:r>
      <w:r w:rsidRPr="000F7E56">
        <w:rPr>
          <w:rFonts w:ascii="Calibri" w:eastAsia="SimSun" w:hAnsi="Calibri" w:cs="Calibri"/>
        </w:rPr>
        <w:fldChar w:fldCharType="separate"/>
      </w:r>
      <w:r w:rsidR="00496C3B" w:rsidRPr="00496C3B">
        <w:rPr>
          <w:rFonts w:ascii="Calibri" w:hAnsi="Calibri" w:cs="Calibri"/>
          <w:szCs w:val="24"/>
          <w:vertAlign w:val="superscript"/>
        </w:rPr>
        <w:t>1</w:t>
      </w:r>
      <w:r w:rsidRPr="000F7E56">
        <w:rPr>
          <w:rFonts w:ascii="Calibri" w:eastAsia="SimSun" w:hAnsi="Calibri" w:cs="Calibri"/>
        </w:rPr>
        <w:fldChar w:fldCharType="end"/>
      </w:r>
    </w:p>
    <w:p w14:paraId="1BFDFC7A" w14:textId="5DD6DCC6" w:rsidR="000F7E56" w:rsidRPr="000F7E56" w:rsidRDefault="000F7E56" w:rsidP="000F7E56">
      <w:pPr>
        <w:spacing w:before="120" w:after="0" w:line="360" w:lineRule="auto"/>
        <w:rPr>
          <w:rFonts w:ascii="Calibri" w:eastAsia="SimSun" w:hAnsi="Calibri" w:cs="Calibri"/>
          <w:color w:val="000000"/>
        </w:rPr>
      </w:pPr>
      <w:r w:rsidRPr="000F7E56">
        <w:rPr>
          <w:rFonts w:ascii="Calibri" w:eastAsia="SimSun" w:hAnsi="Calibri" w:cs="Calibri"/>
          <w:bCs/>
          <w:color w:val="000000"/>
          <w:lang w:eastAsia="en-GB"/>
        </w:rPr>
        <w:t xml:space="preserve">When someone has an illness which is very </w:t>
      </w:r>
      <w:r w:rsidRPr="000F7E56">
        <w:rPr>
          <w:rFonts w:ascii="Calibri" w:eastAsia="SimSun" w:hAnsi="Calibri" w:cs="Calibri"/>
          <w:color w:val="000000"/>
          <w:lang w:eastAsia="en-GB"/>
        </w:rPr>
        <w:t xml:space="preserve">advanced, progressive and terminal, a shift in the approach of care may be considered in the last months of their life which integrates a focus on symptom management, quality of life and preparation for dying. For some people this approach may be integrated alongside treatments aimed at prolonging life, for others this palliative approach may be the main focus of care to help people to live as comfortably as possible. </w:t>
      </w:r>
      <w:r w:rsidRPr="000F7E56">
        <w:rPr>
          <w:rFonts w:ascii="Calibri" w:eastAsia="SimSun" w:hAnsi="Calibri" w:cs="Calibri"/>
          <w:color w:val="000000"/>
        </w:rPr>
        <w:t>Advance care planning (ACP) provides an opportunity for people to express their wishes about many things including care and treatment in the future, should they subsequently lose capacity to do so: these principles are embedded in the Mental Capacity Act and national UK end-of-life care policy.</w:t>
      </w:r>
      <w:r w:rsidRPr="000F7E56">
        <w:rPr>
          <w:rFonts w:ascii="Calibri" w:eastAsia="SimSun" w:hAnsi="Calibri" w:cs="Calibri"/>
          <w:color w:val="000000"/>
        </w:rPr>
        <w:fldChar w:fldCharType="begin"/>
      </w:r>
      <w:r w:rsidR="000D5597">
        <w:rPr>
          <w:rFonts w:ascii="Calibri" w:eastAsia="SimSun" w:hAnsi="Calibri" w:cs="Calibri"/>
          <w:color w:val="000000"/>
        </w:rPr>
        <w:instrText xml:space="preserve"> ADDIN ZOTERO_ITEM CSL_CITATION {"citationID":"DC3v8ic0","properties":{"formattedCitation":"\\super 2,3\\nosupersub{}","plainCitation":"2,3","noteIndex":0},"citationItems":[{"id":"aZbwIlcN/dhewDl8y","uris":["http://zotero.org/users/6587080/items/VH6FY8JU"],"itemData":{"id":"rsBVdXjp/SjcklhOu","type":"webpage","abstract":"Code of practice giving guidance for decisions made under the Mental Capacity Act 2005.","container-title":"GOV.UK","language":"en","title":"Mental Capacity Act 2005: Code of Practice 2007","URL":"https://www.gov.uk/government/publications/mental-capacity-act-code-of-practice","author":[{"family":"Department for Constitutional Affairs,","given":""}],"accessed":{"date-parts":[["2021",7,10]]}}},{"id":"aZbwIlcN/WOrttcKv","uris":["http://zotero.org/users/6587080/items/TF89Y6ZR"],"itemData":{"id":"rsBVdXjp/kO2aV4kP","type":"article-journal","language":"en","page":"171","source":"Zotero","title":"End of Life Care Strategy - Promoting high quality care of all adults at the end of life.","author":[{"family":"Department of Health","given":""}],"issued":{"date-parts":[["2008"]]}}}],"schema":"https://github.com/citation-style-language/schema/raw/master/csl-citation.json"} </w:instrText>
      </w:r>
      <w:r w:rsidRPr="000F7E56">
        <w:rPr>
          <w:rFonts w:ascii="Calibri" w:eastAsia="SimSun" w:hAnsi="Calibri" w:cs="Calibri"/>
          <w:color w:val="000000"/>
        </w:rPr>
        <w:fldChar w:fldCharType="separate"/>
      </w:r>
      <w:r w:rsidR="00496C3B" w:rsidRPr="00496C3B">
        <w:rPr>
          <w:rFonts w:ascii="Calibri" w:hAnsi="Calibri" w:cs="Calibri"/>
          <w:szCs w:val="24"/>
          <w:vertAlign w:val="superscript"/>
        </w:rPr>
        <w:t>2,3</w:t>
      </w:r>
      <w:r w:rsidRPr="000F7E56">
        <w:rPr>
          <w:rFonts w:ascii="Calibri" w:eastAsia="SimSun" w:hAnsi="Calibri" w:cs="Calibri"/>
          <w:color w:val="000000"/>
        </w:rPr>
        <w:fldChar w:fldCharType="end"/>
      </w:r>
      <w:r w:rsidRPr="000F7E56">
        <w:rPr>
          <w:rFonts w:ascii="Calibri" w:eastAsia="SimSun" w:hAnsi="Calibri" w:cs="Calibri"/>
          <w:color w:val="000000"/>
        </w:rPr>
        <w:t xml:space="preserve"> Offering the opportunity to patients with advanced disease to have discussions about their illness and future care planning is identified as good practice by the</w:t>
      </w:r>
      <w:r w:rsidRPr="000F7E56">
        <w:rPr>
          <w:rFonts w:ascii="Calibri" w:eastAsia="SimSun" w:hAnsi="Calibri" w:cs="Calibri"/>
          <w:b/>
          <w:bCs/>
          <w:color w:val="5F6368"/>
          <w:shd w:val="clear" w:color="auto" w:fill="FFFFFF"/>
        </w:rPr>
        <w:t xml:space="preserve"> </w:t>
      </w:r>
      <w:r w:rsidRPr="000F7E56">
        <w:rPr>
          <w:rFonts w:ascii="Calibri" w:eastAsia="SimSun" w:hAnsi="Calibri" w:cs="Calibri"/>
          <w:bCs/>
          <w:color w:val="000000"/>
        </w:rPr>
        <w:t>General Medical Council</w:t>
      </w:r>
      <w:r w:rsidRPr="000F7E56">
        <w:rPr>
          <w:rFonts w:ascii="Calibri" w:eastAsia="SimSun" w:hAnsi="Calibri" w:cs="Calibri"/>
          <w:color w:val="000000"/>
        </w:rPr>
        <w:t> (</w:t>
      </w:r>
      <w:r w:rsidRPr="000F7E56">
        <w:rPr>
          <w:rFonts w:ascii="Calibri" w:eastAsia="SimSun" w:hAnsi="Calibri" w:cs="Calibri"/>
          <w:bCs/>
          <w:color w:val="000000"/>
        </w:rPr>
        <w:t>GMC</w:t>
      </w:r>
      <w:r w:rsidRPr="000F7E56">
        <w:rPr>
          <w:rFonts w:ascii="Calibri" w:eastAsia="SimSun" w:hAnsi="Calibri" w:cs="Calibri"/>
          <w:color w:val="000000"/>
        </w:rPr>
        <w:t>), National Institute for Clinical Excellence (NICE) and the National Health Service (NHS).</w:t>
      </w:r>
      <w:r w:rsidRPr="000F7E56">
        <w:rPr>
          <w:rFonts w:ascii="Calibri" w:eastAsia="SimSun" w:hAnsi="Calibri" w:cs="Calibri"/>
          <w:color w:val="000000"/>
        </w:rPr>
        <w:fldChar w:fldCharType="begin"/>
      </w:r>
      <w:r w:rsidR="000D5597">
        <w:rPr>
          <w:rFonts w:ascii="Calibri" w:eastAsia="SimSun" w:hAnsi="Calibri" w:cs="Calibri"/>
          <w:color w:val="000000"/>
        </w:rPr>
        <w:instrText xml:space="preserve"> ADDIN ZOTERO_ITEM CSL_CITATION {"citationID":"ZyvWTtKD","properties":{"formattedCitation":"\\super 4\\uc0\\u8211{}7\\nosupersub{}","plainCitation":"4–7","noteIndex":0},"citationItems":[{"id":60,"uris":["http://zotero.org/users/8748280/items/4NYSFHK4"],"itemData":{"id":60,"type":"report","title":"Ambitions for Palliative and End of Life Care","URL":"http://endoflifecareambitions.org.uk/wp-content/uploads/2015/09/Ambitions-for-Palliative-and-End-of-Life-Care.pdf","author":[{"literal":"National Palliative and End of Life Care Partnership"}],"accessed":{"date-parts":[["2019",2,1]]},"issued":{"date-parts":[["2015"]]}}},{"id":"aZbwIlcN/jGY3i7fn","uris":["http://zotero.org/users/6587080/items/EGKXCLN8"],"itemData":{"id":"AMorj3u4/UBRRBpxm","type":"article-journal","title":"Quality Standard for end of life care for adults, QS13,","URL":"https://www.nice.org.uk/guidance/qs13/documents/qs13-end-of-life-care-for-adults-quality-standard-large-print-version2","author":[{"family":"National Institute for Health and Clinical Excellence:","given":""}],"issued":{"date-parts":[["2011"]]}}},{"id":"aZbwIlcN/ItxJUaBi","uris":["http://zotero.org/users/6587080/items/SZQASQZN"],"itemData":{"id":"AMorj3u4/oRyyJid6","type":"article-journal","title":"Clinical Guideline on Care of the Dying Adult in the Last Days of Life, NG31,","URL":"https://www.nice.org.uk/guidance/ng31/resources/care-of-dying-adults-in-the-last-days-of-life-pdf-1837387324357","author":[{"family":"National Institute for Health Clinical Excellence:","given":""}],"issued":{"date-parts":[["2015"]]}}},{"id":"aZbwIlcN/DnBtXhG7","uris":["http://zotero.org/users/6587080/items/4MKM83KF"],"itemData":{"id":"AMorj3u4/CB224i5Z","type":"article-journal","title":"Treatment and care at the end of life Treatment and care towards the end of life: good practice in decision making","URL":"https://www.gmc-uk.org/-/media/documents/Treatment_and_care_towards_the_end_of_life___English_1015.pdf_48902105.pdf","author":[{"family":"General Medical Council:","given":""}],"issued":{"date-parts":[["2010"]]}}}],"schema":"https://github.com/citation-style-language/schema/raw/master/csl-citation.json"} </w:instrText>
      </w:r>
      <w:r w:rsidRPr="000F7E56">
        <w:rPr>
          <w:rFonts w:ascii="Calibri" w:eastAsia="SimSun" w:hAnsi="Calibri" w:cs="Calibri"/>
          <w:color w:val="000000"/>
        </w:rPr>
        <w:fldChar w:fldCharType="separate"/>
      </w:r>
      <w:r w:rsidR="00496C3B" w:rsidRPr="00496C3B">
        <w:rPr>
          <w:rFonts w:ascii="Calibri" w:hAnsi="Calibri" w:cs="Calibri"/>
          <w:szCs w:val="24"/>
          <w:vertAlign w:val="superscript"/>
        </w:rPr>
        <w:t>4–7</w:t>
      </w:r>
      <w:r w:rsidRPr="000F7E56">
        <w:rPr>
          <w:rFonts w:ascii="Calibri" w:eastAsia="SimSun" w:hAnsi="Calibri" w:cs="Calibri"/>
          <w:color w:val="000000"/>
        </w:rPr>
        <w:fldChar w:fldCharType="end"/>
      </w:r>
      <w:r w:rsidRPr="000F7E56">
        <w:rPr>
          <w:rFonts w:ascii="Calibri" w:eastAsia="SimSun" w:hAnsi="Calibri" w:cs="Calibri"/>
          <w:color w:val="000000"/>
        </w:rPr>
        <w:t xml:space="preserve"> Throughout this report we use ‘end-of-life care planning’ (EOLCP) as an umbrella term for the processes of discussion and documentation (including ACP) which aim to achieve best outcomes for people with advanced disease who are at risk of deterioration and dying in the next months. </w:t>
      </w:r>
    </w:p>
    <w:p w14:paraId="79CB8D6A" w14:textId="25B98A83" w:rsidR="000F7E56" w:rsidRPr="000F7E56" w:rsidRDefault="000F7E56" w:rsidP="000F7E56">
      <w:pPr>
        <w:autoSpaceDE w:val="0"/>
        <w:autoSpaceDN w:val="0"/>
        <w:adjustRightInd w:val="0"/>
        <w:spacing w:before="120" w:after="0" w:line="360" w:lineRule="auto"/>
        <w:rPr>
          <w:rFonts w:ascii="Calibri" w:eastAsia="SimSun" w:hAnsi="Calibri" w:cs="Calibri"/>
          <w:color w:val="000000"/>
        </w:rPr>
      </w:pPr>
      <w:r w:rsidRPr="000F7E56">
        <w:rPr>
          <w:rFonts w:ascii="Calibri" w:eastAsia="SimSun" w:hAnsi="Calibri" w:cs="Calibri"/>
          <w:color w:val="000000"/>
        </w:rPr>
        <w:t>EOLCP enables the supportive and palliative care needs of both the patient and family to be identified and met during the last phase of life and into bereavement. It includes consideration of physical care, management of pain and other symptoms and provision of social care, as well as psychological, spiritual and practical support.</w:t>
      </w:r>
      <w:r w:rsidRPr="000F7E56">
        <w:rPr>
          <w:rFonts w:ascii="Calibri" w:eastAsia="SimSun" w:hAnsi="Calibri" w:cs="Calibri"/>
          <w:color w:val="000000"/>
        </w:rPr>
        <w:fldChar w:fldCharType="begin"/>
      </w:r>
      <w:r w:rsidR="000D5597">
        <w:rPr>
          <w:rFonts w:ascii="Calibri" w:eastAsia="SimSun" w:hAnsi="Calibri" w:cs="Calibri"/>
          <w:color w:val="000000"/>
        </w:rPr>
        <w:instrText xml:space="preserve"> ADDIN ZOTERO_ITEM CSL_CITATION {"citationID":"BOKIPZW9","properties":{"formattedCitation":"\\super 3\\nosupersub{}","plainCitation":"3","noteIndex":0},"citationItems":[{"id":"aZbwIlcN/WOrttcKv","uris":["http://zotero.org/users/6587080/items/TF89Y6ZR"],"itemData":{"id":2333,"type":"article-journal","language":"en","page":"171","source":"Zotero","title":"End of Life Care Strategy - Promoting high quality care of all adults at the end of life.","author":[{"family":"Department of Health","given":""}],"issued":{"date-parts":[["2008"]]}}}],"schema":"https://github.com/citation-style-language/schema/raw/master/csl-citation.json"} </w:instrText>
      </w:r>
      <w:r w:rsidRPr="000F7E56">
        <w:rPr>
          <w:rFonts w:ascii="Calibri" w:eastAsia="SimSun" w:hAnsi="Calibri" w:cs="Calibri"/>
          <w:color w:val="000000"/>
        </w:rPr>
        <w:fldChar w:fldCharType="separate"/>
      </w:r>
      <w:r w:rsidR="00496C3B" w:rsidRPr="00496C3B">
        <w:rPr>
          <w:rFonts w:ascii="Calibri" w:hAnsi="Calibri" w:cs="Calibri"/>
          <w:szCs w:val="24"/>
          <w:vertAlign w:val="superscript"/>
        </w:rPr>
        <w:t>3</w:t>
      </w:r>
      <w:r w:rsidRPr="000F7E56">
        <w:rPr>
          <w:rFonts w:ascii="Calibri" w:eastAsia="SimSun" w:hAnsi="Calibri" w:cs="Calibri"/>
          <w:color w:val="000000"/>
        </w:rPr>
        <w:fldChar w:fldCharType="end"/>
      </w:r>
      <w:r w:rsidRPr="000F7E56">
        <w:rPr>
          <w:rFonts w:ascii="Calibri" w:eastAsia="SimSun" w:hAnsi="Calibri" w:cs="Calibri"/>
          <w:color w:val="000000"/>
        </w:rPr>
        <w:t xml:space="preserve"> It is regarded as key to improving experience and outcomes for patients and families and aligning care and treatment to a patient’s wishes. Furthermore, it optimises the use of health care resources including acute hospital care, emergency services, drug, surgical and other treatments.</w:t>
      </w:r>
      <w:r w:rsidRPr="000F7E56">
        <w:rPr>
          <w:rFonts w:ascii="Calibri" w:eastAsia="SimSun" w:hAnsi="Calibri" w:cs="Calibri"/>
          <w:color w:val="000000"/>
        </w:rPr>
        <w:fldChar w:fldCharType="begin"/>
      </w:r>
      <w:r w:rsidR="000D5597">
        <w:rPr>
          <w:rFonts w:ascii="Calibri" w:eastAsia="SimSun" w:hAnsi="Calibri" w:cs="Calibri"/>
          <w:color w:val="000000"/>
        </w:rPr>
        <w:instrText xml:space="preserve"> ADDIN ZOTERO_ITEM CSL_CITATION {"citationID":"iikqW0gb","properties":{"formattedCitation":"\\super 5\\uc0\\u8211{}11\\nosupersub{}","plainCitation":"5–11","noteIndex":0},"citationItems":[{"id":"aZbwIlcN/jGY3i7fn","uris":["http://zotero.org/users/6587080/items/EGKXCLN8"],"itemData":{"id":2365,"type":"article-journal","title":"Quality Standard for end of life care for adults, QS13,","URL":"https://www.nice.org.uk/guidance/qs13/documents/qs13-end-of-life-care-for-adults-quality-standard-large-print-version2","author":[{"family":"National Institute for Health and Clinical Excellence:","given":""}],"issued":{"date-parts":[["2011"]]}}},{"id":"aZbwIlcN/ItxJUaBi","uris":["http://zotero.org/users/6587080/items/SZQASQZN"],"itemData":{"id":2366,"type":"article-journal","title":"Clinical Guideline on Care of the Dying Adult in the Last Days of Life, NG31,","URL":"https://www.nice.org.uk/guidance/ng31/resources/care-of-dying-adults-in-the-last-days-of-life-pdf-1837387324357","author":[{"family":"National Institute for Health Clinical Excellence:","given":""}],"issued":{"date-parts":[["2015"]]}}},{"id":"aZbwIlcN/ChNimXPl","uris":["http://zotero.org/users/6587080/items/TVCQYCVW"],"itemData":{"id":131,"type":"report","language":"en","page":"60","source":"Zotero","title":"Our commitment to you for end of life care: the government response to the review of choice in end of life care","author":[{"family":"Department of Health","given":""}],"issued":{"date-parts":[["2016",7]]}}},{"id":"aZbwIlcN/DnBtXhG7","uris":["http://zotero.org/users/6587080/items/4MKM83KF"],"itemData":{"id":2368,"type":"article-journal","title":"Treatment and care at the end of life Treatment and care towards the end of life: good practice in decision making","URL":"https://www.gmc-uk.org/-/media/documents/Treatment_and_care_towards_the_end_of_life___English_1015.pdf_48902105.pdf","author":[{"family":"General Medical Council:","given":""}],"issued":{"date-parts":[["2010"]]}}},{"id":"aZbwIlcN/QmqdvhZo","uris":["http://zotero.org/users/6587080/items/6UQPEYDK"],"itemData":{"id":758,"type":"article-journal","abstract":"Summary\nAdvance care planning (ACP) is increasingly implemented in oncology and beyond, but a definition of ACP and recommendations concerning its use are lacking. We used a formal Delphi consensus process to help develop a definition of ACP and provide recommendations for its application. Of the 109 experts (82 from Europe, 16 from North America, and 11 from Australia) who rated the ACP definitions and its 41 recommendations, agreement for each definition or recommendation was between 68–100%. ACP was defined as the ability to enable individuals to define goals and preferences for future medical treatment and care, to discuss these goals and preferences with family and health-care providers, and to record and review these preferences if appropriate. Recommendations included the adaptation of ACP based on the readiness of the individual; targeting ACP content as the individual's health condition worsens; and, using trained non-physician facilitators to support the ACP process. We present a list of outcome measures to enable the pooling and comparison of results of ACP studies. We believe that our recommendations can provide guidance for clinical practice, ACP policy, and research.","container-title":"The Lancet Oncology","DOI":"10.1016/S1470-2045(17)30582-X","ISSN":"1470-2045","issue":"9","journalAbbreviation":"The Lancet Oncology","page":"e543-e551","source":"ScienceDirect","title":"Definition and recommendations for advance care planning: an international consensus supported by the European Association for Palliative Care","title-short":"Definition and recommendations for advance care planning","volume":"18","author":[{"family":"Rietjens","given":"Judith A. C."},{"family":"Sudore","given":"Rebecca L."},{"family":"Connolly","given":"Michael"},{"family":"Delden","given":"Johannes J.","non-dropping-particle":"van"},{"family":"Drickamer","given":"Margaret A."},{"family":"Droger","given":"Mirjam"},{"family":"Heide","given":"Agnes","non-dropping-particle":"van der"},{"family":"Heyland","given":"Daren K."},{"family":"Houttekier","given":"Dirk"},{"family":"Janssen","given":"Daisy J. A."},{"family":"Orsi","given":"Luciano"},{"family":"Payne","given":"Sheila"},{"family":"Seymour","given":"Jane"},{"family":"Jox","given":"Ralf J."},{"family":"Korfage","given":"Ida J."}],"issued":{"date-parts":[["2017",9,1]]}}},{"id":"aZbwIlcN/0RqsH1vL","uris":["http://zotero.org/users/6587080/items/QJZPPMQE"],"itemData":{"id":2371,"type":"article-journal","title":"What’s important to me. A Review of Choice in End of Life Care","URL":"https://assets.publishing.service.gov.uk/government/uploads/system/uploads/attachment_data/file/407244/CHOICE_REVIEW_FINAL_for_web.pdf","author":[{"literal":"The Choice in End of Life Care"},{"literal":"Programme Board"}],"issued":{"date-parts":[["2015"]]}}},{"id":"aZbwIlcN/bIqnwIQZ","uris":["http://zotero.org/users/6587080/items/4XYBQUXG"],"itemData":{"id":142,"type":"article-journal","abstract":"Why do so many people die badly when we know how to care for them well?","container-title":"BMJ","DOI":"10.1136/bmj.f4428","ISSN":"1756-1833","journalAbbreviation":"BMJ","language":"en","page":"f4428","source":"www-bmj-com.ezproxy4.lib.le.ac.uk","title":"Best care for the dying patient","volume":"347","author":[{"family":"Ellershaw","given":"John E."},{"family":"Lakhani","given":"Mayur"}],"issued":{"date-parts":[["2013",7,12]]}}}],"schema":"https://github.com/citation-style-language/schema/raw/master/csl-citation.json"} </w:instrText>
      </w:r>
      <w:r w:rsidRPr="000F7E56">
        <w:rPr>
          <w:rFonts w:ascii="Calibri" w:eastAsia="SimSun" w:hAnsi="Calibri" w:cs="Calibri"/>
          <w:color w:val="000000"/>
        </w:rPr>
        <w:fldChar w:fldCharType="separate"/>
      </w:r>
      <w:r w:rsidR="00496C3B" w:rsidRPr="00496C3B">
        <w:rPr>
          <w:rFonts w:ascii="Calibri" w:hAnsi="Calibri" w:cs="Calibri"/>
          <w:szCs w:val="24"/>
          <w:vertAlign w:val="superscript"/>
        </w:rPr>
        <w:t>5–11</w:t>
      </w:r>
      <w:r w:rsidRPr="000F7E56">
        <w:rPr>
          <w:rFonts w:ascii="Calibri" w:eastAsia="SimSun" w:hAnsi="Calibri" w:cs="Calibri"/>
          <w:color w:val="000000"/>
        </w:rPr>
        <w:fldChar w:fldCharType="end"/>
      </w:r>
    </w:p>
    <w:p w14:paraId="10FD0516" w14:textId="133C6D71" w:rsidR="000F7E56" w:rsidRPr="000F7E56" w:rsidRDefault="000F7E56" w:rsidP="000F7E56">
      <w:pPr>
        <w:autoSpaceDE w:val="0"/>
        <w:autoSpaceDN w:val="0"/>
        <w:adjustRightInd w:val="0"/>
        <w:spacing w:before="120" w:after="0" w:line="360" w:lineRule="auto"/>
        <w:rPr>
          <w:rFonts w:ascii="Calibri" w:eastAsia="SimSun" w:hAnsi="Calibri" w:cs="Calibri"/>
        </w:rPr>
      </w:pPr>
      <w:r w:rsidRPr="000F7E56">
        <w:rPr>
          <w:rFonts w:ascii="Calibri" w:eastAsia="SimSun" w:hAnsi="Calibri" w:cs="Calibri"/>
          <w:color w:val="000000"/>
        </w:rPr>
        <w:t xml:space="preserve">Evidence regarding the effectiveness of EOLCP is limited, but suggests that patients who have engaged in EOLCP are more likely to die at home, receive less invasive treatment in the period preceding death and </w:t>
      </w:r>
      <w:r w:rsidRPr="000F7E56">
        <w:rPr>
          <w:rFonts w:ascii="Calibri" w:eastAsia="SimSun" w:hAnsi="Calibri" w:cs="Calibri"/>
          <w:color w:val="000000"/>
        </w:rPr>
        <w:lastRenderedPageBreak/>
        <w:t>report a better experience of care along with their relatives.</w:t>
      </w:r>
      <w:r w:rsidRPr="000F7E56">
        <w:rPr>
          <w:rFonts w:ascii="Calibri" w:eastAsia="SimSun" w:hAnsi="Calibri" w:cs="Calibri"/>
          <w:color w:val="000000"/>
        </w:rPr>
        <w:fldChar w:fldCharType="begin"/>
      </w:r>
      <w:r w:rsidR="000D5597">
        <w:rPr>
          <w:rFonts w:ascii="Calibri" w:eastAsia="SimSun" w:hAnsi="Calibri" w:cs="Calibri"/>
          <w:color w:val="000000"/>
        </w:rPr>
        <w:instrText xml:space="preserve"> ADDIN ZOTERO_ITEM CSL_CITATION {"citationID":"yra1xEJN","properties":{"formattedCitation":"\\super 12,13\\nosupersub{}","plainCitation":"12,13","noteIndex":0},"citationItems":[{"id":"aZbwIlcN/f44wCTc1","uris":["http://zotero.org/users/6587080/items/K79MI9ZI"],"itemData":{"id":80,"type":"article-journal","abstract":"Objective To investigate the impact of advance care planning on end of life care in elderly patients.\nDesign Prospective randomised controlled trial.\nSetting Single centre study in a university hospital in Melbourne, Australia.\nParticipants 309 legally competent medical inpatients aged 80 or more and followed for six months or until death.\nInterventions Participants were randomised to receive usual care or usual care plus facilitated advance care planning. Advance care planning aimed to assist patients to reflect on their goals, values, and beliefs; to consider future medical treatment preferences; to appoint a surrogate; and to document their wishes.\nMain outcome measures The primary outcome was whether a patient’s end of life wishes were known and respected. Other outcomes included patient and family satisfaction with hospital stay and levels of stress, anxiety, and depression in relatives of patients who died.\nResults 154 of the 309 patients were randomised to advance care planning, 125 (81%) received advance care planning, and 108 (84%) expressed wishes or appointed a surrogate, or both. Of the 56 patients who died by six months, end of life wishes were much more likely to be known and followed in the intervention group (25/29, 86%) compared with the control group (8/27, 30%; P&lt;0.001). In the intervention group, family members of patients who died had significantly less stress (intervention 5, control 15; P&lt;0.001), anxiety (intervention 0, control 3; P=0.02), and depression (intervention 0, control 5; P=0.002) than those of the control patients. Patient and family satisfaction was higher in the intervention group.\nConclusions Advance care planning improves end of life care and patient and family satisfaction and reduces stress, anxiety, and depression in surviving relatives.\nTrial registration Australian New Zealand clinical trials registry ACTRN12608000539336.","container-title":"BMJ","DOI":"10.1136/bmj.c1345","ISSN":"0959-8138, 1468-5833","journalAbbreviation":"BMJ","language":"en","page":"c1345","source":"www.bmj.com","title":"The impact of advance care planning on end of life care in elderly patients: randomised controlled trial","title-short":"The impact of advance care planning on end of life care in elderly patients","volume":"340","author":[{"family":"Detering","given":"Karen M."},{"family":"Hancock","given":"Andrew D."},{"family":"Reade","given":"Michael C."},{"family":"Silvester","given":"William"}],"issued":{"date-parts":[["2010",3,24]]}}},{"id":"aZbwIlcN/db6AJ0CG","uris":["http://zotero.org/users/6587080/items/94W3X3VF"],"itemData":{"id":146,"type":"article-journal","abstract":"Context\nTalking about death can be difficult. Without evidence that end-of-life (EOL) discussions improve patient outcomes, physicians must balance their desire to honor patient autonomy against a concern that EOL discussions may inflict psychological harm.\n\nObjective\nTo determine whether EOL discussions with physicians are associated with fewer aggressive interventions.\n\nDesign, Setting, Participants\nA United States multi-site, prospective, longitudinal cohort study of advanced cancer patients and their informal caregivers (n=332 dyads), September 2002-February 2008. Patients were followed from enrollment to death a median of 4.4 months later. Bereaved caregivers’ psychiatric illness and quality of life (QoL) was assessed a median 6.5 months later.\n\nMain Outcome Measures\nThe primary outcome were aggressive medical care (e.g., ventilation, resuscitation) and hospice in the final week of life. Secondary outcomes included patients’ mental health and caregivers’ bereavement adjustment.\n\nResults\n123 of 332 (37.0%) patients reported EOL discussions before baseline. EOL discussions were not associated with higher rates of Major Depressive Disorder (8.3% vs. 5.8; AOR 1.33, 95% CI 0.54-3.32), or more “worry” (6.5 vs. 7.0; p=0.19)). After propensity-score weighted adjustment, EOL discussions were associated with lower rates of ventilation (1.6% vs. 11.0%; AOR 0.26, 95% CI 0.08-0.83), resuscitation (0.8% vs. 6.7%; AOR 0.16, 95% CI 0.03-0.80), ICU admission (4.1 vs. 12.4%; AOR 0.35, 95% CI 0.14-0.90), and earlier hospice enrollment (65.6% vs. 44.5%; AOR 1.58, 95% CI 1.04-2.63). In adjusted analyses, more aggressive medical care was associated with worse patient QoL (6.4 vs. 4.6; F=3.60, p=0.01) and higher risk for Major Depressive Disorder in bereaved caregivers (AOR 3.37, 95% CI 1.12-10.13), while longer hospice stays were associated with better patient QoL (5.6 vs. 6.9; F=3.70, p=0.01). Better patient QoL was associated with better caregiver QoL at follow-up (β=0.20; p=0.001).\n\nConclusion\nEOL discussions are associated with less aggressive medical care near death and earlier hospice referrals. Aggressive care is associated with worse patient QoL and worse bereavement adjustment.","container-title":"JAMA : the journal of the American Medical Association","DOI":"10.1001/jama.300.14.1665","ISSN":"0098-7484","issue":"14","journalAbbreviation":"JAMA","page":"1665-1673","source":"PubMed Central","title":"Associations between end-of-life discussions, patient mental health, medical care near death, and caregiver bereavement adjustment","volume":"300","author":[{"family":"Wright","given":"Alexi A."},{"family":"Zhang","given":"Baohui"},{"family":"Ray","given":"Alaka"},{"family":"Mack","given":"Jennifer W."},{"family":"Trice","given":"Elizabeth"},{"family":"Balboni","given":"Tracy"},{"family":"Mitchell","given":"Susan L."},{"family":"Jackson","given":"Vicki A."},{"family":"Block","given":"Susan D."},{"family":"Maciejewski","given":"Paul K."},{"family":"Prigerson","given":"Holly G."}],"issued":{"date-parts":[["2008",10,8]]}}}],"schema":"https://github.com/citation-style-language/schema/raw/master/csl-citation.json"} </w:instrText>
      </w:r>
      <w:r w:rsidRPr="000F7E56">
        <w:rPr>
          <w:rFonts w:ascii="Calibri" w:eastAsia="SimSun" w:hAnsi="Calibri" w:cs="Calibri"/>
          <w:color w:val="000000"/>
        </w:rPr>
        <w:fldChar w:fldCharType="separate"/>
      </w:r>
      <w:r w:rsidR="00496C3B" w:rsidRPr="00496C3B">
        <w:rPr>
          <w:rFonts w:ascii="Calibri" w:hAnsi="Calibri" w:cs="Calibri"/>
          <w:szCs w:val="24"/>
          <w:vertAlign w:val="superscript"/>
        </w:rPr>
        <w:t>12,13</w:t>
      </w:r>
      <w:r w:rsidRPr="000F7E56">
        <w:rPr>
          <w:rFonts w:ascii="Calibri" w:eastAsia="SimSun" w:hAnsi="Calibri" w:cs="Calibri"/>
          <w:color w:val="000000"/>
        </w:rPr>
        <w:fldChar w:fldCharType="end"/>
      </w:r>
      <w:r w:rsidRPr="000F7E56">
        <w:rPr>
          <w:rFonts w:ascii="Calibri" w:eastAsia="SimSun" w:hAnsi="Calibri" w:cs="Calibri"/>
          <w:color w:val="000000"/>
        </w:rPr>
        <w:t xml:space="preserve"> There is limited evidence that EOLCP alters outcomes such as hospital admissions and use of health care resources, but there is some evidence of increased patient satisfaction, higher quality end-of-life care and reduced stress, anxiety, and depression in  surviving relatives.</w:t>
      </w:r>
      <w:r w:rsidRPr="000F7E56">
        <w:rPr>
          <w:rFonts w:ascii="Calibri" w:eastAsia="SimSun" w:hAnsi="Calibri" w:cs="Calibri"/>
          <w:color w:val="000000"/>
        </w:rPr>
        <w:fldChar w:fldCharType="begin"/>
      </w:r>
      <w:r w:rsidR="000D5597">
        <w:rPr>
          <w:rFonts w:ascii="Calibri" w:eastAsia="SimSun" w:hAnsi="Calibri" w:cs="Calibri"/>
          <w:color w:val="000000"/>
        </w:rPr>
        <w:instrText xml:space="preserve"> ADDIN ZOTERO_ITEM CSL_CITATION {"citationID":"BzAaFjat","properties":{"formattedCitation":"\\super 12,14\\uc0\\u8211{}20\\nosupersub{}","plainCitation":"12,14–20","noteIndex":0},"citationItems":[{"id":"aZbwIlcN/f44wCTc1","uris":["http://zotero.org/users/6587080/items/K79MI9ZI"],"itemData":{"id":80,"type":"article-journal","abstract":"Objective To investigate the impact of advance care planning on end of life care in elderly patients.\nDesign Prospective randomised controlled trial.\nSetting Single centre study in a university hospital in Melbourne, Australia.\nParticipants 309 legally competent medical inpatients aged 80 or more and followed for six months or until death.\nInterventions Participants were randomised to receive usual care or usual care plus facilitated advance care planning. Advance care planning aimed to assist patients to reflect on their goals, values, and beliefs; to consider future medical treatment preferences; to appoint a surrogate; and to document their wishes.\nMain outcome measures The primary outcome was whether a patient’s end of life wishes were known and respected. Other outcomes included patient and family satisfaction with hospital stay and levels of stress, anxiety, and depression in relatives of patients who died.\nResults 154 of the 309 patients were randomised to advance care planning, 125 (81%) received advance care planning, and 108 (84%) expressed wishes or appointed a surrogate, or both. Of the 56 patients who died by six months, end of life wishes were much more likely to be known and followed in the intervention group (25/29, 86%) compared with the control group (8/27, 30%; P&lt;0.001). In the intervention group, family members of patients who died had significantly less stress (intervention 5, control 15; P&lt;0.001), anxiety (intervention 0, control 3; P=0.02), and depression (intervention 0, control 5; P=0.002) than those of the control patients. Patient and family satisfaction was higher in the intervention group.\nConclusions Advance care planning improves end of life care and patient and family satisfaction and reduces stress, anxiety, and depression in surviving relatives.\nTrial registration Australian New Zealand clinical trials registry ACTRN12608000539336.","container-title":"BMJ","DOI":"10.1136/bmj.c1345","ISSN":"0959-8138, 1468-5833","journalAbbreviation":"BMJ","language":"en","page":"c1345","source":"www.bmj.com","title":"The impact of advance care planning on end of life care in elderly patients: randomised controlled trial","title-short":"The impact of advance care planning on end of life care in elderly patients","volume":"340","author":[{"family":"Detering","given":"Karen M."},{"family":"Hancock","given":"Andrew D."},{"family":"Reade","given":"Michael C."},{"family":"Silvester","given":"William"}],"issued":{"date-parts":[["2010",3,24]]}}},{"id":1521,"uris":["http://zotero.org/users/8748280/items/IES7F2Q3"],"itemData":{"id":1521,"type":"article-journal","abstract":"Advance care planning (ACP), involving discussions between patients, families and healthcare professionals on future healthcare decisions, in advance of anticipated impairment in decision-making capacity, improves satisfaction and end-of-life care while respecting patient autonomy. It usually results in the creation of a written advanced care directive (ACD). This systematic review examines the impact of ACP on several outcomes (including symptom management, quality of care and healthcare utilisation) in older adults (&gt;65years) across all healthcare settings. Nine randomised controlled trials (RCTs) were identified by searches of the CINAHL, PubMed and Cochrane databases. A total of 3646 older adults were included (range 72–88 years). Seven studies were conducted with community dwellers and the other two RCTs were conducted in nursing homes. Most studies did not implement a standardised ACD, or measure the impact on quality of end-of-life care or on the death and dying experience. All studies had some risk of bias, with most scoring poorly on the Oxford Quality Scale. While ACP interventions are well received by older adults and generally have positive effects on outcomes, this review highlights the need for well-designed RCTs that examine the economic impact of ACP and its effect on quality of care in nursing homes and other sectors.","container-title":"Maturitas","DOI":"https://doi.org/10.1016/j.maturitas.2016.06.016","ISSN":"0378-5122","page":"101-109","title":"Advance care planning: A systematic review of randomised controlled trials conducted with older adults","volume":"91","author":[{"family":"Weathers","given":"Elizabeth"},{"family":"O’Caoimh","given":"Rónán"},{"family":"Cornally","given":"Nicola"},{"family":"Fitzgerald","given":"Carol"},{"family":"Kearns","given":"Tara"},{"family":"Coffey","given":"Alice"},{"family":"Daly","given":"Edel"},{"family":"O’Sullivan","given":"Ronan"},{"family":"McGlade","given":"Ciara"},{"family":"Molloy","given":"D. William"}],"issued":{"date-parts":[["2016"]]}}},{"id":1526,"uris":["http://zotero.org/users/8748280/items/NB4XQVL2"],"itemData":{"id":1526,"type":"article-journal","abstract":"Background Advance care planning (ACP) encompasses a process by which people may express and record their values and preferences for care and treatment should they lose the capacity to communicate them in the future. We believe the effects that ACP can have on the nursing home population is distinct from others and sought to gain insight into the outcomes of relevant studies on the topic. Aim To identify the effects of ACP interventions on nursing home residents. Design Systematic review. Methods A comprehensive literature search was conducted using the following 4 electronic databases, Embase, Medline, PsychINFO, and CINAHL, with no limits on year or language. Gray literature search of relevant journals was also performed as was reviewing of the reference lists of all included articles. Inclusion criteria were randomized controlled trials, controlled trials, pre/post study design trials and prospective studies examining the effects of ACP on nursing home residents. A detailed narrative synthesis was compiled as the heterogeneous nature of the interventions and results precluded meta-analysis. Results The initial search yielded 4654 articles. Thirteen studies fitted inclusion criteria for analysis. The ACP interventions included (1) 5 studies evaluating educational programs; (2) 5 studies introducing or evaluating a new ACP form; (3) 2 studies introducing an ACP program with a palliative care initiative; and (4) 1 study observing the effect of do not resuscitate orders on medical treatments for respiratory infections. A range of effects of ACP was demonstrated in the study populations. Hospitalization was the most frequent outcome measure used across the included studies. Analysis found that in the nursing home population, ACP decreased hospitalization rates by 9%–26%. Of note, in the 2 studies that included mortality, the decrease in hospitalization was not associated with increased mortality. Place of death is another important effect of ACP. Analysis found significant increases in the number of residents dying in their nursing home by 29%–40%. Medical treatments being consistent with ones' wishes were increased with ACP although not to 100% compliance. Two studies showed a decrease in overall health costs. One study found an increase in community palliative care use but not in-patient hospice referrals. Conclusions ACP has beneficial effects in the nursing home population. The types of ACP interventions vary, and it is difficult to identify superiority in effectiveness of one intervention over another. Outcome measures also vary considerably between studies although hospitalization, place of death, and actions being consistent with resident's wishes are by far the most common. Very few studies with high quality methodology have been undertaken in the area with a significant lack of randomized controlled trials. More robust studies, especially randomized controlled trials, are required to support the findings.","container-title":"Journal of the American Medical Directors Association","DOI":"10.1016/j.jamda.2015.12.017","ISSN":"1525-8610","issue":"4","note":"publisher: New York, New York, Elsevier BV","page":"284–294","source":"birmingham-primo.com","title":"The Effects of Advance Care Planning Interventions on Nursing Home Residents: A Systematic Review.","title-short":"The Effects of Advance Care Planning Interventions on Nursing Home Residents","volume":"17","author":[{"family":"Martin","given":"Ruth S."},{"family":"Hayes","given":"Barbara"},{"family":"Gregorevic","given":"Kate"},{"family":"Lim","given":"Wen Kwang"}],"issued":{"date-parts":[["2016",4,1]]}}},{"id":1528,"uris":["http://zotero.org/users/8748280/items/MVUFJLEZ"],"itemData":{"id":1528,"type":"article-journal","container-title":"Family Practice","DOI":"10.1093/fampra/cmu074","ISSN":"0263-2136, 1460-2229","issue":"1","language":"en","page":"16-26","source":"DOI.org (Crossref)","title":"Advance care planning in primary care, only for severely ill patients? A structured review","title-short":"Advance care planning in primary care, only for severely ill patients?","volume":"32","author":[{"family":"Glaudemans","given":"Jolien J"},{"family":"Moll van Charante","given":"Eric P"},{"family":"Willems","given":"Dick L"}],"issued":{"date-parts":[["2015",2,1]]}}},{"id":"aZbwIlcN/JVPUTb5F","uris":["http://zotero.org/users/local/hgz1ep6T/items/5I4PCPL8"],"itemData":{"id":1531,"type":"article-journal","abstract":"Background:\n              While there is increasing evidence that Advance Care Planning has the potential to strengthen patient autonomy and improve quality of care near the end of life, it remains unclear whether it could also reduce net costs of care.\n            \n            \n              Aim:\n              This study aims to describe the cost implications of Advance Care Planning programmes and discusses ethical conflicts arising in this context.\n            \n            \n              Design:\n              We conducted a systematic review based on the Preferred Reporting Items for Systematic Reviews and Meta-Analyses statement.\n            \n            \n              Data sources:\n              We systematically searched the databases PubMed, NHS EED, EURONHEED, Cochrane Library and EconLit. We included empirical studies (no limitation to study type) that investigated the cost implications of Advance Care Planning programmes involving professionally facilitated end-of-life discussions.\n            \n            \n              Results and discussion:\n              Seven studies met our inclusion criteria. Four of them used a randomised controlled design, one used a before-after design and two were observational studies. Six studies found reductions in costs of care ranging from USD1041 to USD64,827 per patient, depending on the study period and the cost measurement. One study detected no differences in costs. Studies varied considerably regarding the Advance Care Planning intervention, patient selection and costs measured which may explain some of the variations in findings.\n            \n            \n              Normative appraisal:\n              Looking at the impact of Advance Care Planning on costs raises delicate ethical issues. Given the increasing pressure to reduce expenditures, there may be concerns that cost considerations could unduly influence the sensitive communication process, thus jeopardising patient autonomy. Safeguards are proposed to reduce these risks.\n            \n            \n              Conclusion:\n              The limited data indicate net cost savings may be realised with Advance Care Planning. Methodologically robust trials with clearly defined Advance Care Planning interventions are needed to make the costs and returns of Advance Care Planning transparent.","container-title":"Palliative Medicine","DOI":"10.1177/0269216315601346","ISSN":"0269-2163, 1477-030X","issue":"5","journalAbbreviation":"Palliat Med","language":"en","page":"423-433","source":"DOI.org (Crossref)","title":"Does facilitated Advance Care Planning reduce the costs of care near the end of life? Systematic review and ethical considerations","title-short":"Does facilitated Advance Care Planning reduce the costs of care near the end of life?","volume":"30","author":[{"family":"Klingler","given":"Corinna"},{"family":"Schmitten","given":"Jürgen","non-dropping-particle":"in der"},{"family":"Marckmann","given":"Georg"}],"issued":{"date-parts":[["2016",5]]}}},{"id":1518,"uris":["http://zotero.org/users/8748280/items/2FHASEGF"],"itemData":{"id":1518,"type":"article-journal","container-title":"Journal of the American Medical Directors Association","DOI":"10.1016/j.jamda.2014.01.008","ISSN":"1525-8610, 1538-9375","issue":"7","journalAbbreviation":"Journal of the American Medical Directors Association","language":"English","note":"publisher: Elsevier\nPMID: 24598477","page":"477-489","source":"www.jamda.com","title":"Efficacy of Advance Care Planning: A Systematic Review and Meta-Analysis","title-short":"Efficacy of Advance Care Planning","volume":"15","author":[{"family":"Houben","given":"Carmen H. M."},{"family":"Spruit","given":"Martijn A."},{"family":"Groenen","given":"Miriam T. J."},{"family":"Wouters","given":"Emiel F. M."},{"family":"Janssen","given":"Daisy J. A."}],"issued":{"date-parts":[["2014",7,1]]}}},{"id":"aZbwIlcN/IjNhOIsn","uris":["http://zotero.org/users/local/hgz1ep6T/items/83XZUP27"],"itemData":{"id":1517,"type":"article-journal","abstract":"Background:Advance care planning is the process of discussing and recording patient preferences concerning goals of care for patients who may lose capacity or communication ability in the future. Advance care planning could potentially improve end-of-life care, but the methods/tools used are varied and of uncertain benefit. Outcome measures used in existing studies are highly variable.Aim:To present an overview of studies on the effects of advance care planning and gain insight in the effectiveness of different types of advance care planning.Design:Systematic review.Data sources:We systematically searched PubMed, EMBASE and PsycINFO databases for experimental and observational studies on the effects of advance care planning published in 2000?2012.Results:The search yielded 3571 papers, of which 113 were relevant for this review. For each study, the level of evidence was graded. Most studies were observational (95%), originated from the United States (81%) and were performed in hospitals (49%) or nursing homes (32%). Do-not-resuscitate orders (39%) and written advance directives (34%) were most often studied. Advance care planning was often found to decrease life-sustaining treatment, increase use of hospice and palliative care and prevent hospitalisation. Complex advance care planning interventions seem to increase compliance with patients? end-of-life wishes.Conclusion:The effects of different types of advance care planning have been studied in various settings and populations using different outcome measures. There is evidence that advance care planning positively impacts the quality of end-of-life care. Complex advance care planning interventions may be more effective in meeting patients? preferences than written documents alone. More studies are needed with an experimental design, in different settings, including the community.","container-title":"Palliative Medicine","DOI":"10.1177/0269216314526272","ISSN":"0269-2163","issue":"8","journalAbbreviation":"Palliat Med","language":"en","note":"publisher: SAGE Publications Ltd STM","page":"1000-1025","source":"SAGE Journals","title":"The effects of advance care planning on end-of-life care: A systematic review","title-short":"The effects of advance care planning on end-of-life care","volume":"28","author":[{"family":"Brinkman-Stoppelenburg","given":"Arianne"},{"family":"Rietjens","given":"Judith AC"},{"family":"Heide","given":"Agnes","non-dropping-particle":"van der"}],"issued":{"date-parts":[["2014",9,1]]}}},{"id":50,"uris":["http://zotero.org/users/8748280/items/2QSYFM3I"],"itemData":{"id":50,"type":"article-journal","abstract":"Context\nTalking about death can be difficult. Without evidence that end-of-life (EOL) discussions improve patient outcomes, physicians must balance their desire to honor patient autonomy against a concern that EOL discussions may inflict psychological harm.\n\nObjective\nTo determine whether EOL discussions with physicians are associated with fewer aggressive interventions.\n\nDesign, Setting, Participants\nA United States multi-site, prospective, longitudinal cohort study of advanced cancer patients and their informal caregivers (n=332 dyads), September 2002-February 2008. Patients were followed from enrollment to death a median of 4.4 months later. Bereaved caregivers’ psychiatric illness and quality of life (QoL) was assessed a median 6.5 months later.\n\nMain Outcome Measures\nThe primary outcome were aggressive medical care (e.g., ventilation, resuscitation) and hospice in the final week of life. Secondary outcomes included patients’ mental health and caregivers’ bereavement adjustment.\n\nResults\n123 of 332 (37.0%) patients reported EOL discussions before baseline. EOL discussions were not associated with higher rates of Major Depressive Disorder (8.3% vs. 5.8; AOR 1.33, 95% CI 0.54-3.32), or more “worry” (6.5 vs. 7.0; p=0.19)). After propensity-score weighted adjustment, EOL discussions were associated with lower rates of ventilation (1.6% vs. 11.0%; AOR 0.26, 95% CI 0.08-0.83), resuscitation (0.8% vs. 6.7%; AOR 0.16, 95% CI 0.03-0.80), ICU admission (4.1 vs. 12.4%; AOR 0.35, 95% CI 0.14-0.90), and earlier hospice enrollment (65.6% vs. 44.5%; AOR 1.58, 95% CI 1.04-2.63). In adjusted analyses, more aggressive medical care was associated with worse patient QoL (6.4 vs. 4.6; F=3.60, p=0.01) and higher risk for Major Depressive Disorder in bereaved caregivers (AOR 3.37, 95% CI 1.12-10.13), while longer hospice stays were associated with better patient QoL (5.6 vs. 6.9; F=3.70, p=0.01). Better patient QoL was associated with better caregiver QoL at follow-up (β=0.20; p=0.001).\n\nConclusion\nEOL discussions are associated with less aggressive medical care near death and earlier hospice referrals. Aggressive care is associated with worse patient QoL and worse bereavement adjustment.","container-title":"JAMA : the journal of the American Medical Association","DOI":"10.1001/jama.300.14.1665","ISSN":"0098-7484","issue":"14","journalAbbreviation":"JAMA","page":"1665-1673","source":"PubMed Central","title":"Associations between end-of-life discussions, patient mental health, medical care near death, and caregiver bereavement adjustment","volume":"300","author":[{"family":"Wright","given":"Alexi A."},{"family":"Zhang","given":"Baohui"},{"family":"Ray","given":"Alaka"},{"family":"Mack","given":"Jennifer W."},{"family":"Trice","given":"Elizabeth"},{"family":"Balboni","given":"Tracy"},{"family":"Mitchell","given":"Susan L."},{"family":"Jackson","given":"Vicki A."},{"family":"Block","given":"Susan D."},{"family":"Maciejewski","given":"Paul K."},{"family":"Prigerson","given":"Holly G."}],"issued":{"date-parts":[["2008",10,8]]}}}],"schema":"https://github.com/citation-style-language/schema/raw/master/csl-citation.json"} </w:instrText>
      </w:r>
      <w:r w:rsidRPr="000F7E56">
        <w:rPr>
          <w:rFonts w:ascii="Calibri" w:eastAsia="SimSun" w:hAnsi="Calibri" w:cs="Calibri"/>
          <w:color w:val="000000"/>
        </w:rPr>
        <w:fldChar w:fldCharType="separate"/>
      </w:r>
      <w:r w:rsidR="00496C3B" w:rsidRPr="00496C3B">
        <w:rPr>
          <w:rFonts w:ascii="Calibri" w:hAnsi="Calibri" w:cs="Calibri"/>
          <w:szCs w:val="24"/>
          <w:vertAlign w:val="superscript"/>
        </w:rPr>
        <w:t>12,14–20</w:t>
      </w:r>
      <w:r w:rsidRPr="000F7E56">
        <w:rPr>
          <w:rFonts w:ascii="Calibri" w:eastAsia="SimSun" w:hAnsi="Calibri" w:cs="Calibri"/>
          <w:color w:val="000000"/>
        </w:rPr>
        <w:fldChar w:fldCharType="end"/>
      </w:r>
      <w:r w:rsidRPr="000F7E56">
        <w:rPr>
          <w:rFonts w:ascii="Calibri" w:eastAsia="SimSun" w:hAnsi="Calibri" w:cs="Calibri"/>
          <w:color w:val="000000"/>
        </w:rPr>
        <w:t xml:space="preserve"> There is low level evidence that  EOLCP is also potentially associated with lower health care costs.</w:t>
      </w:r>
      <w:r w:rsidRPr="000F7E56">
        <w:rPr>
          <w:rFonts w:ascii="Calibri" w:eastAsia="SimSun" w:hAnsi="Calibri" w:cs="Calibri"/>
        </w:rPr>
        <w:fldChar w:fldCharType="begin"/>
      </w:r>
      <w:r w:rsidR="000D5597">
        <w:rPr>
          <w:rFonts w:ascii="Calibri" w:eastAsia="SimSun" w:hAnsi="Calibri" w:cs="Calibri"/>
        </w:rPr>
        <w:instrText xml:space="preserve"> ADDIN ZOTERO_ITEM CSL_CITATION {"citationID":"P1wNCool","properties":{"formattedCitation":"\\super 21\\nosupersub{}","plainCitation":"21","noteIndex":0},"citationItems":[{"id":57,"uris":["http://zotero.org/users/8748280/items/LIIU9VT2"],"itemData":{"id":57,"type":"article-journal","abstract":"BACKGROUND: Life-sustaining medical care of patients with advanced cancer at the end of life (EOL) is costly. Patient-physician discussions about EOL wishes are associated with lower rates of intensive interventions.\nMETHODS: Funded by the National Institute of Mental Health and the National Cancer Institute, Coping With Cancer is a longitudinal multi-institutional study of 627 patients with advanced cancer. Patients were interviewed at baseline and were followed up through death. Costs for intensive care unit and hospital stays, hospice care, and life-sustaining procedures (eg, mechanical ventilator use and resuscitation) received in the last week of life were aggregated. Generalized linear models were applied to test for cost differences in EOL care. Propensity score matching was used to reduce selection biases.\nRESULTS: Of 603 participants, 188 (31.2%) reported EOL discussions at baseline. After propensity score matching, the remaining 415 patients did not differ in sociodemographic characteristics, recruitment sites, illness acknowledgment, or treatment preferences. Further analyses, adjusted by quintiles of propensity scores and significant confounders, revealed that the mean (SE) aggregate costs of care (in 2008 US dollars) were $1876 ($177) for patients who reported EOL discussions compared with $2917 ($285) for patients who did not, a cost difference of $1041 (35.7% lower among patients who reported EOL discussions) (P =.002). Patients with higher costs had worse quality of death in their final week (Pearson production moment correlation partial r = -0.17, P =.006).\nCONCLUSIONS: Patients with advanced cancer who reported having EOL conversations with physicians had significantly lower health care costs in their final week of life. Higher costs were associated with worse quality of death.","container-title":"Archives of Internal Medicine","DOI":"10.1001/archinternmed.2008.587","ISSN":"1538-3679","issue":"5","journalAbbreviation":"Arch. Intern. Med.","language":"eng","page":"480-488","source":"PubMed","title":"Health care costs in the last week of life: associations with end-of-life conversations","title-short":"Health care costs in the last week of life","volume":"169","author":[{"family":"Zhang","given":"Baohui"},{"family":"Wright","given":"Alexi A."},{"family":"Huskamp","given":"Haiden A."},{"family":"Nilsson","given":"Matthew E."},{"family":"Maciejewski","given":"Matthew L."},{"family":"Earle","given":"Craig C."},{"family":"Block","given":"Susan D."},{"family":"Maciejewski","given":"Paul K."},{"family":"Prigerson","given":"Holly G."}],"issued":{"date-parts":[["2009",3,9]]}}}],"schema":"https://github.com/citation-style-language/schema/raw/master/csl-citation.json"} </w:instrText>
      </w:r>
      <w:r w:rsidRPr="000F7E56">
        <w:rPr>
          <w:rFonts w:ascii="Calibri" w:eastAsia="SimSun" w:hAnsi="Calibri" w:cs="Calibri"/>
        </w:rPr>
        <w:fldChar w:fldCharType="separate"/>
      </w:r>
      <w:r w:rsidR="00496C3B" w:rsidRPr="00496C3B">
        <w:rPr>
          <w:rFonts w:ascii="Calibri" w:hAnsi="Calibri" w:cs="Calibri"/>
          <w:szCs w:val="24"/>
          <w:vertAlign w:val="superscript"/>
        </w:rPr>
        <w:t>21</w:t>
      </w:r>
      <w:r w:rsidRPr="000F7E56">
        <w:rPr>
          <w:rFonts w:ascii="Calibri" w:eastAsia="SimSun" w:hAnsi="Calibri" w:cs="Calibri"/>
        </w:rPr>
        <w:fldChar w:fldCharType="end"/>
      </w:r>
    </w:p>
    <w:p w14:paraId="55B8CDEB" w14:textId="469E1C80" w:rsidR="000F7E56" w:rsidRPr="000F7E56" w:rsidRDefault="000F7E56" w:rsidP="000F7E56">
      <w:pPr>
        <w:autoSpaceDE w:val="0"/>
        <w:autoSpaceDN w:val="0"/>
        <w:adjustRightInd w:val="0"/>
        <w:spacing w:before="120" w:after="0" w:line="360" w:lineRule="auto"/>
        <w:rPr>
          <w:rFonts w:ascii="Calibri" w:eastAsia="SimSun" w:hAnsi="Calibri" w:cs="Calibri"/>
        </w:rPr>
      </w:pPr>
      <w:r w:rsidRPr="000F7E56">
        <w:rPr>
          <w:rFonts w:ascii="Calibri" w:eastAsia="SimSun" w:hAnsi="Calibri" w:cs="Calibri"/>
        </w:rPr>
        <w:t>It is apparent that EOLCP remains uncommon in most areas of professional practice and patients and professionals tend to avoid discussions they find difficult.</w:t>
      </w:r>
      <w:r w:rsidRPr="000F7E56">
        <w:rPr>
          <w:rFonts w:ascii="Calibri" w:eastAsia="SimSun" w:hAnsi="Calibri" w:cs="Calibri"/>
        </w:rPr>
        <w:fldChar w:fldCharType="begin"/>
      </w:r>
      <w:r w:rsidR="000D5597">
        <w:rPr>
          <w:rFonts w:ascii="Calibri" w:eastAsia="SimSun" w:hAnsi="Calibri" w:cs="Calibri"/>
        </w:rPr>
        <w:instrText xml:space="preserve"> ADDIN ZOTERO_ITEM CSL_CITATION {"citationID":"rM3AtKzI","properties":{"formattedCitation":"\\super 7\\uc0\\u8211{}13,21\\uc0\\u8211{}23\\nosupersub{}","plainCitation":"7–13,21–23","noteIndex":0},"citationItems":[{"id":"aZbwIlcN/ChNimXPl","uris":["http://zotero.org/users/6587080/items/TVCQYCVW"],"itemData":{"id":131,"type":"report","language":"en","page":"60","source":"Zotero","title":"Our commitment to you for end of life care: the government response to the review of choice in end of life care","author":[{"family":"Department of Health","given":""}],"issued":{"date-parts":[["2016",7]]}}},{"id":"aZbwIlcN/DnBtXhG7","uris":["http://zotero.org/users/6587080/items/4MKM83KF"],"itemData":{"id":2368,"type":"article-journal","title":"Treatment and care at the end of life Treatment and care towards the end of life: good practice in decision making","URL":"https://www.gmc-uk.org/-/media/documents/Treatment_and_care_towards_the_end_of_life___English_1015.pdf_48902105.pdf","author":[{"family":"General Medical Council:","given":""}],"issued":{"date-parts":[["2010"]]}}},{"id":"aZbwIlcN/QmqdvhZo","uris":["http://zotero.org/users/6587080/items/6UQPEYDK"],"itemData":{"id":758,"type":"article-journal","abstract":"Summary\nAdvance care planning (ACP) is increasingly implemented in oncology and beyond, but a definition of ACP and recommendations concerning its use are lacking. We used a formal Delphi consensus process to help develop a definition of ACP and provide recommendations for its application. Of the 109 experts (82 from Europe, 16 from North America, and 11 from Australia) who rated the ACP definitions and its 41 recommendations, agreement for each definition or recommendation was between 68–100%. ACP was defined as the ability to enable individuals to define goals and preferences for future medical treatment and care, to discuss these goals and preferences with family and health-care providers, and to record and review these preferences if appropriate. Recommendations included the adaptation of ACP based on the readiness of the individual; targeting ACP content as the individual's health condition worsens; and, using trained non-physician facilitators to support the ACP process. We present a list of outcome measures to enable the pooling and comparison of results of ACP studies. We believe that our recommendations can provide guidance for clinical practice, ACP policy, and research.","container-title":"The Lancet Oncology","DOI":"10.1016/S1470-2045(17)30582-X","ISSN":"1470-2045","issue":"9","journalAbbreviation":"The Lancet Oncology","page":"e543-e551","source":"ScienceDirect","title":"Definition and recommendations for advance care planning: an international consensus supported by the European Association for Palliative Care","title-short":"Definition and recommendations for advance care planning","volume":"18","author":[{"family":"Rietjens","given":"Judith A. C."},{"family":"Sudore","given":"Rebecca L."},{"family":"Connolly","given":"Michael"},{"family":"Delden","given":"Johannes J.","non-dropping-particle":"van"},{"family":"Drickamer","given":"Margaret A."},{"family":"Droger","given":"Mirjam"},{"family":"Heide","given":"Agnes","non-dropping-particle":"van der"},{"family":"Heyland","given":"Daren K."},{"family":"Houttekier","given":"Dirk"},{"family":"Janssen","given":"Daisy J. A."},{"family":"Orsi","given":"Luciano"},{"family":"Payne","given":"Sheila"},{"family":"Seymour","given":"Jane"},{"family":"Jox","given":"Ralf J."},{"family":"Korfage","given":"Ida J."}],"issued":{"date-parts":[["2017",9,1]]}}},{"id":"aZbwIlcN/0RqsH1vL","uris":["http://zotero.org/users/6587080/items/QJZPPMQE"],"itemData":{"id":2371,"type":"article-journal","title":"What’s important to me. A Review of Choice in End of Life Care","URL":"https://assets.publishing.service.gov.uk/government/uploads/system/uploads/attachment_data/file/407244/CHOICE_REVIEW_FINAL_for_web.pdf","author":[{"literal":"The Choice in End of Life Care"},{"literal":"Programme Board"}],"issued":{"date-parts":[["2015"]]}}},{"id":"aZbwIlcN/bIqnwIQZ","uris":["http://zotero.org/users/6587080/items/4XYBQUXG"],"itemData":{"id":142,"type":"article-journal","abstract":"Why do so many people die badly when we know how to care for them well?","container-title":"BMJ","DOI":"10.1136/bmj.f4428","ISSN":"1756-1833","journalAbbreviation":"BMJ","language":"en","page":"f4428","source":"www-bmj-com.ezproxy4.lib.le.ac.uk","title":"Best care for the dying patient","volume":"347","author":[{"family":"Ellershaw","given":"John E."},{"family":"Lakhani","given":"Mayur"}],"issued":{"date-parts":[["2013",7,12]]}}},{"id":"aZbwIlcN/f44wCTc1","uris":["http://zotero.org/users/6587080/items/K79MI9ZI"],"itemData":{"id":80,"type":"article-journal","abstract":"Objective To investigate the impact of advance care planning on end of life care in elderly patients.\nDesign Prospective randomised controlled trial.\nSetting Single centre study in a university hospital in Melbourne, Australia.\nParticipants 309 legally competent medical inpatients aged 80 or more and followed for six months or until death.\nInterventions Participants were randomised to receive usual care or usual care plus facilitated advance care planning. Advance care planning aimed to assist patients to reflect on their goals, values, and beliefs; to consider future medical treatment preferences; to appoint a surrogate; and to document their wishes.\nMain outcome measures The primary outcome was whether a patient’s end of life wishes were known and respected. Other outcomes included patient and family satisfaction with hospital stay and levels of stress, anxiety, and depression in relatives of patients who died.\nResults 154 of the 309 patients were randomised to advance care planning, 125 (81%) received advance care planning, and 108 (84%) expressed wishes or appointed a surrogate, or both. Of the 56 patients who died by six months, end of life wishes were much more likely to be known and followed in the intervention group (25/29, 86%) compared with the control group (8/27, 30%; P&lt;0.001). In the intervention group, family members of patients who died had significantly less stress (intervention 5, control 15; P&lt;0.001), anxiety (intervention 0, control 3; P=0.02), and depression (intervention 0, control 5; P=0.002) than those of the control patients. Patient and family satisfaction was higher in the intervention group.\nConclusions Advance care planning improves end of life care and patient and family satisfaction and reduces stress, anxiety, and depression in surviving relatives.\nTrial registration Australian New Zealand clinical trials registry ACTRN12608000539336.","container-title":"BMJ","DOI":"10.1136/bmj.c1345","ISSN":"0959-8138, 1468-5833","journalAbbreviation":"BMJ","language":"en","page":"c1345","source":"www.bmj.com","title":"The impact of advance care planning on end of life care in elderly patients: randomised controlled trial","title-short":"The impact of advance care planning on end of life care in elderly patients","volume":"340","author":[{"family":"Detering","given":"Karen M."},{"family":"Hancock","given":"Andrew D."},{"family":"Reade","given":"Michael C."},{"family":"Silvester","given":"William"}],"issued":{"date-parts":[["2010",3,24]]}}},{"id":"aZbwIlcN/db6AJ0CG","uris":["http://zotero.org/users/6587080/items/94W3X3VF"],"itemData":{"id":146,"type":"article-journal","abstract":"Context\nTalking about death can be difficult. Without evidence that end-of-life (EOL) discussions improve patient outcomes, physicians must balance their desire to honor patient autonomy against a concern that EOL discussions may inflict psychological harm.\n\nObjective\nTo determine whether EOL discussions with physicians are associated with fewer aggressive interventions.\n\nDesign, Setting, Participants\nA United States multi-site, prospective, longitudinal cohort study of advanced cancer patients and their informal caregivers (n=332 dyads), September 2002-February 2008. Patients were followed from enrollment to death a median of 4.4 months later. Bereaved caregivers’ psychiatric illness and quality of life (QoL) was assessed a median 6.5 months later.\n\nMain Outcome Measures\nThe primary outcome were aggressive medical care (e.g., ventilation, resuscitation) and hospice in the final week of life. Secondary outcomes included patients’ mental health and caregivers’ bereavement adjustment.\n\nResults\n123 of 332 (37.0%) patients reported EOL discussions before baseline. EOL discussions were not associated with higher rates of Major Depressive Disorder (8.3% vs. 5.8; AOR 1.33, 95% CI 0.54-3.32), or more “worry” (6.5 vs. 7.0; p=0.19)). After propensity-score weighted adjustment, EOL discussions were associated with lower rates of ventilation (1.6% vs. 11.0%; AOR 0.26, 95% CI 0.08-0.83), resuscitation (0.8% vs. 6.7%; AOR 0.16, 95% CI 0.03-0.80), ICU admission (4.1 vs. 12.4%; AOR 0.35, 95% CI 0.14-0.90), and earlier hospice enrollment (65.6% vs. 44.5%; AOR 1.58, 95% CI 1.04-2.63). In adjusted analyses, more aggressive medical care was associated with worse patient QoL (6.4 vs. 4.6; F=3.60, p=0.01) and higher risk for Major Depressive Disorder in bereaved caregivers (AOR 3.37, 95% CI 1.12-10.13), while longer hospice stays were associated with better patient QoL (5.6 vs. 6.9; F=3.70, p=0.01). Better patient QoL was associated with better caregiver QoL at follow-up (β=0.20; p=0.001).\n\nConclusion\nEOL discussions are associated with less aggressive medical care near death and earlier hospice referrals. Aggressive care is associated with worse patient QoL and worse bereavement adjustment.","container-title":"JAMA : the journal of the American Medical Association","DOI":"10.1001/jama.300.14.1665","ISSN":"0098-7484","issue":"14","journalAbbreviation":"JAMA","page":"1665-1673","source":"PubMed Central","title":"Associations between end-of-life discussions, patient mental health, medical care near death, and caregiver bereavement adjustment","volume":"300","author":[{"family":"Wright","given":"Alexi A."},{"family":"Zhang","given":"Baohui"},{"family":"Ray","given":"Alaka"},{"family":"Mack","given":"Jennifer W."},{"family":"Trice","given":"Elizabeth"},{"family":"Balboni","given":"Tracy"},{"family":"Mitchell","given":"Susan L."},{"family":"Jackson","given":"Vicki A."},{"family":"Block","given":"Susan D."},{"family":"Maciejewski","given":"Paul K."},{"family":"Prigerson","given":"Holly G."}],"issued":{"date-parts":[["2008",10,8]]}}},{"id":57,"uris":["http://zotero.org/users/8748280/items/LIIU9VT2"],"itemData":{"id":57,"type":"article-journal","abstract":"BACKGROUND: Life-sustaining medical care of patients with advanced cancer at the end of life (EOL) is costly. Patient-physician discussions about EOL wishes are associated with lower rates of intensive interventions.\nMETHODS: Funded by the National Institute of Mental Health and the National Cancer Institute, Coping With Cancer is a longitudinal multi-institutional study of 627 patients with advanced cancer. Patients were interviewed at baseline and were followed up through death. Costs for intensive care unit and hospital stays, hospice care, and life-sustaining procedures (eg, mechanical ventilator use and resuscitation) received in the last week of life were aggregated. Generalized linear models were applied to test for cost differences in EOL care. Propensity score matching was used to reduce selection biases.\nRESULTS: Of 603 participants, 188 (31.2%) reported EOL discussions at baseline. After propensity score matching, the remaining 415 patients did not differ in sociodemographic characteristics, recruitment sites, illness acknowledgment, or treatment preferences. Further analyses, adjusted by quintiles of propensity scores and significant confounders, revealed that the mean (SE) aggregate costs of care (in 2008 US dollars) were $1876 ($177) for patients who reported EOL discussions compared with $2917 ($285) for patients who did not, a cost difference of $1041 (35.7% lower among patients who reported EOL discussions) (P =.002). Patients with higher costs had worse quality of death in their final week (Pearson production moment correlation partial r = -0.17, P =.006).\nCONCLUSIONS: Patients with advanced cancer who reported having EOL conversations with physicians had significantly lower health care costs in their final week of life. Higher costs were associated with worse quality of death.","container-title":"Archives of Internal Medicine","DOI":"10.1001/archinternmed.2008.587","ISSN":"1538-3679","issue":"5","journalAbbreviation":"Arch. Intern. Med.","language":"eng","page":"480-488","source":"PubMed","title":"Health care costs in the last week of life: associations with end-of-life conversations","title-short":"Health care costs in the last week of life","volume":"169","author":[{"family":"Zhang","given":"Baohui"},{"family":"Wright","given":"Alexi A."},{"family":"Huskamp","given":"Haiden A."},{"family":"Nilsson","given":"Matthew E."},{"family":"Maciejewski","given":"Matthew L."},{"family":"Earle","given":"Craig C."},{"family":"Block","given":"Susan D."},{"family":"Maciejewski","given":"Paul K."},{"family":"Prigerson","given":"Holly G."}],"issued":{"date-parts":[["2009",3,9]]}}},{"id":296,"uris":["http://zotero.org/users/8748280/items/X388BQKC"],"itemData":{"id":296,"type":"article-journal","abstract":"Over the past ten years there has been an increasing focus on the need for improving the experience of end of life care. A number of policy initiatives have been introduced to develop approaches to discussing and documenting individual preferences for end of life care, in particular preferred place to die. The aim was to investigate practice in relation to discussing and documenting end of life care and preferred place to die in the last 4 weeks of life with patients and their families. The study utilised an audit of 65 case notes, alongside four group interviews with a mix of health care professionals involved in palliative care provision. While there was evidence that discussions relating to end of life care and preferred place to die had taken place in around half of the audited case notes, there appeared to be a lack of a systematic approach to the recording of discussions with patients or carers about these kind of issues. Health care staff subsequently highlighted that initiating discussions about end of life care and preferences in relation to place of death was challenging and that the recording and tracking of such preferences was problematic. Further work is required to establish how information may be adequately recorded, revised and transferred across services to ensure that patients' preferences in relation to end of life care and place of death are, as far as possible, achieved.","container-title":"BMC Palliative Care","DOI":"10.1186/1472-684X-10-18","ISSN":"1472-684X","issue":"1","journalAbbreviation":"BMC Palliat Care","language":"en","page":"1-9","source":"link.springer.com","title":"Is it recorded in the notes? Documentation of end-of-life care and preferred place to die discussions in the final weeks of life","title-short":"Is it recorded in the notes?","volume":"10","author":[{"family":"Cox","given":"Karen"},{"family":"Moghaddam","given":"Nima"},{"family":"Almack","given":"Kathryn"},{"family":"Pollock","given":"Kristian"},{"family":"Seymour","given":"Jane"}],"issued":{"date-parts":[["2011",12]]}}},{"id":"aZbwIlcN/fMxWfAJX","uris":["http://zotero.org/users/6587080/items/8JEYXM39"],"itemData":{"id":"uUDVD1MV/1KUPsY24","type":"article-journal","abstract":"Clinical practice guidelines for communicating prognosis and end-of-life issues with adults in the advanced stages of a life-limiting illness, and their caregivers","container-title":"The Medical Journal of Australia","DOI":"10.5694/j.1326-5377.2007.tb01100.x","issue":"12","language":"en","page":"S77","source":"www.mja.com.au","title":"Clinical practice guidelines for communicating prognosis and end-of-life issues with adults in the advanced stages of a life-limiting illness, and their caregivers","volume":"186","author":[{"family":"Clayton","given":"Josephine M."},{"family":"Hancock","given":"Karen M."},{"family":"Butow","given":"Phyllis N."},{"family":"Tattersall","given":"Martin H. N."},{"family":"Currow","given":"David C."}],"issued":{"date-parts":[["2007",6,18]]}}}],"schema":"https://github.com/citation-style-language/schema/raw/master/csl-citation.json"} </w:instrText>
      </w:r>
      <w:r w:rsidRPr="000F7E56">
        <w:rPr>
          <w:rFonts w:ascii="Calibri" w:eastAsia="SimSun" w:hAnsi="Calibri" w:cs="Calibri"/>
        </w:rPr>
        <w:fldChar w:fldCharType="separate"/>
      </w:r>
      <w:r w:rsidR="00496C3B" w:rsidRPr="00496C3B">
        <w:rPr>
          <w:rFonts w:ascii="Calibri" w:hAnsi="Calibri" w:cs="Calibri"/>
          <w:szCs w:val="24"/>
          <w:vertAlign w:val="superscript"/>
        </w:rPr>
        <w:t>7–13,21–23</w:t>
      </w:r>
      <w:r w:rsidRPr="000F7E56">
        <w:rPr>
          <w:rFonts w:ascii="Calibri" w:eastAsia="SimSun" w:hAnsi="Calibri" w:cs="Calibri"/>
        </w:rPr>
        <w:fldChar w:fldCharType="end"/>
      </w:r>
      <w:r w:rsidRPr="000F7E56">
        <w:rPr>
          <w:rFonts w:ascii="Calibri" w:eastAsia="SimSun" w:hAnsi="Calibri" w:cs="Calibri"/>
        </w:rPr>
        <w:t xml:space="preserve"> Patient and family responses to EOLCP outcomes remain poorly understood. Very significantly much of the research about the approach and benefits of EOLCP excludes patients from ED groups, most especially those that cannot speak English.</w:t>
      </w:r>
      <w:r w:rsidRPr="000F7E56">
        <w:rPr>
          <w:rFonts w:ascii="Calibri" w:eastAsia="SimSun" w:hAnsi="Calibri" w:cs="Calibri"/>
        </w:rPr>
        <w:fldChar w:fldCharType="begin"/>
      </w:r>
      <w:r w:rsidR="000D5597">
        <w:rPr>
          <w:rFonts w:ascii="Calibri" w:eastAsia="SimSun" w:hAnsi="Calibri" w:cs="Calibri"/>
        </w:rPr>
        <w:instrText xml:space="preserve"> ADDIN ZOTERO_ITEM CSL_CITATION {"citationID":"yh64fZpK","properties":{"formattedCitation":"\\super 23,24\\nosupersub{}","plainCitation":"23,24","noteIndex":0},"citationItems":[{"id":"aZbwIlcN/fMxWfAJX","uris":["http://zotero.org/users/6587080/items/8JEYXM39"],"itemData":{"id":2382,"type":"article-journal","abstract":"Clinical practice guidelines for communicating prognosis and end-of-life issues with adults in the advanced stages of a life-limiting illness, and their caregivers","container-title":"The Medical Journal of Australia","DOI":"10.5694/j.1326-5377.2007.tb01100.x","issue":"12","language":"en","page":"S77","source":"www.mja.com.au","title":"Clinical practice guidelines for communicating prognosis and end-of-life issues with adults in the advanced stages of a life-limiting illness, and their caregivers","volume":"186","author":[{"family":"Clayton","given":"Josephine M."},{"family":"Hancock","given":"Karen M."},{"family":"Butow","given":"Phyllis N."},{"family":"Tattersall","given":"Martin H. N."},{"family":"Currow","given":"David C."}],"issued":{"date-parts":[["2007",6,18]]}}},{"id":"aZbwIlcN/PKai2sLb","uris":["http://zotero.org/users/6587080/items/4EJ4VZSU"],"itemData":{"id":2376,"type":"article-journal","abstract":"The effects of different types of advance care planning have been studied in various settings and populations using different outcome measures. There is evidence that advance care planning positively impacts the quality of end-of-life care. Complex advance care planning interventions may be more eff …","container-title":"Palliative medicine","DOI":"10.1177/0269216314526272","ISSN":"1477-030X","issue":"8","language":"en","note":"publisher: Palliat Med\nPMID: 24651708","source":"pubmed.ncbi.nlm.nih.gov","title":"The effects of advance care planning on end-of-life care: a systematic review","title-short":"The effects of advance care planning on end-of-life care","URL":"https://pubmed.ncbi.nlm.nih.gov/24651708/","volume":"28","author":[{"family":"Brinkman","given":"Stoppelenburg"},{"family":"Ja","given":"Rietjens"},{"family":"A","given":"van der Heide"}],"accessed":{"date-parts":[["2021",3,11]]},"issued":{"date-parts":[["2014",9]]}}}],"schema":"https://github.com/citation-style-language/schema/raw/master/csl-citation.json"} </w:instrText>
      </w:r>
      <w:r w:rsidRPr="000F7E56">
        <w:rPr>
          <w:rFonts w:ascii="Calibri" w:eastAsia="SimSun" w:hAnsi="Calibri" w:cs="Calibri"/>
        </w:rPr>
        <w:fldChar w:fldCharType="separate"/>
      </w:r>
      <w:r w:rsidR="00496C3B" w:rsidRPr="00496C3B">
        <w:rPr>
          <w:rFonts w:ascii="Calibri" w:hAnsi="Calibri" w:cs="Calibri"/>
          <w:szCs w:val="24"/>
          <w:vertAlign w:val="superscript"/>
        </w:rPr>
        <w:t>23,24</w:t>
      </w:r>
      <w:r w:rsidRPr="000F7E56">
        <w:rPr>
          <w:rFonts w:ascii="Calibri" w:eastAsia="SimSun" w:hAnsi="Calibri" w:cs="Calibri"/>
        </w:rPr>
        <w:fldChar w:fldCharType="end"/>
      </w:r>
      <w:r w:rsidRPr="000F7E56">
        <w:rPr>
          <w:rFonts w:ascii="Calibri" w:eastAsia="SimSun" w:hAnsi="Calibri" w:cs="Calibri"/>
        </w:rPr>
        <w:t xml:space="preserve"> There is a small body of work which suggests that ED patients’ value what palliative and end-of-life care (</w:t>
      </w:r>
      <w:proofErr w:type="spellStart"/>
      <w:r w:rsidRPr="000F7E56">
        <w:rPr>
          <w:rFonts w:ascii="Calibri" w:eastAsia="SimSun" w:hAnsi="Calibri" w:cs="Calibri"/>
        </w:rPr>
        <w:t>PEoLC</w:t>
      </w:r>
      <w:proofErr w:type="spellEnd"/>
      <w:r w:rsidRPr="000F7E56">
        <w:rPr>
          <w:rFonts w:ascii="Calibri" w:eastAsia="SimSun" w:hAnsi="Calibri" w:cs="Calibri"/>
        </w:rPr>
        <w:t>)</w:t>
      </w:r>
      <w:r w:rsidRPr="000F7E56" w:rsidDel="00894806">
        <w:rPr>
          <w:rFonts w:ascii="Calibri" w:eastAsia="SimSun" w:hAnsi="Calibri" w:cs="Calibri"/>
        </w:rPr>
        <w:t xml:space="preserve"> </w:t>
      </w:r>
      <w:r w:rsidRPr="000F7E56">
        <w:rPr>
          <w:rFonts w:ascii="Calibri" w:eastAsia="SimSun" w:hAnsi="Calibri" w:cs="Calibri"/>
        </w:rPr>
        <w:t xml:space="preserve">would offer them and our local research and preliminary PPI (Patient and Public Involvement) work and clinical experience echoed this. </w:t>
      </w:r>
    </w:p>
    <w:p w14:paraId="2DC0A1AA" w14:textId="35C5922C" w:rsidR="000F7E56" w:rsidRPr="000F7E56" w:rsidRDefault="000F7E56" w:rsidP="000F7E56">
      <w:pPr>
        <w:autoSpaceDE w:val="0"/>
        <w:autoSpaceDN w:val="0"/>
        <w:adjustRightInd w:val="0"/>
        <w:spacing w:before="120" w:after="0" w:line="360" w:lineRule="auto"/>
        <w:rPr>
          <w:rFonts w:ascii="Calibri" w:eastAsia="SimSun" w:hAnsi="Calibri" w:cs="Calibri"/>
        </w:rPr>
      </w:pPr>
      <w:r w:rsidRPr="000F7E56">
        <w:rPr>
          <w:rFonts w:ascii="Calibri" w:eastAsia="SimSun" w:hAnsi="Calibri" w:cs="Calibri"/>
        </w:rPr>
        <w:t xml:space="preserve">Evidence, mainly outside the UK highlights disparities and inequality of access to </w:t>
      </w:r>
      <w:proofErr w:type="spellStart"/>
      <w:r w:rsidRPr="000F7E56">
        <w:rPr>
          <w:rFonts w:ascii="Calibri" w:eastAsia="SimSun" w:hAnsi="Calibri" w:cs="Calibri"/>
        </w:rPr>
        <w:t>PEoLC</w:t>
      </w:r>
      <w:proofErr w:type="spellEnd"/>
      <w:r w:rsidRPr="000F7E56">
        <w:rPr>
          <w:rFonts w:ascii="Calibri" w:eastAsia="SimSun" w:hAnsi="Calibri" w:cs="Calibri"/>
        </w:rPr>
        <w:t xml:space="preserve"> by ED patients.</w:t>
      </w:r>
      <w:r w:rsidRPr="000F7E56">
        <w:rPr>
          <w:rFonts w:ascii="Calibri" w:eastAsia="SimSun" w:hAnsi="Calibri" w:cs="Calibri"/>
        </w:rPr>
        <w:fldChar w:fldCharType="begin"/>
      </w:r>
      <w:r w:rsidR="000D5597">
        <w:rPr>
          <w:rFonts w:ascii="Calibri" w:eastAsia="SimSun" w:hAnsi="Calibri" w:cs="Calibri"/>
        </w:rPr>
        <w:instrText xml:space="preserve"> ADDIN ZOTERO_ITEM CSL_CITATION {"citationID":"TsBatzfp","properties":{"formattedCitation":"\\super 25\\nosupersub{}","plainCitation":"25","noteIndex":0},"citationItems":[{"id":"aZbwIlcN/vqPrqkfi","uris":["http://zotero.org/users/6587080/items/E73EUZV4"],"itemData":{"id":"PePwUPj6/IwGacUrl","type":"report","language":"en","page":"79","publisher":"King’s College London, Cicely Saunders Institute","source":"Zotero","title":"Palliative and end of life for Black, Asian and Minority Ethnic groups in the UK","author":[{"family":"Calanzani","given":"Natalia"},{"family":"Koffman","given":"Dr Jonathan"},{"family":"Higginson","given":"Irene J."}],"issued":{"date-parts":[["2013",6]]}}}],"schema":"https://github.com/citation-style-language/schema/raw/master/csl-citation.json"} </w:instrText>
      </w:r>
      <w:r w:rsidRPr="000F7E56">
        <w:rPr>
          <w:rFonts w:ascii="Calibri" w:eastAsia="SimSun" w:hAnsi="Calibri" w:cs="Calibri"/>
        </w:rPr>
        <w:fldChar w:fldCharType="separate"/>
      </w:r>
      <w:r w:rsidR="00496C3B" w:rsidRPr="00496C3B">
        <w:rPr>
          <w:rFonts w:ascii="Calibri" w:hAnsi="Calibri" w:cs="Calibri"/>
          <w:szCs w:val="24"/>
          <w:vertAlign w:val="superscript"/>
        </w:rPr>
        <w:t>25</w:t>
      </w:r>
      <w:r w:rsidRPr="000F7E56">
        <w:rPr>
          <w:rFonts w:ascii="Calibri" w:eastAsia="SimSun" w:hAnsi="Calibri" w:cs="Calibri"/>
        </w:rPr>
        <w:fldChar w:fldCharType="end"/>
      </w:r>
      <w:r w:rsidRPr="000F7E56">
        <w:rPr>
          <w:rFonts w:ascii="Calibri" w:eastAsia="SimSun" w:hAnsi="Calibri" w:cs="Calibri"/>
        </w:rPr>
        <w:t xml:space="preserve"> They are less likely to access palliative services and are more likely to die in hospital and to receive more intensive treatments at the end-of-life.</w:t>
      </w:r>
      <w:r w:rsidRPr="000F7E56">
        <w:rPr>
          <w:rFonts w:ascii="Calibri" w:eastAsia="SimSun" w:hAnsi="Calibri" w:cs="Calibri"/>
        </w:rPr>
        <w:fldChar w:fldCharType="begin"/>
      </w:r>
      <w:r w:rsidR="000D5597">
        <w:rPr>
          <w:rFonts w:ascii="Calibri" w:eastAsia="SimSun" w:hAnsi="Calibri" w:cs="Calibri"/>
        </w:rPr>
        <w:instrText xml:space="preserve"> ADDIN ZOTERO_ITEM CSL_CITATION {"citationID":"Y8VCwCDk","properties":{"formattedCitation":"\\super 26,27\\nosupersub{}","plainCitation":"26,27","noteIndex":0},"citationItems":[{"id":"aZbwIlcN/wakglVR0","uris":["http://zotero.org/users/6587080/items/TLXFQBFS"],"itemData":{"id":"PePwUPj6/kjL5h9o3","type":"article-journal","abstract":"Background\nEvidence of low end-of-life (EoL) care service use by minority ethnic groups in the UK has given rise to a body of research and a number of reviews of the literature. This article aims to review and evaluate literature reviews on minority ethnic groups and EoL care in the UK and assess their suitability as an evidence base for policy.\n\nMethods\nSystematic review. Searches were carried out in thirteen electronic databases, eight journals, reference lists, and grey literature. Reviews were included if they concerned minority ethnic groups and EoL care in the UK. Reviews were graded for quality and key themes identified.\n\nResults\nThirteen reviews (2001-2009) met inclusion criteria. Seven took a systematic approach, of which four scored highly for methodological quality (a mean score of six, median seven). The majority of systematic reviews were therefore of a reasonable methodological quality. Most reviews were restricted by ethnic group, aspect of EoL care, or were broader reviews which reported relevant findings. Six key themes were identified.\n\nConclusions\nA number of reviews were systematic and scored highly for methodological quality. These reviews provide a good reflection of the primary evidence and could be used to inform policy. The complexity and inter-relatedness of factors leading to low service use was recognised and reflected in reviews' recommendations for service improvement. Recommendations made in the UK End-of-Life Care Strategy were limited in comparison, and the Strategy's evidence base concerning minority ethnic groups was found to be narrow. Future policy should be embedded strongly in the evidence base to reflect the current literature and minimise bias.","container-title":"BMC Health Services Research","DOI":"10.1186/1472-6963-11-141","ISSN":"1472-6963","journalAbbreviation":"BMC Health Serv Res","page":"141","source":"PubMed Central","title":"Appraisal of literature reviews on end-of-life care for minority ethnic groups in the UK and a critical comparison with policy recommendations from the UK end-of-life care strategy","volume":"11","author":[{"family":"Evans","given":"Natalie"},{"family":"Meñaca","given":"Arantza"},{"family":"Andrew","given":"Erin VW"},{"family":"Koffman","given":"Jonathan"},{"family":"Harding","given":"Richard"},{"family":"Higginson","given":"Irene J."},{"family":"Pool","given":"Robert"},{"family":"Gysels","given":"Marjolein"}],"issued":{"date-parts":[["2011",6,2]]}}},{"id":"aZbwIlcN/X1JnFwuF","uris":["http://zotero.org/users/local/hgz1ep6T/items/N9NA4KYU"],"itemData":{"id":816,"type":"article-journal","abstract":"Patients with cancer represent the largest group of hospice users, making this population critically important in hospice research studies. Despite the potential benefits of hospice, many studies have noted lower levels of utilization among African Americans. The goal of this literature review was to determine whether this disparity exists within this population of patients with cancer. The largest studies focusing on multiple cancers found lower hospice use among African American patients with cancer. Disparities also existed after entry into hospice. Age, gender, geographic location, preference for aggressive care, and knowledge of hospice influenced hospice use by these patients. Since African American patients with cancer evidently use hospice at a lower rate, future studies should explore potential barriers to participation by this patient population and methods to remove these obstacles.","container-title":"American Journal of Hospice and Palliative Medicine®","DOI":"10.1177/1049909111423804","ISSN":"1049-9091","issue":"5","journalAbbreviation":"Am J Hosp Palliat Care","language":"en","page":"346-354","source":"SAGE Journals","title":"Disparity in Hospice Utilization by African American Patients With Cancer","volume":"29","author":[{"family":"Ramey","given":"Stephen J."},{"family":"Chin","given":"Steve H."}],"issued":{"date-parts":[["2012",8,1]]}}}],"schema":"https://github.com/citation-style-language/schema/raw/master/csl-citation.json"} </w:instrText>
      </w:r>
      <w:r w:rsidRPr="000F7E56">
        <w:rPr>
          <w:rFonts w:ascii="Calibri" w:eastAsia="SimSun" w:hAnsi="Calibri" w:cs="Calibri"/>
        </w:rPr>
        <w:fldChar w:fldCharType="separate"/>
      </w:r>
      <w:r w:rsidR="00496C3B" w:rsidRPr="00496C3B">
        <w:rPr>
          <w:rFonts w:ascii="Calibri" w:hAnsi="Calibri" w:cs="Calibri"/>
          <w:szCs w:val="24"/>
          <w:vertAlign w:val="superscript"/>
        </w:rPr>
        <w:t>26,27</w:t>
      </w:r>
      <w:r w:rsidRPr="000F7E56">
        <w:rPr>
          <w:rFonts w:ascii="Calibri" w:eastAsia="SimSun" w:hAnsi="Calibri" w:cs="Calibri"/>
        </w:rPr>
        <w:fldChar w:fldCharType="end"/>
      </w:r>
      <w:r w:rsidRPr="000F7E56">
        <w:rPr>
          <w:rFonts w:ascii="Calibri" w:eastAsia="SimSun" w:hAnsi="Calibri" w:cs="Calibri"/>
        </w:rPr>
        <w:t xml:space="preserve"> Little is known about the nature of ED patients’ preferences for end-of-life care (EOLC) or how current UK EOLCP policy and practice 'fit' with diverse cultural values and beliefs.  There is the possibility that development of more culturally sensitive EOLC based on evidence, may prompt a revision of the current model and norms of the EOLCP approach.</w:t>
      </w:r>
    </w:p>
    <w:p w14:paraId="5206C2CF" w14:textId="77777777" w:rsidR="000F7E56" w:rsidRPr="000F7E56" w:rsidRDefault="000F7E56" w:rsidP="000F7E56">
      <w:pPr>
        <w:autoSpaceDE w:val="0"/>
        <w:autoSpaceDN w:val="0"/>
        <w:adjustRightInd w:val="0"/>
        <w:spacing w:before="120" w:after="0" w:line="360" w:lineRule="auto"/>
        <w:rPr>
          <w:rFonts w:ascii="Calibri" w:eastAsia="SimSun" w:hAnsi="Calibri" w:cs="Calibri"/>
        </w:rPr>
      </w:pPr>
      <w:r w:rsidRPr="000F7E56">
        <w:rPr>
          <w:rFonts w:ascii="Calibri" w:eastAsia="SimSun" w:hAnsi="Calibri" w:cs="Calibri"/>
          <w:lang w:val="en-US"/>
        </w:rPr>
        <w:t xml:space="preserve">This study contributes to the currently limited knowledge regarding how ED patients and their families </w:t>
      </w:r>
      <w:r w:rsidRPr="000F7E56">
        <w:rPr>
          <w:rFonts w:ascii="Calibri" w:eastAsia="SimSun" w:hAnsi="Calibri" w:cs="Calibri"/>
        </w:rPr>
        <w:t xml:space="preserve">live with advanced illness and consider the prospect of deterioration and dying. </w:t>
      </w:r>
      <w:r w:rsidRPr="000F7E56">
        <w:rPr>
          <w:rFonts w:ascii="Calibri" w:eastAsia="SimSun" w:hAnsi="Calibri" w:cs="Calibri"/>
          <w:lang w:val="en-US"/>
        </w:rPr>
        <w:t xml:space="preserve">Using qualitative methodology this study also makes a substantial contribution to understanding the barriers and facilitators of EOLCP with ED patients.  </w:t>
      </w:r>
    </w:p>
    <w:p w14:paraId="686C670C" w14:textId="77777777" w:rsidR="000F7E56" w:rsidRPr="000F7E56" w:rsidRDefault="000F7E56" w:rsidP="000F7E56">
      <w:pPr>
        <w:autoSpaceDE w:val="0"/>
        <w:autoSpaceDN w:val="0"/>
        <w:adjustRightInd w:val="0"/>
        <w:spacing w:before="120" w:after="0" w:line="360" w:lineRule="auto"/>
        <w:rPr>
          <w:rFonts w:ascii="Calibri" w:eastAsia="SimSun" w:hAnsi="Calibri" w:cs="Calibri"/>
          <w:sz w:val="28"/>
          <w:szCs w:val="28"/>
        </w:rPr>
      </w:pPr>
    </w:p>
    <w:p w14:paraId="21BA2E1F" w14:textId="77777777" w:rsidR="000F7E56" w:rsidRPr="000F7E56" w:rsidRDefault="000F7E56" w:rsidP="000F7E56">
      <w:pPr>
        <w:keepNext/>
        <w:keepLines/>
        <w:spacing w:after="120" w:line="360" w:lineRule="auto"/>
        <w:outlineLvl w:val="1"/>
        <w:rPr>
          <w:rFonts w:asciiTheme="majorHAnsi" w:eastAsiaTheme="majorEastAsia" w:hAnsiTheme="majorHAnsi" w:cstheme="majorBidi"/>
          <w:color w:val="2F5496" w:themeColor="accent1" w:themeShade="BF"/>
          <w:sz w:val="24"/>
          <w:szCs w:val="24"/>
        </w:rPr>
      </w:pPr>
      <w:bookmarkStart w:id="31" w:name="_Toc87279294"/>
      <w:bookmarkStart w:id="32" w:name="_Toc89665136"/>
      <w:bookmarkStart w:id="33" w:name="_Toc89671889"/>
      <w:bookmarkStart w:id="34" w:name="_Toc89763939"/>
      <w:bookmarkStart w:id="35" w:name="_Toc106697765"/>
      <w:r w:rsidRPr="000F7E56">
        <w:rPr>
          <w:rFonts w:asciiTheme="majorHAnsi" w:eastAsiaTheme="majorEastAsia" w:hAnsiTheme="majorHAnsi" w:cstheme="majorBidi"/>
          <w:color w:val="2F5496" w:themeColor="accent1" w:themeShade="BF"/>
          <w:sz w:val="24"/>
          <w:szCs w:val="24"/>
        </w:rPr>
        <w:t>End-of-life care planning and policy</w:t>
      </w:r>
      <w:bookmarkEnd w:id="31"/>
      <w:bookmarkEnd w:id="32"/>
      <w:bookmarkEnd w:id="33"/>
      <w:bookmarkEnd w:id="34"/>
      <w:bookmarkEnd w:id="35"/>
      <w:r w:rsidRPr="000F7E56">
        <w:rPr>
          <w:rFonts w:asciiTheme="majorHAnsi" w:eastAsiaTheme="majorEastAsia" w:hAnsiTheme="majorHAnsi" w:cstheme="majorBidi"/>
          <w:color w:val="2F5496" w:themeColor="accent1" w:themeShade="BF"/>
          <w:sz w:val="24"/>
          <w:szCs w:val="24"/>
        </w:rPr>
        <w:t xml:space="preserve"> </w:t>
      </w:r>
    </w:p>
    <w:p w14:paraId="7E883147" w14:textId="67138F6D" w:rsidR="000F7E56" w:rsidRPr="000F7E56" w:rsidRDefault="000F7E56" w:rsidP="000F7E56">
      <w:pPr>
        <w:spacing w:after="120" w:line="360" w:lineRule="auto"/>
      </w:pPr>
      <w:r w:rsidRPr="000F7E56">
        <w:t>Every year, approximately 40 million people are in need of palliative care services worldwide, and only 14% of these people gain access to these services.</w:t>
      </w:r>
      <w:r w:rsidRPr="000F7E56">
        <w:fldChar w:fldCharType="begin"/>
      </w:r>
      <w:r w:rsidR="000D5597">
        <w:instrText xml:space="preserve"> ADDIN ZOTERO_ITEM CSL_CITATION {"citationID":"3UooFu4l","properties":{"formattedCitation":"\\super 28\\nosupersub{}","plainCitation":"28","noteIndex":0},"citationItems":[{"id":"aZbwIlcN/pa4umkfn","uris":["http://zotero.org/users/6587080/items/VSD5PGUG"],"itemData":{"id":2559,"type":"webpage","abstract":"Los cuidados paliativos constituyen un planteamiento que mejora la calidad de vida de los pacientes (adultos y niños) y sus allegados cuando afrontan problemas inherentes a una  enfermedad potencialmente mortal.","language":"en","title":"Palliative Care","URL":"https://www.who.int/news-room/fact-sheets/detail/palliative-care","author":[{"family":"World Health Organization,","given":""}],"accessed":{"date-parts":[["2021",7,10]]},"issued":{"date-parts":[["2021"]]}}}],"schema":"https://github.com/citation-style-language/schema/raw/master/csl-citation.json"} </w:instrText>
      </w:r>
      <w:r w:rsidRPr="000F7E56">
        <w:fldChar w:fldCharType="separate"/>
      </w:r>
      <w:r w:rsidR="00496C3B" w:rsidRPr="00496C3B">
        <w:rPr>
          <w:rFonts w:ascii="Calibri" w:hAnsi="Calibri" w:cs="Calibri"/>
          <w:szCs w:val="24"/>
          <w:vertAlign w:val="superscript"/>
        </w:rPr>
        <w:t>28</w:t>
      </w:r>
      <w:r w:rsidRPr="000F7E56">
        <w:fldChar w:fldCharType="end"/>
      </w:r>
      <w:r w:rsidRPr="000F7E56">
        <w:t xml:space="preserve"> In England and Wales the Department of Health published an end-of-life care strategy to ‘bring about a step change in access to high quality care for all people approaching the end-of-life, i</w:t>
      </w:r>
      <w:r w:rsidRPr="000F7E56">
        <w:rPr>
          <w:color w:val="000000"/>
        </w:rPr>
        <w:t xml:space="preserve">rrespective of age, gender, ethnicity, religious belief, disability, sexual orientation, diagnosis or socioeconomic status’ </w:t>
      </w:r>
      <w:r w:rsidRPr="000F7E56">
        <w:t>in all care settings. EOLCP is a major feature of this strategy. The first step of the care pathway set out in the End-of-Life Strategy is ‘discussion as the end-of-life approaches’ involving ‘open and honest communication’ and ‘identifying triggers for discussion’.</w:t>
      </w:r>
      <w:r w:rsidRPr="000F7E56">
        <w:fldChar w:fldCharType="begin"/>
      </w:r>
      <w:r w:rsidR="000D5597">
        <w:instrText xml:space="preserve"> ADDIN ZOTERO_ITEM CSL_CITATION {"citationID":"gnteFM7p","properties":{"formattedCitation":"\\super 3\\nosupersub{}","plainCitation":"3","noteIndex":0},"citationItems":[{"id":"aZbwIlcN/WOrttcKv","uris":["http://zotero.org/users/6587080/items/TF89Y6ZR"],"itemData":{"id":"AMorj3u4/Uy0WGoUd","type":"article-journal","language":"en","page":"171","source":"Zotero","title":"End of Life Care Strategy - Promoting high quality care of all adults at the end of life.","author":[{"family":"Department of Health","given":""}],"issued":{"date-parts":[["2008"]]}}}],"schema":"https://github.com/citation-style-language/schema/raw/master/csl-citation.json"} </w:instrText>
      </w:r>
      <w:r w:rsidRPr="000F7E56">
        <w:fldChar w:fldCharType="separate"/>
      </w:r>
      <w:r w:rsidR="00496C3B" w:rsidRPr="00496C3B">
        <w:rPr>
          <w:rFonts w:ascii="Calibri" w:hAnsi="Calibri" w:cs="Calibri"/>
          <w:szCs w:val="24"/>
          <w:vertAlign w:val="superscript"/>
        </w:rPr>
        <w:t>3</w:t>
      </w:r>
      <w:r w:rsidRPr="000F7E56">
        <w:fldChar w:fldCharType="end"/>
      </w:r>
    </w:p>
    <w:p w14:paraId="49D75EB6" w14:textId="749F2E37" w:rsidR="000F7E56" w:rsidRPr="00D74EFC" w:rsidRDefault="000F7E56" w:rsidP="000F7E56">
      <w:pPr>
        <w:spacing w:after="120" w:line="360" w:lineRule="auto"/>
        <w:rPr>
          <w:rFonts w:eastAsia="Arial"/>
          <w:color w:val="000000"/>
          <w:u w:color="000000"/>
          <w:bdr w:val="nil"/>
          <w:lang w:eastAsia="en-GB"/>
          <w14:textOutline w14:w="0" w14:cap="flat" w14:cmpd="sng" w14:algn="ctr">
            <w14:noFill/>
            <w14:prstDash w14:val="solid"/>
            <w14:bevel/>
          </w14:textOutline>
        </w:rPr>
      </w:pPr>
      <w:r w:rsidRPr="000F7E56">
        <w:rPr>
          <w:rFonts w:eastAsia="Arial Unicode MS"/>
          <w:color w:val="000000"/>
          <w:u w:color="000000"/>
          <w:bdr w:val="nil"/>
          <w:lang w:val="en-US" w:eastAsia="en-GB"/>
          <w14:textOutline w14:w="0" w14:cap="flat" w14:cmpd="sng" w14:algn="ctr">
            <w14:noFill/>
            <w14:prstDash w14:val="solid"/>
            <w14:bevel/>
          </w14:textOutline>
        </w:rPr>
        <w:lastRenderedPageBreak/>
        <w:t>EOLCP is in line with provisions of the Mental Health Capacity Act 2005 which provides legal framework to promote and safeguard decision-making by an individual.</w:t>
      </w:r>
      <w:r w:rsidRPr="000F7E56">
        <w:rPr>
          <w:rFonts w:eastAsia="Arial Unicode MS"/>
          <w:color w:val="000000"/>
          <w:u w:color="000000"/>
          <w:bdr w:val="nil"/>
          <w:lang w:val="en-US" w:eastAsia="en-GB"/>
          <w14:textOutline w14:w="0" w14:cap="flat" w14:cmpd="sng" w14:algn="ctr">
            <w14:noFill/>
            <w14:prstDash w14:val="solid"/>
            <w14:bevel/>
          </w14:textOutline>
        </w:rPr>
        <w:fldChar w:fldCharType="begin"/>
      </w:r>
      <w:r w:rsidR="000D5597">
        <w:rPr>
          <w:rFonts w:eastAsia="Arial Unicode MS"/>
          <w:color w:val="000000"/>
          <w:u w:color="000000"/>
          <w:bdr w:val="nil"/>
          <w:lang w:val="en-US" w:eastAsia="en-GB"/>
          <w14:textOutline w14:w="0" w14:cap="flat" w14:cmpd="sng" w14:algn="ctr">
            <w14:noFill/>
            <w14:prstDash w14:val="solid"/>
            <w14:bevel/>
          </w14:textOutline>
        </w:rPr>
        <w:instrText xml:space="preserve"> ADDIN ZOTERO_ITEM CSL_CITATION {"citationID":"eexbMsQQ","properties":{"formattedCitation":"\\super 2\\nosupersub{}","plainCitation":"2","noteIndex":0},"citationItems":[{"id":"aZbwIlcN/dhewDl8y","uris":["http://zotero.org/users/6587080/items/VH6FY8JU"],"itemData":{"id":"AMorj3u4/vS6bEqT7","type":"webpage","abstract":"Code of practice giving guidance for decisions made under the Mental Capacity Act 2005.","container-title":"GOV.UK","language":"en","title":"Mental Capacity Act 2005: Code of Practice 2007","URL":"https://www.gov.uk/government/publications/mental-capacity-act-code-of-practice","author":[{"family":"Department for Constitutional Affairs,","given":""}],"accessed":{"date-parts":[["2021",7,10]]}}}],"schema":"https://github.com/citation-style-language/schema/raw/master/csl-citation.json"} </w:instrText>
      </w:r>
      <w:r w:rsidRPr="000F7E56">
        <w:rPr>
          <w:rFonts w:eastAsia="Arial Unicode MS"/>
          <w:color w:val="000000"/>
          <w:u w:color="000000"/>
          <w:bdr w:val="nil"/>
          <w:lang w:val="en-US" w:eastAsia="en-GB"/>
          <w14:textOutline w14:w="0" w14:cap="flat" w14:cmpd="sng" w14:algn="ctr">
            <w14:noFill/>
            <w14:prstDash w14:val="solid"/>
            <w14:bevel/>
          </w14:textOutline>
        </w:rPr>
        <w:fldChar w:fldCharType="separate"/>
      </w:r>
      <w:r w:rsidR="00496C3B" w:rsidRPr="00496C3B">
        <w:rPr>
          <w:rFonts w:ascii="Calibri" w:hAnsi="Calibri" w:cs="Calibri"/>
          <w:szCs w:val="24"/>
          <w:vertAlign w:val="superscript"/>
        </w:rPr>
        <w:t>2</w:t>
      </w:r>
      <w:r w:rsidRPr="000F7E56">
        <w:rPr>
          <w:rFonts w:eastAsia="Arial Unicode MS"/>
          <w:color w:val="000000"/>
          <w:u w:color="000000"/>
          <w:bdr w:val="nil"/>
          <w:lang w:val="en-US" w:eastAsia="en-GB"/>
          <w14:textOutline w14:w="0" w14:cap="flat" w14:cmpd="sng" w14:algn="ctr">
            <w14:noFill/>
            <w14:prstDash w14:val="solid"/>
            <w14:bevel/>
          </w14:textOutline>
        </w:rPr>
        <w:fldChar w:fldCharType="end"/>
      </w:r>
      <w:r w:rsidRPr="000F7E56">
        <w:rPr>
          <w:rFonts w:eastAsia="Arial Unicode MS"/>
          <w:color w:val="000000"/>
          <w:u w:color="000000"/>
          <w:bdr w:val="nil"/>
          <w:lang w:val="en-US" w:eastAsia="en-GB"/>
          <w14:textOutline w14:w="0" w14:cap="flat" w14:cmpd="sng" w14:algn="ctr">
            <w14:noFill/>
            <w14:prstDash w14:val="solid"/>
            <w14:bevel/>
          </w14:textOutline>
        </w:rPr>
        <w:t xml:space="preserve"> It empowers and enables people to plan ahead and communicate their wishes </w:t>
      </w:r>
      <w:r w:rsidRPr="00D74EFC">
        <w:rPr>
          <w:rFonts w:eastAsia="Arial Unicode MS"/>
          <w:color w:val="000000"/>
          <w:u w:color="000000"/>
          <w:bdr w:val="nil"/>
          <w:lang w:eastAsia="en-GB"/>
          <w14:textOutline w14:w="0" w14:cap="flat" w14:cmpd="sng" w14:algn="ctr">
            <w14:noFill/>
            <w14:prstDash w14:val="solid"/>
            <w14:bevel/>
          </w14:textOutline>
        </w:rPr>
        <w:t>for</w:t>
      </w:r>
      <w:r w:rsidRPr="000F7E56">
        <w:rPr>
          <w:rFonts w:eastAsia="Arial Unicode MS"/>
          <w:color w:val="000000"/>
          <w:u w:color="000000"/>
          <w:bdr w:val="nil"/>
          <w:lang w:val="en-US" w:eastAsia="en-GB"/>
          <w14:textOutline w14:w="0" w14:cap="flat" w14:cmpd="sng" w14:algn="ctr">
            <w14:noFill/>
            <w14:prstDash w14:val="solid"/>
            <w14:bevel/>
          </w14:textOutline>
        </w:rPr>
        <w:t xml:space="preserve"> a time when they might lose capacity</w:t>
      </w:r>
      <w:r w:rsidRPr="00D74EFC">
        <w:rPr>
          <w:rFonts w:eastAsia="Arial Unicode MS"/>
          <w:color w:val="000000"/>
          <w:u w:color="000000"/>
          <w:bdr w:val="nil"/>
          <w:lang w:eastAsia="en-GB"/>
          <w14:textOutline w14:w="0" w14:cap="flat" w14:cmpd="sng" w14:algn="ctr">
            <w14:noFill/>
            <w14:prstDash w14:val="solid"/>
            <w14:bevel/>
          </w14:textOutline>
        </w:rPr>
        <w:t xml:space="preserve"> </w:t>
      </w:r>
      <w:r w:rsidRPr="000F7E56">
        <w:rPr>
          <w:rFonts w:eastAsia="Arial Unicode MS"/>
          <w:color w:val="000000"/>
          <w:u w:color="000000"/>
          <w:bdr w:val="nil"/>
          <w:lang w:val="en-US" w:eastAsia="en-GB"/>
          <w14:textOutline w14:w="0" w14:cap="flat" w14:cmpd="sng" w14:algn="ctr">
            <w14:noFill/>
            <w14:prstDash w14:val="solid"/>
            <w14:bevel/>
          </w14:textOutline>
        </w:rPr>
        <w:t>and protects their place in the decision-making process. EOLCP may benefit patients by increasing their autonomy in deciding about their future care and choice of place of death. EOLCP is intended to align care to patient preference</w:t>
      </w:r>
      <w:r w:rsidRPr="00D74EFC">
        <w:rPr>
          <w:rFonts w:eastAsia="Arial Unicode MS"/>
          <w:color w:val="000000"/>
          <w:u w:color="000000"/>
          <w:bdr w:val="nil"/>
          <w:lang w:eastAsia="en-GB"/>
          <w14:textOutline w14:w="0" w14:cap="flat" w14:cmpd="sng" w14:algn="ctr">
            <w14:noFill/>
            <w14:prstDash w14:val="solid"/>
            <w14:bevel/>
          </w14:textOutline>
        </w:rPr>
        <w:t xml:space="preserve">s </w:t>
      </w:r>
      <w:r w:rsidRPr="000F7E56">
        <w:rPr>
          <w:rFonts w:eastAsia="Arial Unicode MS"/>
          <w:color w:val="000000"/>
          <w:u w:color="000000"/>
          <w:bdr w:val="nil"/>
          <w:lang w:val="en-US" w:eastAsia="en-GB"/>
          <w14:textOutline w14:w="0" w14:cap="flat" w14:cmpd="sng" w14:algn="ctr">
            <w14:noFill/>
            <w14:prstDash w14:val="solid"/>
            <w14:bevel/>
          </w14:textOutline>
        </w:rPr>
        <w:t>before their health and decision-making ability deteriorates due to progression of illness, reduces uncertainty about care decisions and thus may both help ease the grieving process for families and use healthcare resource effectively.</w:t>
      </w:r>
      <w:r w:rsidRPr="000F7E56">
        <w:rPr>
          <w:rFonts w:eastAsia="Arial Unicode MS"/>
          <w:color w:val="000000"/>
          <w:u w:color="000000"/>
          <w:bdr w:val="nil"/>
          <w:lang w:val="nl-NL" w:eastAsia="en-GB"/>
          <w14:textOutline w14:w="0" w14:cap="flat" w14:cmpd="sng" w14:algn="ctr">
            <w14:noFill/>
            <w14:prstDash w14:val="solid"/>
            <w14:bevel/>
          </w14:textOutline>
        </w:rPr>
        <w:fldChar w:fldCharType="begin"/>
      </w:r>
      <w:r w:rsidR="000D5597" w:rsidRPr="00D74EFC">
        <w:rPr>
          <w:rFonts w:eastAsia="Arial Unicode MS"/>
          <w:color w:val="000000"/>
          <w:u w:color="000000"/>
          <w:bdr w:val="nil"/>
          <w:lang w:eastAsia="en-GB"/>
          <w14:textOutline w14:w="0" w14:cap="flat" w14:cmpd="sng" w14:algn="ctr">
            <w14:noFill/>
            <w14:prstDash w14:val="solid"/>
            <w14:bevel/>
          </w14:textOutline>
        </w:rPr>
        <w:instrText xml:space="preserve"> ADDIN ZOTERO_ITEM CSL_CITATION {"citationID":"2mExc8JI","properties":{"formattedCitation":"\\super 29\\uc0\\u8211{}31\\nosupersub{}","plainCitation":"29–31","noteIndex":0},"citationItems":[{"id":386,"uris":["http://zotero.org/users/8748280/items/M5ZBNVEP"],"itemData":{"id":386,"type":"article-journal","abstract":"Key components of advance care planning (ACP) for the elderly include choosing a surrogate\ndecision maker, identifying personal values, communicating with surrogates and clinicians,\ndocumenting wishes in advance directives, and translating values and preferences for\nfuture medical care into medical orders. ACP often involves multiple brief discussions\nover time. This article outlines common benefits and barriers to ACP in primary care,\nand provides practical approaches to integrating key ACP components into primary care\nfor older adults. Opportunities for multidisciplinary teams to incorporate ACP into\nbrief clinic visits are highlighted.","container-title":"Medical Clinics","DOI":"10.1016/j.mcna.2014.11.010","ISSN":"0025-7125, 1557-9859","issue":"2","journalAbbreviation":"Medical Clinics","language":"English","page":"391-403","source":"www.medical.theclinics.com","title":"Advance Care Planning in the Elderly","volume":"99","author":[{"family":"Lum","given":"Hillary D."},{"family":"Sudore","given":"Rebecca L."},{"family":"Bekelman","given":"David B."}],"issued":{"date-parts":[["2015",3,1]]}}},{"id":371</w:instrText>
      </w:r>
      <w:r w:rsidR="000D5597">
        <w:rPr>
          <w:rFonts w:eastAsia="Arial Unicode MS"/>
          <w:color w:val="000000"/>
          <w:u w:color="000000"/>
          <w:bdr w:val="nil"/>
          <w:lang w:val="nl-NL" w:eastAsia="en-GB"/>
          <w14:textOutline w14:w="0" w14:cap="flat" w14:cmpd="sng" w14:algn="ctr">
            <w14:noFill/>
            <w14:prstDash w14:val="solid"/>
            <w14:bevel/>
          </w14:textOutline>
        </w:rPr>
        <w:instrText>,"uris":["http://zotero.org/users/8748280/items/XP5YKFHJ"],"itemData":{"id":371,"type":"webpage","abstract":"Joint guidance on anticipatory decisions about whether or not to attempt resuscitation in a person when their heart stops or they stop breathing.","container-title":"Resuscitation Council UK","language":"en","title":"Decisions relating to cardiopulmonary resuscitation (3rd edition - 1st revision)","title-short":"Publication","URL":"https://www.resus.org.uk/library/publications/publication-decisions-relating-cardiopulmonary","auth</w:instrText>
      </w:r>
      <w:r w:rsidR="000D5597" w:rsidRPr="00D74EFC">
        <w:rPr>
          <w:rFonts w:eastAsia="Arial Unicode MS"/>
          <w:color w:val="000000"/>
          <w:u w:color="000000"/>
          <w:bdr w:val="nil"/>
          <w:lang w:eastAsia="en-GB"/>
          <w14:textOutline w14:w="0" w14:cap="flat" w14:cmpd="sng" w14:algn="ctr">
            <w14:noFill/>
            <w14:prstDash w14:val="solid"/>
            <w14:bevel/>
          </w14:textOutline>
        </w:rPr>
        <w:instrText xml:space="preserve">or":[{"family":"British Medical Association","given":"Resuscitation Council (UK)","suffix":"Royal College of Nursing"}],"accessed":{"date-parts":[["2021",2,11]]},"issued":{"date-parts":[["2016"]]}}},{"id":373,"uris":["http://zotero.org/users/8748280/items/CJ4I2VX7"],"itemData":{"id":373,"type":"article-journal","abstract":"Background: In dementia care, a large number of treatment decisions are made by family carers on behalf of their family member who lacks decisional capacity; ad...","archive_location":"Sage UK: London, England","container-title":"Palliative Medicine","DOI":"10.1177/0269216317722413","language":"en","source":"journals.sagepub.com","title":"Effectiveness of advance care planning with family carers in dementia nursing homes: A paired cluster randomized controlled trial:","title-short":"Effectiveness of advance care planning with family carers in dementia nursing homes","URL":"https://journals.sagepub.com/doi/abs/10.1177/0269216317722413","author":[{"family":"Brazil","given":"Kevin"},{"family":"Carter","given":"Gillian"},{"family":"Cardwell","given":"Chris"},{"family":"Clarke","given":"Mike"},{"family":"Hudson","given":"Peter"},{"family":"Froggatt","given":"Katherine"},{"family":"McLaughlin","given":"Dorry"},{"family":"Passmore","given":"Peter"},{"family":"Kernohan","given":"W. George"}],"accessed":{"date-parts":[["2021",2,11]]},"issued":{"date-parts":[["2017",8,8]]}}}],"schema":"https://github.com/citation-style-language/schema/raw/master/csl-citation.json"} </w:instrText>
      </w:r>
      <w:r w:rsidRPr="000F7E56">
        <w:rPr>
          <w:rFonts w:eastAsia="Arial Unicode MS"/>
          <w:color w:val="000000"/>
          <w:u w:color="000000"/>
          <w:bdr w:val="nil"/>
          <w:lang w:val="nl-NL" w:eastAsia="en-GB"/>
          <w14:textOutline w14:w="0" w14:cap="flat" w14:cmpd="sng" w14:algn="ctr">
            <w14:noFill/>
            <w14:prstDash w14:val="solid"/>
            <w14:bevel/>
          </w14:textOutline>
        </w:rPr>
        <w:fldChar w:fldCharType="separate"/>
      </w:r>
      <w:r w:rsidR="00496C3B" w:rsidRPr="00496C3B">
        <w:rPr>
          <w:rFonts w:ascii="Calibri" w:hAnsi="Calibri" w:cs="Calibri"/>
          <w:szCs w:val="24"/>
          <w:vertAlign w:val="superscript"/>
        </w:rPr>
        <w:t>29–31</w:t>
      </w:r>
      <w:r w:rsidRPr="000F7E56">
        <w:rPr>
          <w:rFonts w:eastAsia="Arial Unicode MS"/>
          <w:color w:val="000000"/>
          <w:u w:color="000000"/>
          <w:bdr w:val="nil"/>
          <w:lang w:val="nl-NL" w:eastAsia="en-GB"/>
          <w14:textOutline w14:w="0" w14:cap="flat" w14:cmpd="sng" w14:algn="ctr">
            <w14:noFill/>
            <w14:prstDash w14:val="solid"/>
            <w14:bevel/>
          </w14:textOutline>
        </w:rPr>
        <w:fldChar w:fldCharType="end"/>
      </w:r>
      <w:r w:rsidRPr="00D74EFC">
        <w:rPr>
          <w:rFonts w:eastAsia="Arial Unicode MS"/>
          <w:color w:val="000000"/>
          <w:u w:color="000000"/>
          <w:bdr w:val="nil"/>
          <w:lang w:eastAsia="en-GB"/>
          <w14:textOutline w14:w="0" w14:cap="flat" w14:cmpd="sng" w14:algn="ctr">
            <w14:noFill/>
            <w14:prstDash w14:val="solid"/>
            <w14:bevel/>
          </w14:textOutline>
        </w:rPr>
        <w:t xml:space="preserve"> A patient may refuse treatments but cannot insist on treatments that are not clinically appropriate.  </w:t>
      </w:r>
    </w:p>
    <w:p w14:paraId="665957F0" w14:textId="78C8C5D8" w:rsidR="000F7E56" w:rsidRPr="000F7E56" w:rsidRDefault="000F7E56" w:rsidP="000F7E56">
      <w:pPr>
        <w:autoSpaceDE w:val="0"/>
        <w:autoSpaceDN w:val="0"/>
        <w:adjustRightInd w:val="0"/>
        <w:spacing w:after="120" w:line="360" w:lineRule="auto"/>
        <w:rPr>
          <w:rFonts w:eastAsia="SimSun" w:cstheme="minorHAnsi"/>
        </w:rPr>
      </w:pPr>
      <w:r w:rsidRPr="000F7E56">
        <w:rPr>
          <w:rFonts w:eastAsia="SimSun" w:cstheme="minorHAnsi"/>
        </w:rPr>
        <w:t>EOLCP should be an ongoing process where patients, their families, and healthcare providers discuss the patient’s goals and values and how these should inform their current and future medical care.</w:t>
      </w:r>
      <w:r w:rsidRPr="000F7E56">
        <w:rPr>
          <w:rFonts w:eastAsia="SimSun" w:cstheme="minorHAnsi"/>
        </w:rPr>
        <w:fldChar w:fldCharType="begin"/>
      </w:r>
      <w:r w:rsidR="000D5597">
        <w:rPr>
          <w:rFonts w:eastAsia="SimSun" w:cstheme="minorHAnsi"/>
        </w:rPr>
        <w:instrText xml:space="preserve"> ADDIN ZOTERO_ITEM CSL_CITATION {"citationID":"ALsFB6uP","properties":{"formattedCitation":"\\super 32\\nosupersub{}","plainCitation":"32","noteIndex":0},"citationItems":[{"id":"aZbwIlcN/jGJGAbjD","uris":["http://zotero.org/users/6587080/items/PK89X2PE"],"itemData":{"id":2026,"type":"article-journal","abstract":"Despite increasing interest in advance care planning (ACP) and previous ACP descriptions, a consensus definition does not yet exist to guide clinical,…","container-title":"Journal of Pain and Symptom Management","DOI":"10.1016/j.jpainsymman.2016.12.331","ISSN":"0885-3924","issue":"5","language":"en","note":"publisher: Elsevier","page":"821-832.e1","source":"www.sciencedirect.com","title":"Defining Advance Care Planning for Adults: A Consensus Definition From a Multidisciplinary Delphi Panel","title-short":"Defining Advance Care Planning for Adults","volume":"53","author":[{"family":"Sudore","given":"Rebecca L."},{"family":"Hillary D. Lum","given":""},{"literal":"John J. You"},{"literal":"Laura C. Hanson"},{"literal":"Diane E. Meier"}],"issued":{"date-parts":[["2017",5,1]]}}}],"schema":"https://github.com/citation-style-language/schema/raw/master/csl-citation.json"} </w:instrText>
      </w:r>
      <w:r w:rsidRPr="000F7E56">
        <w:rPr>
          <w:rFonts w:eastAsia="SimSun" w:cstheme="minorHAnsi"/>
        </w:rPr>
        <w:fldChar w:fldCharType="separate"/>
      </w:r>
      <w:r w:rsidR="00496C3B" w:rsidRPr="00496C3B">
        <w:rPr>
          <w:rFonts w:ascii="Calibri" w:hAnsi="Calibri" w:cs="Calibri"/>
          <w:szCs w:val="24"/>
          <w:vertAlign w:val="superscript"/>
        </w:rPr>
        <w:t>32</w:t>
      </w:r>
      <w:r w:rsidRPr="000F7E56">
        <w:rPr>
          <w:rFonts w:eastAsia="SimSun" w:cstheme="minorHAnsi"/>
        </w:rPr>
        <w:fldChar w:fldCharType="end"/>
      </w:r>
      <w:r w:rsidRPr="000F7E56">
        <w:rPr>
          <w:rFonts w:eastAsia="SimSun" w:cstheme="minorHAnsi"/>
        </w:rPr>
        <w:t xml:space="preserve"> These discussions help promote a shared understanding of what might happen, on decisions about life-sustaining treatments and discuss potential preferences for care with patients and their families.</w:t>
      </w:r>
      <w:r w:rsidRPr="000F7E56">
        <w:rPr>
          <w:rFonts w:eastAsia="SimSun" w:cstheme="minorHAnsi"/>
        </w:rPr>
        <w:fldChar w:fldCharType="begin"/>
      </w:r>
      <w:r w:rsidR="000D5597">
        <w:rPr>
          <w:rFonts w:eastAsia="SimSun" w:cstheme="minorHAnsi"/>
        </w:rPr>
        <w:instrText xml:space="preserve"> ADDIN ZOTERO_ITEM CSL_CITATION {"citationID":"tub465u7","properties":{"formattedCitation":"\\super 33,34\\nosupersub{}","plainCitation":"33,34","noteIndex":0},"citationItems":[{"id":"aZbwIlcN/W3ekMWye","uris":["http://zotero.org/users/6587080/items/4DEGQFPZ"],"itemData":{"id":2001,"type":"article-journal","container-title":"BMJ","DOI":"10.1136/bmj.j876","ISSN":"0959-8138, 1756-1833","journalAbbreviation":"BMJ","language":"en","page":"j876","source":"DOI.org (Crossref)","title":"Emergency care and resuscitation plans","author":[{"family":"Pitcher","given":"David"},{"family":"Fritz","given":"Zoe"},{"family":"Wang","given":"Madeleine"},{"family":"Spiller","given":"Juliet A"}],"issued":{"date-parts":[["2017",2,28]]}}},{"id":"aZbwIlcN/RcllgfXx","uris":["http://zotero.org/users/6587080/items/U3PTXNLN"],"itemData":{"id":2002,"type":"article-journal","abstract":"&lt;h3&gt;Objectives&lt;/h3&gt; &lt;p&gt;Treatment escalation plans (TEPs) are vital in communicating a ceiling of care. However, many patients still deteriorate and die without a pre-established ceiling of care for attending clinicians to rely on. We aimed to increase the proportion of suitable patients that have TEPs in place in a rural district general hospital.&lt;/p&gt;&lt;h3&gt;Methods&lt;/h3&gt; &lt;p&gt;We undertook three ‘Plan-Do-Study-Act’ (PDSA) cycles between 1 December 2016 and 9 June 2017. These cycles aimed to assess the problem, implement a solution and monitor its sustainability. We sampled all acute medical admissions at different time points, focusing on the acute medical unit. We identified patients requiring TEP forms using SupportiveandPalliative Care Indicators Tool. Stakeholders were surveyed during the project, and a process communication map was developed to understand the human interfaces that occur when producing a TEP.&lt;/p&gt;&lt;h3&gt;Results&lt;/h3&gt; &lt;p&gt;We sampled a total of 323 patients (PDSA 1, n=128; PDSA 2, n=95; PDSA 3, n=100). Following implementation of a ‘talking to your doctor about treatment’ leaflet, the proportion of patients who did not have a TEP but required one fell from 43% (n=38, PDSA 1) to 27% (n=20, PDSA 3) then to 23% (n=77, PDSA 3) (CI 0.6631 to 39.917, p=0.028).&lt;/p&gt;&lt;h3&gt;Conclusions&lt;/h3&gt; &lt;p&gt;This study highlights the challenges of TEP form completion. The impact of our intervention appeared to raise awareness of advanced care planning. The information contained in our leaflet could be distributed in more innovative ways to ensure patients unable to access textual information are able to receive this message.&lt;/p&gt;","container-title":"Postgraduate Medical Journal","DOI":"10.1136/postgradmedj-2018-135699","ISSN":"0032-5473, 1469-0756","issue":"1113","language":"en","note":"publisher: The Fellowship of Postgraduate Medicine\nsection: Quality improvement report\nPMID: 29895658","page":"404-410","source":"pmj.bmj.com","title":"Improving the use of treatment escalation plans: a quality-improvement study","title-short":"Improving the use of treatment escalation plans","volume":"94","author":[{"family":"Sayma","given":"Meelad"},{"family":"Nowell","given":"George"},{"family":"O’Connor","given":"Aedamar"},{"family":"Clark","given":"Gemma"},{"family":"Gaukroger","given":"Andrew"},{"family":"Proctor","given":"Dominic"},{"family":"Walsh","given":"Jamie"},{"family":"Rigney","given":"Brian"},{"family":"Norman","given":"Storm"},{"family":"Adedeji","given":"Andrew"},{"family":"Wilson","given":"David"},{"family":"O’hagan","given":"Darren"},{"family":"Cook","given":"Victoria"},{"family":"Carrington","given":"Robbie"},{"family":"Sekaran","given":"Preshgena"},{"family":"Wehbe","given":"Maya"},{"family":"Paterson","given":"Duncan"},{"family":"Welchman","given":"Sophie"},{"family":"Over","given":"Jay"},{"family":"Payne","given":"Sheila"}],"issued":{"date-parts":[["2018",7,1]]}}}],"schema":"https://github.com/citation-style-language/schema/raw/master/csl-citation.json"} </w:instrText>
      </w:r>
      <w:r w:rsidRPr="000F7E56">
        <w:rPr>
          <w:rFonts w:eastAsia="SimSun" w:cstheme="minorHAnsi"/>
        </w:rPr>
        <w:fldChar w:fldCharType="separate"/>
      </w:r>
      <w:r w:rsidR="00496C3B" w:rsidRPr="00496C3B">
        <w:rPr>
          <w:rFonts w:ascii="Calibri" w:hAnsi="Calibri" w:cs="Calibri"/>
          <w:szCs w:val="24"/>
          <w:vertAlign w:val="superscript"/>
        </w:rPr>
        <w:t>33,34</w:t>
      </w:r>
      <w:r w:rsidRPr="000F7E56">
        <w:rPr>
          <w:rFonts w:eastAsia="SimSun" w:cstheme="minorHAnsi"/>
        </w:rPr>
        <w:fldChar w:fldCharType="end"/>
      </w:r>
    </w:p>
    <w:p w14:paraId="0C8F7AA4" w14:textId="4BD3413A" w:rsidR="000F7E56" w:rsidRPr="000F7E56" w:rsidRDefault="000F7E56" w:rsidP="000F7E56">
      <w:pPr>
        <w:autoSpaceDE w:val="0"/>
        <w:autoSpaceDN w:val="0"/>
        <w:adjustRightInd w:val="0"/>
        <w:spacing w:after="120" w:line="360" w:lineRule="auto"/>
        <w:rPr>
          <w:rFonts w:eastAsia="SimSun" w:cstheme="minorHAnsi"/>
          <w:color w:val="000000"/>
          <w:lang w:val="en-US"/>
        </w:rPr>
      </w:pPr>
      <w:r w:rsidRPr="000F7E56">
        <w:rPr>
          <w:rFonts w:eastAsia="Arial Unicode MS" w:cstheme="minorHAnsi"/>
          <w:color w:val="000000"/>
          <w:lang w:val="en-US"/>
        </w:rPr>
        <w:t xml:space="preserve">EOLCP conversations aim to inform and empower patients to have a say about their current and future treatment </w:t>
      </w:r>
      <w:r w:rsidRPr="000F7E56">
        <w:rPr>
          <w:rFonts w:eastAsia="SimSun" w:cstheme="minorHAnsi"/>
          <w:color w:val="000000"/>
          <w:lang w:val="en-US"/>
        </w:rPr>
        <w:t>in consultation with healthcare professionals, family members and other important people in their lives.</w:t>
      </w:r>
      <w:r w:rsidRPr="000F7E56">
        <w:rPr>
          <w:rFonts w:eastAsia="SimSun" w:cstheme="minorHAnsi"/>
          <w:color w:val="000000"/>
          <w:lang w:val="en-US"/>
        </w:rPr>
        <w:fldChar w:fldCharType="begin"/>
      </w:r>
      <w:r w:rsidR="000D5597">
        <w:rPr>
          <w:rFonts w:eastAsia="SimSun" w:cstheme="minorHAnsi"/>
          <w:color w:val="000000"/>
          <w:lang w:val="en-US"/>
        </w:rPr>
        <w:instrText xml:space="preserve"> ADDIN ZOTERO_ITEM CSL_CITATION {"citationID":"wd8M51QZ","properties":{"formattedCitation":"\\super 3,35\\nosupersub{}","plainCitation":"3,35","noteIndex":0},"citationItems":[{"id":"aZbwIlcN/WOrttcKv","uris":["http://zotero.org/users/6587080/items/TF89Y6ZR"],"itemData":{"id":2333,"type":"article-journal","language":"en","page":"171","source":"Zotero","title":"End of Life Care Strategy - Promoting high quality care of all adults at the end of life.","author":[{"family":"Department of Health","given":""}],"issued":{"date-parts":[["2008"]]}}},{"id":"aZbwIlcN/nuiVa5l3","uris":["http://zotero.org/users/6587080/items/W2S27IX9"],"itemData":{"id":2398,"type":"article-journal","container-title":"London, National Council for Palliative Care; 2009.","title":"Planning for your future Care","URL":"https://www.nhs.uk/livewell/endoflifecare/documents/planning_your_future_care%5B1%5D.pdf","author":[{"family":"National Council for Palliative Care","given":""}],"issued":{"date-parts":[["2009"]]}}}],"schema":"https://github.com/citation-style-language/schema/raw/master/csl-citation.json"} </w:instrText>
      </w:r>
      <w:r w:rsidRPr="000F7E56">
        <w:rPr>
          <w:rFonts w:eastAsia="SimSun" w:cstheme="minorHAnsi"/>
          <w:color w:val="000000"/>
          <w:lang w:val="en-US"/>
        </w:rPr>
        <w:fldChar w:fldCharType="separate"/>
      </w:r>
      <w:r w:rsidR="00496C3B" w:rsidRPr="00496C3B">
        <w:rPr>
          <w:rFonts w:ascii="Calibri" w:hAnsi="Calibri" w:cs="Calibri"/>
          <w:szCs w:val="24"/>
          <w:vertAlign w:val="superscript"/>
        </w:rPr>
        <w:t>3,35</w:t>
      </w:r>
      <w:r w:rsidRPr="000F7E56">
        <w:rPr>
          <w:rFonts w:eastAsia="SimSun" w:cstheme="minorHAnsi"/>
          <w:color w:val="000000"/>
          <w:lang w:val="en-US"/>
        </w:rPr>
        <w:fldChar w:fldCharType="end"/>
      </w:r>
      <w:r w:rsidRPr="000F7E56">
        <w:rPr>
          <w:rFonts w:eastAsia="SimSun" w:cstheme="minorHAnsi"/>
          <w:color w:val="000000"/>
          <w:lang w:val="en-US"/>
        </w:rPr>
        <w:t xml:space="preserve"> From the patient’s perspective there is evidence that the purpose of EOLCP is not only preparing for potential incapacity but also preparing for dying.</w:t>
      </w:r>
      <w:r w:rsidRPr="000F7E56">
        <w:rPr>
          <w:rFonts w:eastAsia="SimSun" w:cstheme="minorHAnsi"/>
          <w:color w:val="000000"/>
          <w:lang w:val="en-US"/>
        </w:rPr>
        <w:fldChar w:fldCharType="begin"/>
      </w:r>
      <w:r w:rsidR="000D5597">
        <w:rPr>
          <w:rFonts w:eastAsia="SimSun" w:cstheme="minorHAnsi"/>
          <w:color w:val="000000"/>
          <w:lang w:val="en-US"/>
        </w:rPr>
        <w:instrText xml:space="preserve"> ADDIN ZOTERO_ITEM CSL_CITATION {"citationID":"LRy15bDT","properties":{"formattedCitation":"\\super 36\\nosupersub{}","plainCitation":"36","noteIndex":0},"citationItems":[{"id":"aZbwIlcN/3Yqy7dUC","uris":["http://zotero.org/users/6587080/items/NWXQXDEY"],"itemData":{"id":2399,"type":"webpage","title":"Quality End-of-Life Care: Patients' Perspectives | End of Life | JAMA | JAMA Network","URL":"https://jamanetwork.com/journals/jama/article-abstract/188362","author":[{"family":"Singer","given":"Peter A."},{"family":"Douglas K. Martin","given":""},{"family":"Merrijoy Kelner,","given":""}],"accessed":{"date-parts":[["2021",3,11]]},"issued":{"date-parts":[["1999"]]}}}],"schema":"https://github.com/citation-style-language/schema/raw/master/csl-citation.json"} </w:instrText>
      </w:r>
      <w:r w:rsidRPr="000F7E56">
        <w:rPr>
          <w:rFonts w:eastAsia="SimSun" w:cstheme="minorHAnsi"/>
          <w:color w:val="000000"/>
          <w:lang w:val="en-US"/>
        </w:rPr>
        <w:fldChar w:fldCharType="separate"/>
      </w:r>
      <w:r w:rsidR="00496C3B" w:rsidRPr="00496C3B">
        <w:rPr>
          <w:rFonts w:ascii="Calibri" w:hAnsi="Calibri" w:cs="Calibri"/>
          <w:szCs w:val="24"/>
          <w:vertAlign w:val="superscript"/>
        </w:rPr>
        <w:t>36</w:t>
      </w:r>
      <w:r w:rsidRPr="000F7E56">
        <w:rPr>
          <w:rFonts w:eastAsia="SimSun" w:cstheme="minorHAnsi"/>
          <w:color w:val="000000"/>
          <w:lang w:val="en-US"/>
        </w:rPr>
        <w:fldChar w:fldCharType="end"/>
      </w:r>
      <w:r w:rsidRPr="000F7E56">
        <w:rPr>
          <w:rFonts w:eastAsia="SimSun" w:cstheme="minorHAnsi"/>
          <w:color w:val="000000"/>
          <w:lang w:val="en-US"/>
        </w:rPr>
        <w:t xml:space="preserve"> For patients the focus of EOLCP appears to be less on completing written advance directive forms or advance statements of wishes and more on the social processes that are enabled by discussions about dying. As such EOLCP is not based solely on autonomy and the exercise of control, but also on personal relationships and consideration of the impact of advanced disease and relieving burdens placed on others. With this perspective EOLCP does not occur solely within the context of the physician or health care professional - patient relationships but also within relationships with close loved ones.</w:t>
      </w:r>
      <w:r w:rsidRPr="000F7E56">
        <w:rPr>
          <w:rFonts w:eastAsia="SimSun" w:cstheme="minorHAnsi"/>
          <w:color w:val="000000"/>
          <w:lang w:val="en-US"/>
        </w:rPr>
        <w:fldChar w:fldCharType="begin"/>
      </w:r>
      <w:r w:rsidR="000D5597">
        <w:rPr>
          <w:rFonts w:eastAsia="SimSun" w:cstheme="minorHAnsi"/>
          <w:color w:val="000000"/>
          <w:lang w:val="en-US"/>
        </w:rPr>
        <w:instrText xml:space="preserve"> ADDIN ZOTERO_ITEM CSL_CITATION {"citationID":"j5KW63NG","properties":{"formattedCitation":"\\super 37\\nosupersub{}","plainCitation":"37","noteIndex":0},"citationItems":[{"id":"aZbwIlcN/Sf1NhQRb","uris":["http://zotero.org/users/6587080/items/UR5G7VLR"],"itemData":{"id":2401,"type":"article-journal","container-title":"End of Life Care Programme, Leicester","title":"Advance Care Planning: A Guide for Health and Social Care Staff","author":[{"family":"Henry","given":"C","suffix":""},{"family":"Seymour","given":"J."}],"editor":[{"family":"Department of Health","given":""}],"issued":{"date-parts":[["2008"]]}}}],"schema":"https://github.com/citation-style-language/schema/raw/master/csl-citation.json"} </w:instrText>
      </w:r>
      <w:r w:rsidRPr="000F7E56">
        <w:rPr>
          <w:rFonts w:eastAsia="SimSun" w:cstheme="minorHAnsi"/>
          <w:color w:val="000000"/>
          <w:lang w:val="en-US"/>
        </w:rPr>
        <w:fldChar w:fldCharType="separate"/>
      </w:r>
      <w:r w:rsidR="00496C3B" w:rsidRPr="00496C3B">
        <w:rPr>
          <w:rFonts w:ascii="Calibri" w:hAnsi="Calibri" w:cs="Calibri"/>
          <w:szCs w:val="24"/>
          <w:vertAlign w:val="superscript"/>
        </w:rPr>
        <w:t>37</w:t>
      </w:r>
      <w:r w:rsidRPr="000F7E56">
        <w:rPr>
          <w:rFonts w:eastAsia="SimSun" w:cstheme="minorHAnsi"/>
          <w:color w:val="000000"/>
          <w:lang w:val="en-US"/>
        </w:rPr>
        <w:fldChar w:fldCharType="end"/>
      </w:r>
    </w:p>
    <w:p w14:paraId="7760A0FE" w14:textId="70D7ED2A" w:rsidR="000F7E56" w:rsidRPr="000F7E56" w:rsidRDefault="000F7E56" w:rsidP="000F7E56">
      <w:pPr>
        <w:spacing w:after="120" w:line="360" w:lineRule="auto"/>
        <w:rPr>
          <w:rFonts w:eastAsia="SimSun" w:cstheme="minorHAnsi"/>
        </w:rPr>
      </w:pPr>
      <w:r w:rsidRPr="000F7E56">
        <w:rPr>
          <w:rFonts w:eastAsia="SimSun" w:cstheme="minorHAnsi"/>
        </w:rPr>
        <w:t xml:space="preserve">We have very little insight on a population-wide basis in how current EOLCP policy and practice 'fits' with the cultural values and beliefs of ED patients and their end-of-life experiences. National satisfaction surveys such as the VOICES post bereavement and Quality Health have a low representation of patients from ED communities (2.9% and 5% respectively). </w:t>
      </w:r>
      <w:r w:rsidRPr="000F7E56">
        <w:rPr>
          <w:rFonts w:eastAsia="SimSun" w:cstheme="minorHAnsi"/>
        </w:rPr>
        <w:fldChar w:fldCharType="begin"/>
      </w:r>
      <w:r w:rsidR="000D5597">
        <w:rPr>
          <w:rFonts w:eastAsia="SimSun" w:cstheme="minorHAnsi"/>
        </w:rPr>
        <w:instrText xml:space="preserve"> ADDIN ZOTERO_ITEM CSL_CITATION {"citationID":"MmicjkKe","properties":{"formattedCitation":"\\super 38,39\\nosupersub{}","plainCitation":"38,39","noteIndex":0},"citationItems":[{"id":"aZbwIlcN/oAfhJC61","uris":["http://zotero.org/users/6587080/items/VUWRJEQ4"],"itemData":{"id":"uUDVD1MV/MwpV02vW","type":"webpage","title":"National Survey of Bereaved People (VOICES) - Office for National Statistics","URL":"https://www.ons.gov.uk/peoplepopulationandcommunity/healthandsocialcare/healthcaresystem/bulletins/nationalsurveyofbereavedpeoplevoices/2014-07-10","author":[{"family":"Office of National Statistics [ONS].","given":""}],"accessed":{"date-parts":[["2021",2,20]]},"issued":{"date-parts":[["2013"]]}}},{"id":"aZbwIlcN/HlwbbvRR","uris":["http://zotero.org/users/6587080/items/CGTSLC9R"],"itemData":{"id":"uUDVD1MV/OXAbwdtA","type":"webpage","title":"Quality of Life of Cancer Survivors in England: One Year On from the 2011 Survivorship Survey Pilot","URL":"https://www.quality-health.co.uk/resources/surveys/cancer-survivorship-survey/503-cancer-surviourship-survey-2012-report/file","author":[{"family":"Quality Health","given":""}],"accessed":{"date-parts":[["2019",2,1]]},"issued":{"date-parts":[["2013"]]}}}],"schema":"https://github.com/citation-style-language/schema/raw/master/csl-citation.json"} </w:instrText>
      </w:r>
      <w:r w:rsidRPr="000F7E56">
        <w:rPr>
          <w:rFonts w:eastAsia="SimSun" w:cstheme="minorHAnsi"/>
        </w:rPr>
        <w:fldChar w:fldCharType="separate"/>
      </w:r>
      <w:r w:rsidR="00496C3B" w:rsidRPr="00496C3B">
        <w:rPr>
          <w:rFonts w:ascii="Calibri" w:hAnsi="Calibri" w:cs="Calibri"/>
          <w:szCs w:val="24"/>
          <w:vertAlign w:val="superscript"/>
        </w:rPr>
        <w:t>38,39</w:t>
      </w:r>
      <w:r w:rsidRPr="000F7E56">
        <w:rPr>
          <w:rFonts w:eastAsia="SimSun" w:cstheme="minorHAnsi"/>
        </w:rPr>
        <w:fldChar w:fldCharType="end"/>
      </w:r>
      <w:r w:rsidRPr="000F7E56">
        <w:rPr>
          <w:rFonts w:eastAsia="SimSun" w:cstheme="minorHAnsi"/>
        </w:rPr>
        <w:t xml:space="preserve"> It appears however that ED patients appear to use specialist palliative care services later and less often  than White British patients.</w:t>
      </w:r>
      <w:r w:rsidRPr="000F7E56">
        <w:rPr>
          <w:rFonts w:eastAsia="SimSun" w:cstheme="minorHAnsi"/>
        </w:rPr>
        <w:fldChar w:fldCharType="begin"/>
      </w:r>
      <w:r w:rsidR="000D5597">
        <w:rPr>
          <w:rFonts w:eastAsia="SimSun" w:cstheme="minorHAnsi"/>
        </w:rPr>
        <w:instrText xml:space="preserve"> ADDIN ZOTERO_ITEM CSL_CITATION {"citationID":"tSuA8rBz","properties":{"formattedCitation":"\\super 3,40,41\\nosupersub{}","plainCitation":"3,40,41","noteIndex":0},"citationItems":[{"id":"aZbwIlcN/WOrttcKv","uris":["http://zotero.org/users/6587080/items/TF89Y6ZR"],"itemData":{"id":2333,"type":"article-journal","language":"en","page":"171","source":"Zotero","title":"End of Life Care Strategy - Promoting high quality care of all adults at the end of life.","author":[{"family":"Department of Health","given":""}],"issued":{"date-parts":[["2008"]]}}},{"id":"aZbwIlcN/St9TkFs0","uris":["http://zotero.org/users/6587080/items/W3L7I6M7"],"itemData":{"id":2335,"type":"webpage","title":"End of Life Care Strategy. Fourth Annual Report","URL":"https://assets.publishing.service.gov.uk/government/uploads/system/uploads/attachment_data/file/136486/End-of-Life-Care-Strategy-Fourth-Annual-report-web-version-v2.pdf","author":[{"family":"Department of Health,","given":""}],"accessed":{"date-parts":[["2021",3,4]]},"issued":{"date-parts":[["2012"]]}}},{"id":"aZbwIlcN/DAVo2gys","uris":["http://zotero.org/users/6587080/items/Q5JXZ9EN"],"itemData":{"id":2330,"type":"article-journal","abstract":"Background: Palliative care is not accessed by all those who can benefit from it. Survey aim: To explore awareness of palliative care and related services among...","archive_location":"Sage CA: Thousand Oaks, CA","container-title":"Palliative Medicine","DOI":"10.1177/0269216306074639","language":"en","note":"publisher: Sage PublicationsSage CA: Thousand Oaks, CA","source":"journals.sagepub.com","title":"Demographic factors and awareness of palliative care and related services:","title-short":"Demographic factors and awareness of palliative care and related services","URL":"https://journals.sagepub.com/doi/abs/10.1177/0269216306074639","author":[{"family":"Koffman","given":"Jonathan"},{"family":"Burke","given":"Geraldine"},{"family":"Dias","given":"Angela"},{"family":"Raval","given":"Bharti"},{"family":"Byrne","given":"Judi"},{"family":"Gonzales","given":"Juan"},{"family":"Daniels","given":"Charles"}],"accessed":{"date-parts":[["2021",3,4]]},"issued":{"date-parts":[["2007"]]}}}],"schema":"https://github.com/citation-style-language/schema/raw/master/csl-citation.json"} </w:instrText>
      </w:r>
      <w:r w:rsidRPr="000F7E56">
        <w:rPr>
          <w:rFonts w:eastAsia="SimSun" w:cstheme="minorHAnsi"/>
        </w:rPr>
        <w:fldChar w:fldCharType="separate"/>
      </w:r>
      <w:r w:rsidR="00496C3B" w:rsidRPr="00496C3B">
        <w:rPr>
          <w:rFonts w:ascii="Calibri" w:hAnsi="Calibri" w:cs="Calibri"/>
          <w:szCs w:val="24"/>
          <w:vertAlign w:val="superscript"/>
        </w:rPr>
        <w:t>3,40,41</w:t>
      </w:r>
      <w:r w:rsidRPr="000F7E56">
        <w:rPr>
          <w:rFonts w:eastAsia="SimSun" w:cstheme="minorHAnsi"/>
        </w:rPr>
        <w:fldChar w:fldCharType="end"/>
      </w:r>
      <w:r w:rsidRPr="000F7E56">
        <w:rPr>
          <w:rFonts w:eastAsia="SimSun" w:cstheme="minorHAnsi"/>
        </w:rPr>
        <w:t xml:space="preserve"> There is a limited evidence base for the possible reasons for this as discussed in the following sections including; Resuscitation Decisions; Communication and knowing the patient and family; Health Literacy and Inequalities; Cultural Mores and Religious Beliefs; and Embracing Diversity in EOLCP.</w:t>
      </w:r>
    </w:p>
    <w:p w14:paraId="510D320C" w14:textId="77777777" w:rsidR="000F7E56" w:rsidRPr="000F7E56" w:rsidRDefault="000F7E56" w:rsidP="000F7E56">
      <w:pPr>
        <w:keepNext/>
        <w:keepLines/>
        <w:spacing w:before="120" w:after="0" w:line="360" w:lineRule="auto"/>
        <w:outlineLvl w:val="1"/>
        <w:rPr>
          <w:rFonts w:ascii="Calibri Light" w:eastAsia="SimSun" w:hAnsi="Calibri Light" w:cs="Calibri Light"/>
          <w:color w:val="0070C0"/>
          <w:sz w:val="24"/>
          <w:szCs w:val="24"/>
        </w:rPr>
      </w:pPr>
      <w:bookmarkStart w:id="36" w:name="_Toc87279295"/>
      <w:bookmarkStart w:id="37" w:name="_Toc89665137"/>
      <w:bookmarkStart w:id="38" w:name="_Toc89671890"/>
      <w:bookmarkStart w:id="39" w:name="_Toc89763940"/>
      <w:bookmarkStart w:id="40" w:name="_Toc106697766"/>
      <w:r w:rsidRPr="000F7E56">
        <w:rPr>
          <w:rFonts w:ascii="Calibri Light" w:eastAsia="SimSun" w:hAnsi="Calibri Light" w:cs="Calibri Light"/>
          <w:color w:val="0070C0"/>
          <w:sz w:val="24"/>
          <w:szCs w:val="24"/>
        </w:rPr>
        <w:lastRenderedPageBreak/>
        <w:t>Resuscitation decisions</w:t>
      </w:r>
      <w:bookmarkEnd w:id="36"/>
      <w:bookmarkEnd w:id="37"/>
      <w:bookmarkEnd w:id="38"/>
      <w:bookmarkEnd w:id="39"/>
      <w:bookmarkEnd w:id="40"/>
    </w:p>
    <w:p w14:paraId="0245E748" w14:textId="508236B0" w:rsidR="000F7E56" w:rsidRPr="000F7E56" w:rsidRDefault="000F7E56" w:rsidP="000F7E56">
      <w:pPr>
        <w:spacing w:after="120" w:line="360" w:lineRule="auto"/>
        <w:rPr>
          <w:rFonts w:ascii="Calibri" w:eastAsia="SimSun" w:hAnsi="Calibri" w:cs="Calibri"/>
        </w:rPr>
      </w:pPr>
      <w:r w:rsidRPr="000F7E56">
        <w:rPr>
          <w:rFonts w:ascii="Calibri" w:eastAsia="SimSun" w:hAnsi="Calibri" w:cs="Calibri"/>
        </w:rPr>
        <w:t xml:space="preserve">Do not attempt </w:t>
      </w:r>
      <w:r w:rsidR="00BB3FFA">
        <w:rPr>
          <w:rFonts w:ascii="Calibri" w:eastAsia="SimSun" w:hAnsi="Calibri" w:cs="Calibri"/>
        </w:rPr>
        <w:t>c</w:t>
      </w:r>
      <w:r w:rsidRPr="000F7E56">
        <w:rPr>
          <w:rFonts w:ascii="Calibri" w:eastAsia="SimSun" w:hAnsi="Calibri" w:cs="Calibri"/>
        </w:rPr>
        <w:t>ardiopulmonary resuscitation (</w:t>
      </w:r>
      <w:bookmarkStart w:id="41" w:name="_Hlk89248309"/>
      <w:r w:rsidRPr="000F7E56">
        <w:rPr>
          <w:rFonts w:ascii="Calibri" w:eastAsia="SimSun" w:hAnsi="Calibri" w:cs="Calibri"/>
        </w:rPr>
        <w:t>DNACPR</w:t>
      </w:r>
      <w:bookmarkEnd w:id="41"/>
      <w:r w:rsidRPr="000F7E56">
        <w:rPr>
          <w:rFonts w:ascii="Calibri" w:eastAsia="SimSun" w:hAnsi="Calibri" w:cs="Calibri"/>
        </w:rPr>
        <w:t xml:space="preserve">) is a recording of an advance medical decision to not to attempt cardiopulmonary resuscitation when someone’s heart stops. Without a recorded decision however, the default policy for health and care professionals is to initiate resuscitation which may be distressing to all and may not be aligned with the preferences of the patient. The heart stopping is the last part of the dying process and is a certainty for all dying patients. In this situation resuscitation will not work. For a few patients, who are not thought to be dying imminently, their heart may stop in a sudden and unexpected context. </w:t>
      </w:r>
    </w:p>
    <w:p w14:paraId="4EC65E5E" w14:textId="17575FD4" w:rsidR="000F7E56" w:rsidRPr="000F7E56" w:rsidRDefault="000F7E56" w:rsidP="000F7E56">
      <w:pPr>
        <w:spacing w:after="120" w:line="360" w:lineRule="auto"/>
        <w:rPr>
          <w:rFonts w:ascii="Calibri" w:eastAsia="SimSun" w:hAnsi="Calibri" w:cs="Calibri"/>
        </w:rPr>
      </w:pPr>
      <w:r w:rsidRPr="000F7E56">
        <w:rPr>
          <w:rFonts w:ascii="Calibri" w:eastAsia="SimSun" w:hAnsi="Calibri" w:cs="Calibri"/>
        </w:rPr>
        <w:t>DNACPR discussions are complex. From the perspective of the health professional resuscitation is a key aspect of EOLCP discussions</w:t>
      </w:r>
      <w:r w:rsidR="000C7E4F">
        <w:rPr>
          <w:rFonts w:ascii="Calibri" w:eastAsia="SimSun" w:hAnsi="Calibri" w:cs="Calibri"/>
        </w:rPr>
        <w:t xml:space="preserve"> s</w:t>
      </w:r>
      <w:r w:rsidRPr="000F7E56">
        <w:rPr>
          <w:rFonts w:ascii="Calibri" w:eastAsia="SimSun" w:hAnsi="Calibri" w:cs="Calibri"/>
        </w:rPr>
        <w:t>ince the default</w:t>
      </w:r>
      <w:r w:rsidR="000C7E4F">
        <w:rPr>
          <w:rFonts w:ascii="Calibri" w:eastAsia="SimSun" w:hAnsi="Calibri" w:cs="Calibri"/>
        </w:rPr>
        <w:t xml:space="preserve"> position</w:t>
      </w:r>
      <w:r w:rsidRPr="000F7E56">
        <w:rPr>
          <w:rFonts w:ascii="Calibri" w:eastAsia="SimSun" w:hAnsi="Calibri" w:cs="Calibri"/>
        </w:rPr>
        <w:t xml:space="preserve"> is to resuscitate</w:t>
      </w:r>
      <w:r w:rsidR="000C7E4F">
        <w:rPr>
          <w:rFonts w:ascii="Calibri" w:eastAsia="SimSun" w:hAnsi="Calibri" w:cs="Calibri"/>
        </w:rPr>
        <w:t xml:space="preserve"> and because </w:t>
      </w:r>
      <w:r w:rsidRPr="000F7E56">
        <w:rPr>
          <w:rFonts w:ascii="Calibri" w:eastAsia="SimSun" w:hAnsi="Calibri" w:cs="Calibri"/>
        </w:rPr>
        <w:t>it will not work as a treatment when someone has died from their illness and has a low likelihood of being successful, and may increase and prolong suffering for people with advanced illness. In England and Wales, the legal basis for DNACPR decisions are provided by the Human Rights Act 1998 and the Mental Capacity Act 2005</w:t>
      </w:r>
      <w:r w:rsidRPr="000F7E56">
        <w:rPr>
          <w:rFonts w:ascii="Calibri" w:eastAsia="SimSun" w:hAnsi="Calibri" w:cs="Calibri"/>
          <w:vertAlign w:val="superscript"/>
        </w:rPr>
        <w:t xml:space="preserve"> </w:t>
      </w:r>
      <w:r w:rsidRPr="000F7E56">
        <w:rPr>
          <w:rFonts w:ascii="Calibri" w:eastAsia="SimSun" w:hAnsi="Calibri" w:cs="Calibri"/>
        </w:rPr>
        <w:t>and interpreted in case law.</w:t>
      </w:r>
      <w:r w:rsidRPr="000F7E56">
        <w:rPr>
          <w:rFonts w:ascii="Calibri" w:eastAsia="SimSun" w:hAnsi="Calibri" w:cs="Calibri"/>
        </w:rPr>
        <w:fldChar w:fldCharType="begin"/>
      </w:r>
      <w:r w:rsidR="000D5597">
        <w:rPr>
          <w:rFonts w:ascii="Calibri" w:eastAsia="SimSun" w:hAnsi="Calibri" w:cs="Calibri"/>
        </w:rPr>
        <w:instrText xml:space="preserve"> ADDIN ZOTERO_ITEM CSL_CITATION {"citationID":"7J6b0EYb","properties":{"formattedCitation":"\\super 2,42\\nosupersub{}","plainCitation":"2,42","noteIndex":0},"citationItems":[{"id":"aZbwIlcN/dhewDl8y","uris":["http://zotero.org/users/6587080/items/VH6FY8JU"],"itemData":{"id":"uUDVD1MV/VEl3nHCG","type":"webpage","abstract":"Code of practice giving guidance for decisions made under the Mental Capacity Act 2005.","container-title":"GOV.UK","language":"en","title":"Mental Capacity Act 2005: Code of Practice 2007","URL":"https://www.gov.uk/government/publications/mental-capacity-act-code-of-practice","author":[{"family":"Department for Constitutional Affairs,","given":""}],"accessed":{"date-parts":[["2021",7,10]]}}},{"id":714,"uris":["http://zotero.org/users/8748280/items/PI5D4HIF"],"itemData":{"id":714,"type":"webpage","abstract":"An Act to give further effect to rights and freedoms guaranteed under the European Convention on Human Rights; to make provision with respect to holders of certain judicial offices who become judges of the European Court of Human Rights; and for connected purposes.","genre":"Text","language":"eng","title":"Great Britain. Human Rights Act 1998","URL":"https://www.legislation.gov.uk/ukpga/1998/42/contents","author":[{"literal":"Legislation.gov.uk"}],"accessed":{"date-parts":[["2021",7,10]]},"issued":{"date-parts":[["1998"]]}}}],"schema":"https://github.com/citation-style-language/schema/raw/master/csl-citation.json"} </w:instrText>
      </w:r>
      <w:r w:rsidRPr="000F7E56">
        <w:rPr>
          <w:rFonts w:ascii="Calibri" w:eastAsia="SimSun" w:hAnsi="Calibri" w:cs="Calibri"/>
        </w:rPr>
        <w:fldChar w:fldCharType="separate"/>
      </w:r>
      <w:r w:rsidR="00496C3B" w:rsidRPr="00496C3B">
        <w:rPr>
          <w:rFonts w:ascii="Calibri" w:hAnsi="Calibri" w:cs="Calibri"/>
          <w:szCs w:val="24"/>
          <w:vertAlign w:val="superscript"/>
        </w:rPr>
        <w:t>2,42</w:t>
      </w:r>
      <w:r w:rsidRPr="000F7E56">
        <w:rPr>
          <w:rFonts w:ascii="Calibri" w:eastAsia="SimSun" w:hAnsi="Calibri" w:cs="Calibri"/>
        </w:rPr>
        <w:fldChar w:fldCharType="end"/>
      </w:r>
      <w:r w:rsidRPr="000F7E56">
        <w:rPr>
          <w:rFonts w:ascii="Calibri" w:eastAsia="SimSun" w:hAnsi="Calibri" w:cs="Calibri"/>
        </w:rPr>
        <w:t xml:space="preserve"> There are nationally agreed professional guidelines </w:t>
      </w:r>
      <w:r w:rsidRPr="000F7E56">
        <w:t xml:space="preserve">which interpret </w:t>
      </w:r>
      <w:r w:rsidRPr="000F7E56">
        <w:rPr>
          <w:rFonts w:ascii="Calibri" w:eastAsia="SimSun" w:hAnsi="Calibri" w:cs="Calibri"/>
        </w:rPr>
        <w:t>this law and provide  standards of practice for professionals where a decision about offering resuscitation is firstly a clinical decision about whether it can be offered.</w:t>
      </w:r>
      <w:r w:rsidRPr="000F7E56">
        <w:rPr>
          <w:rFonts w:ascii="Calibri" w:eastAsia="SimSun" w:hAnsi="Calibri" w:cs="Calibri"/>
        </w:rPr>
        <w:fldChar w:fldCharType="begin"/>
      </w:r>
      <w:r w:rsidR="000D5597">
        <w:rPr>
          <w:rFonts w:ascii="Calibri" w:eastAsia="SimSun" w:hAnsi="Calibri" w:cs="Calibri"/>
        </w:rPr>
        <w:instrText xml:space="preserve"> ADDIN ZOTERO_ITEM CSL_CITATION {"citationID":"5fq40lcT","properties":{"formattedCitation":"\\super 30,43\\nosupersub{}","plainCitation":"30,43","noteIndex":0},"citationItems":[{"id":371,"uris":["http://zotero.org/users/8748280/items/XP5YKFHJ"],"itemData":{"id":371,"type":"webpage","abstract":"Joint guidance on anticipatory decisions about whether or not to attempt resuscitation in a person when their heart stops or they stop breathing.","container-title":"Resuscitation Council UK","language":"en","title":"Decisions relating to cardiopulmonary resuscitation (3rd edition - 1st revision)","title-short":"Publication","URL":"https://www.resus.org.uk/library/publications/publication-decisions-relating-cardiopulmonary","author":[{"family":"British Medical Association","given":"Resuscitation Council (UK)","suffix":"Royal College of Nursing"}],"accessed":{"date-parts":[["2021",2,11]]},"issued":{"date-parts":[["2016"]]}},"label":"page"},{"id":45,"uris":["http://zotero.org/users/8748280/items/S64RFE8M"],"itemData":{"id":45,"type":"report","abstract":"Guidance on decision-making for patients of all ages at the end of their lives, including clinically assisted hydration and nutrition and CPR.","language":"en","title":"Treatment and care towards the end of life: good practice in decision making","title-short":"Treatment and care towards the end of life","URL":"https://www.gmc-uk.org/ethical-guidance/ethical-guidance-for-doctors/treatment-and-care-towards-the-end-of-life","author":[{"literal":"GMC"}],"accessed":{"date-parts":[["2019",2,1]]},"issued":{"date-parts":[["2010",5,20]]}},"label":"page"}],"schema":"https://github.com/citation-style-language/schema/raw/master/csl-citation.json"} </w:instrText>
      </w:r>
      <w:r w:rsidRPr="000F7E56">
        <w:rPr>
          <w:rFonts w:ascii="Calibri" w:eastAsia="SimSun" w:hAnsi="Calibri" w:cs="Calibri"/>
        </w:rPr>
        <w:fldChar w:fldCharType="separate"/>
      </w:r>
      <w:r w:rsidR="00496C3B" w:rsidRPr="00496C3B">
        <w:rPr>
          <w:rFonts w:ascii="Calibri" w:hAnsi="Calibri" w:cs="Calibri"/>
          <w:szCs w:val="24"/>
          <w:vertAlign w:val="superscript"/>
        </w:rPr>
        <w:t>30,43</w:t>
      </w:r>
      <w:r w:rsidRPr="000F7E56">
        <w:rPr>
          <w:rFonts w:ascii="Calibri" w:eastAsia="SimSun" w:hAnsi="Calibri" w:cs="Calibri"/>
        </w:rPr>
        <w:fldChar w:fldCharType="end"/>
      </w:r>
    </w:p>
    <w:p w14:paraId="2B1F123F" w14:textId="0E5D7710" w:rsidR="000F7E56" w:rsidRPr="000F7E56" w:rsidRDefault="000F7E56" w:rsidP="000F7E56">
      <w:pPr>
        <w:spacing w:after="120" w:line="360" w:lineRule="auto"/>
        <w:rPr>
          <w:rFonts w:ascii="Calibri" w:eastAsia="SimSun" w:hAnsi="Calibri" w:cs="Calibri"/>
        </w:rPr>
      </w:pPr>
      <w:r w:rsidRPr="000F7E56">
        <w:rPr>
          <w:rFonts w:ascii="Calibri" w:eastAsia="SimSun" w:hAnsi="Calibri" w:cs="Calibri"/>
        </w:rPr>
        <w:t>In addition, a documented DNACPR decision may help patients who are dying avoid emergency admissions to hospital enabling them to spend the last hours of their life in their preferred place of care.</w:t>
      </w:r>
      <w:r w:rsidRPr="000F7E56">
        <w:rPr>
          <w:rFonts w:ascii="Calibri" w:eastAsia="SimSun" w:hAnsi="Calibri" w:cs="Calibri"/>
          <w:vertAlign w:val="superscript"/>
        </w:rPr>
        <w:t>43</w:t>
      </w:r>
      <w:r w:rsidRPr="000F7E56">
        <w:rPr>
          <w:rFonts w:ascii="Calibri" w:eastAsia="SimSun" w:hAnsi="Calibri" w:cs="Calibri"/>
        </w:rPr>
        <w:t xml:space="preserve"> These facts and the context of the need for such discussions are seldom known or understood by the public</w:t>
      </w:r>
      <w:r w:rsidR="00A44087">
        <w:rPr>
          <w:rFonts w:ascii="Calibri" w:eastAsia="SimSun" w:hAnsi="Calibri" w:cs="Calibri"/>
        </w:rPr>
        <w:t>,</w:t>
      </w:r>
      <w:r w:rsidRPr="000F7E56">
        <w:rPr>
          <w:rFonts w:ascii="Calibri" w:eastAsia="SimSun" w:hAnsi="Calibri" w:cs="Calibri"/>
        </w:rPr>
        <w:t xml:space="preserve"> or by patients</w:t>
      </w:r>
      <w:r w:rsidR="00A44087">
        <w:rPr>
          <w:rFonts w:ascii="Calibri" w:eastAsia="SimSun" w:hAnsi="Calibri" w:cs="Calibri"/>
        </w:rPr>
        <w:t>,</w:t>
      </w:r>
      <w:r w:rsidRPr="000F7E56">
        <w:rPr>
          <w:rFonts w:ascii="Calibri" w:eastAsia="SimSun" w:hAnsi="Calibri" w:cs="Calibri"/>
        </w:rPr>
        <w:t xml:space="preserve"> and little has been explored about the perspective of the public.</w:t>
      </w:r>
      <w:r w:rsidRPr="000F7E56">
        <w:rPr>
          <w:rFonts w:ascii="Calibri" w:eastAsia="SimSun" w:hAnsi="Calibri" w:cs="Calibri"/>
        </w:rPr>
        <w:fldChar w:fldCharType="begin"/>
      </w:r>
      <w:r w:rsidR="000D5597">
        <w:rPr>
          <w:rFonts w:ascii="Calibri" w:eastAsia="SimSun" w:hAnsi="Calibri" w:cs="Calibri"/>
        </w:rPr>
        <w:instrText xml:space="preserve"> ADDIN ZOTERO_ITEM CSL_CITATION {"citationID":"wcnadr5C","properties":{"formattedCitation":"\\super 43\\nosupersub{}","plainCitation":"43","noteIndex":0},"citationItems":[{"id":45,"uris":["http://zotero.org/users/8748280/items/S64RFE8M"],"itemData":{"id":45,"type":"report","abstract":"Guidance on decision-making for patients of all ages at the end of their lives, including clinically assisted hydration and nutrition and CPR.","language":"en","title":"Treatment and care towards the end of life: good practice in decision making","title-short":"Treatment and care towards the end of life","URL":"https://www.gmc-uk.org/ethical-guidance/ethical-guidance-for-doctors/treatment-and-care-towards-the-end-of-life","author":[{"literal":"GMC"}],"accessed":{"date-parts":[["2019",2,1]]},"issued":{"date-parts":[["2010",5,20]]}}}],"schema":"https://github.com/citation-style-language/schema/raw/master/csl-citation.json"} </w:instrText>
      </w:r>
      <w:r w:rsidRPr="000F7E56">
        <w:rPr>
          <w:rFonts w:ascii="Calibri" w:eastAsia="SimSun" w:hAnsi="Calibri" w:cs="Calibri"/>
        </w:rPr>
        <w:fldChar w:fldCharType="separate"/>
      </w:r>
      <w:r w:rsidR="00496C3B" w:rsidRPr="00496C3B">
        <w:rPr>
          <w:rFonts w:ascii="Calibri" w:hAnsi="Calibri" w:cs="Calibri"/>
          <w:szCs w:val="24"/>
          <w:vertAlign w:val="superscript"/>
        </w:rPr>
        <w:t>43</w:t>
      </w:r>
      <w:r w:rsidRPr="000F7E56">
        <w:rPr>
          <w:rFonts w:ascii="Calibri" w:eastAsia="SimSun" w:hAnsi="Calibri" w:cs="Calibri"/>
        </w:rPr>
        <w:fldChar w:fldCharType="end"/>
      </w:r>
    </w:p>
    <w:p w14:paraId="620BBA0D" w14:textId="50EB078D" w:rsidR="000F7E56" w:rsidRPr="000F7E56" w:rsidRDefault="000F7E56" w:rsidP="000F7E56">
      <w:pPr>
        <w:spacing w:after="120" w:line="360" w:lineRule="auto"/>
        <w:rPr>
          <w:rFonts w:ascii="Calibri" w:eastAsia="SimSun" w:hAnsi="Calibri" w:cs="Calibri"/>
          <w:lang w:val="en"/>
        </w:rPr>
      </w:pPr>
      <w:r w:rsidRPr="000F7E56">
        <w:rPr>
          <w:rFonts w:ascii="Calibri" w:eastAsia="SimSun" w:hAnsi="Calibri" w:cs="Calibri"/>
        </w:rPr>
        <w:t xml:space="preserve">Our previous work explored with HCPs the nuances of discussing resuscitation and more specifically </w:t>
      </w:r>
      <w:r w:rsidRPr="000F7E56">
        <w:rPr>
          <w:rFonts w:ascii="Calibri" w:eastAsia="SimSun" w:hAnsi="Calibri" w:cs="Calibri"/>
          <w:color w:val="000000"/>
        </w:rPr>
        <w:t>DNACPR</w:t>
      </w:r>
      <w:r w:rsidRPr="000F7E56">
        <w:rPr>
          <w:rFonts w:ascii="Calibri" w:eastAsia="SimSun" w:hAnsi="Calibri" w:cs="Calibri"/>
        </w:rPr>
        <w:t xml:space="preserve"> discussions with ED patients and relatives in the UK.</w:t>
      </w:r>
      <w:r w:rsidRPr="000F7E56">
        <w:rPr>
          <w:rFonts w:ascii="Calibri" w:eastAsia="SimSun" w:hAnsi="Calibri" w:cs="Calibri"/>
        </w:rPr>
        <w:fldChar w:fldCharType="begin"/>
      </w:r>
      <w:r w:rsidR="000D5597">
        <w:rPr>
          <w:rFonts w:ascii="Calibri" w:eastAsia="SimSun" w:hAnsi="Calibri" w:cs="Calibri"/>
        </w:rPr>
        <w:instrText xml:space="preserve"> ADDIN ZOTERO_ITEM CSL_CITATION {"citationID":"Oh9ULQ48","properties":{"formattedCitation":"\\super 44\\nosupersub{}","plainCitation":"44","noteIndex":0},"citationItems":[{"id":1541,"uris":["http://zotero.org/users/8748280/items/PT6UDE5K"],"itemData":{"id":1541,"type":"article-journal","abstract":"Background Evidence suggests that discussing resuscitation with patients and relatives from ethnic minority groups is problematic for healthcare professionals (HCPs), but there is limited evidence exploring these issues or offering guidance for HCPs in navigating these challenging discussions. This study explores the barriers and enablers to HCPs discussing deterioration and resuscitation decisions with patients and families from ethnic minority groups.\nResults Personal, cultural, religious/spiritual and health beliefs, emotions, and communication quality and skills were discussed. Participants described that the interaction between these factors as complex, impacting the way some patients and families responded to do not attempt cardiopulmonary resuscitation (DNACPR) orders and the particular challenges these pose.\nConclusion Key barriers and enablers for healthcare professionals discussing resuscitation with patients and families from Black, Asian and minority ethnic communities were identified. The findings highlight areas of improvement for training, both relating to DNACPR discussions and ‘cultural competence’.","container-title":"Future Healthcare Journal","DOI":"10.7861/fhj.2021-0012","ISSN":"2514-6645, 2514-6653","journalAbbreviation":"Future Healthc J","language":"en","page":"fhj.2021-0012","source":"DOI.org (Crossref)","title":"Thinking ahead in advanced illness: Exploring clinicians' perspectives on discussing resuscitation with patients and families from ethnic minority communities","title-short":"Thinking ahead in advanced illness","author":[{"family":"Islam","given":"Zoebia"},{"family":"Taylor","given":"Lucy"},{"family":"Faull","given":"Christina"}],"issued":{"date-parts":[["2021",8,23]]}}}],"schema":"https://github.com/citation-style-language/schema/raw/master/csl-citation.json"} </w:instrText>
      </w:r>
      <w:r w:rsidRPr="000F7E56">
        <w:rPr>
          <w:rFonts w:ascii="Calibri" w:eastAsia="SimSun" w:hAnsi="Calibri" w:cs="Calibri"/>
        </w:rPr>
        <w:fldChar w:fldCharType="separate"/>
      </w:r>
      <w:r w:rsidR="00496C3B" w:rsidRPr="00496C3B">
        <w:rPr>
          <w:rFonts w:ascii="Calibri" w:hAnsi="Calibri" w:cs="Calibri"/>
          <w:szCs w:val="24"/>
          <w:vertAlign w:val="superscript"/>
        </w:rPr>
        <w:t>44</w:t>
      </w:r>
      <w:r w:rsidRPr="000F7E56">
        <w:rPr>
          <w:rFonts w:ascii="Calibri" w:eastAsia="SimSun" w:hAnsi="Calibri" w:cs="Calibri"/>
        </w:rPr>
        <w:fldChar w:fldCharType="end"/>
      </w:r>
      <w:r w:rsidRPr="000F7E56">
        <w:rPr>
          <w:rFonts w:ascii="Calibri" w:eastAsia="SimSun" w:hAnsi="Calibri" w:cs="Calibri"/>
        </w:rPr>
        <w:t xml:space="preserve"> This work highlighted that HCPs recognised that these conversations were sensitive, and occurred at a challenging time for the patient and their families. They were also aware that both patients and their relatives had beliefs, expectations and emotions, which influenced resuscitation discussions. These expectations related to both resuscitation specifically and to death and dying more broadly. Participants also understood that their own beliefs and expectations, alongside their understanding of laws and policies regarding DNACPR orders and the clinical circumstance of the patient, influenced these conversations. However, in general there was a lack of understanding by HCPs of how </w:t>
      </w:r>
      <w:r w:rsidRPr="000F7E56">
        <w:rPr>
          <w:rFonts w:ascii="Calibri" w:eastAsia="SimSun" w:hAnsi="Calibri" w:cs="Calibri"/>
          <w:lang w:val="en"/>
        </w:rPr>
        <w:t xml:space="preserve">forms of </w:t>
      </w:r>
      <w:hyperlink r:id="rId9" w:tooltip="Social stratification" w:history="1">
        <w:r w:rsidRPr="000F7E56">
          <w:rPr>
            <w:rFonts w:ascii="Calibri" w:eastAsia="SimSun" w:hAnsi="Calibri" w:cs="Calibri"/>
            <w:lang w:val="en"/>
          </w:rPr>
          <w:t>inter</w:t>
        </w:r>
      </w:hyperlink>
      <w:r w:rsidRPr="000F7E56">
        <w:rPr>
          <w:rFonts w:ascii="Calibri" w:eastAsia="SimSun" w:hAnsi="Calibri" w:cs="Calibri"/>
          <w:lang w:val="en"/>
        </w:rPr>
        <w:t>sectionality, such as class, ethnicity sexual orientation, age, religion, disability and gender as well as education and life experiences are interwoven and impact on patients and their families perceptions about EOLCP discussions and related resuscitation decisions.</w:t>
      </w:r>
      <w:r w:rsidRPr="000F7E56">
        <w:rPr>
          <w:rFonts w:ascii="Calibri" w:eastAsia="SimSun" w:hAnsi="Calibri" w:cs="Calibri"/>
          <w:lang w:val="en"/>
        </w:rPr>
        <w:fldChar w:fldCharType="begin"/>
      </w:r>
      <w:r w:rsidR="000D5597">
        <w:rPr>
          <w:rFonts w:ascii="Calibri" w:eastAsia="SimSun" w:hAnsi="Calibri" w:cs="Calibri"/>
          <w:lang w:val="en"/>
        </w:rPr>
        <w:instrText xml:space="preserve"> ADDIN ZOTERO_ITEM CSL_CITATION {"citationID":"gt1crjVz","properties":{"formattedCitation":"\\super 45\\nosupersub{}","plainCitation":"45","noteIndex":0},"citationItems":[{"id":"aZbwIlcN/Gc1803kS","uris":["http://zotero.org/users/6587080/items/LDWSKB7C"],"itemData":{"id":2104,"type":"chapter","abstract":"As our global demographic shifts towards an increasingly aging population, we have an opportunity to transform how we experience and think about getting older and embrace the diversity and contribution that this population can bring to society. The International Handbook of Positive Aging showcases the latest research and theory into aging, examining the various challenges faced by older adults and the ways in which we can bring a much needed positive focus towards dealing with these.\n\nThe handbook brings together disparate research from medical, academic, economic and social community fields, with contributions from NHS partners, service users, universities across the UK and collaborations with international research leaders in the field of aging. \n\nDivided into sections, the first part of the book focuses on introducing the concept of positive aging before going on to cover the body over the life course, well-being and care delivery. All contributors recognise the fact that we are living longer is providing us with a tremendous opportunity to enjoy and flourish in healthy and fulfilling later lives, and this focus on the importance of patient empowerment is integral to the book.\n\nThis is a valuable reference source for those working in developmental psychology, clinical psychology, mental health, health sciences, medicine, neuropsychological rehabilitation, sociology, anthropology, social policy and social work. It will help encourage researchers, professionals and policy makers to make the most of opportunities and innovations to promote a person’s sense of independence, dignity, well-being, good health and society participation as they get older.","container-title":"International Handbook of Positive Aging","event-place":"United Kingdom","ISBN":"978-1-138-93305-7","language":"en","note":"number-of-pages: 264","page":"21-36","publisher":"Routledge","publisher-place":"United Kingdom","source":"gala.gre.ac.uk","title":"Positive aging, positive dying: Intersectional and daily communicational issues surrounding palliative and end of life care services in minority groups in the UK and the US","title-short":"Positive aging, positive dying","URL":"https://www.routledge.com/International-Handbook-of-Positive-Aging/Docking-Stock/p/book/9781138933057","author":[{"family":"Leguizamon","given":"Carlos Moreno"},{"family":"Smith","given":"David Martin"},{"family":"Spigner","given":"Clarence"}],"editor":[{"family":"Docking","given":"Rachael Elizabeth"},{"family":"Stock","given":"Jennifer"}],"accessed":{"date-parts":[["2021",2,19]]},"issued":{"date-parts":[["2017",6,27]]}}}],"schema":"https://github.com/citation-style-language/schema/raw/master/csl-citation.json"} </w:instrText>
      </w:r>
      <w:r w:rsidRPr="000F7E56">
        <w:rPr>
          <w:rFonts w:ascii="Calibri" w:eastAsia="SimSun" w:hAnsi="Calibri" w:cs="Calibri"/>
          <w:lang w:val="en"/>
        </w:rPr>
        <w:fldChar w:fldCharType="separate"/>
      </w:r>
      <w:r w:rsidR="00496C3B" w:rsidRPr="00496C3B">
        <w:rPr>
          <w:rFonts w:ascii="Calibri" w:hAnsi="Calibri" w:cs="Calibri"/>
          <w:szCs w:val="24"/>
          <w:vertAlign w:val="superscript"/>
        </w:rPr>
        <w:t>45</w:t>
      </w:r>
      <w:r w:rsidRPr="000F7E56">
        <w:rPr>
          <w:rFonts w:ascii="Calibri" w:eastAsia="SimSun" w:hAnsi="Calibri" w:cs="Calibri"/>
          <w:lang w:val="en"/>
        </w:rPr>
        <w:fldChar w:fldCharType="end"/>
      </w:r>
    </w:p>
    <w:p w14:paraId="76ED6347" w14:textId="20896308" w:rsidR="000F7E56" w:rsidRPr="000F7E56" w:rsidRDefault="000F7E56" w:rsidP="000F7E56">
      <w:pPr>
        <w:autoSpaceDE w:val="0"/>
        <w:autoSpaceDN w:val="0"/>
        <w:adjustRightInd w:val="0"/>
        <w:spacing w:after="120" w:line="360" w:lineRule="auto"/>
        <w:rPr>
          <w:rFonts w:ascii="Calibri" w:eastAsia="SimSun" w:hAnsi="Calibri" w:cs="Calibri"/>
          <w:color w:val="000000"/>
        </w:rPr>
      </w:pPr>
      <w:r w:rsidRPr="000F7E56">
        <w:rPr>
          <w:rFonts w:ascii="Calibri" w:eastAsia="SimSun" w:hAnsi="Calibri" w:cs="Calibri"/>
          <w:color w:val="000000"/>
        </w:rPr>
        <w:t>Like other studies our earlier work has found that challenges in communication between HCPs, ED patients and their families are key barriers to resuscitation discussions.</w:t>
      </w:r>
      <w:r w:rsidRPr="000F7E56">
        <w:rPr>
          <w:rFonts w:ascii="Calibri" w:eastAsia="SimSun" w:hAnsi="Calibri" w:cs="Calibri"/>
          <w:color w:val="000000"/>
        </w:rPr>
        <w:fldChar w:fldCharType="begin"/>
      </w:r>
      <w:r w:rsidR="000D5597">
        <w:rPr>
          <w:rFonts w:ascii="Calibri" w:eastAsia="SimSun" w:hAnsi="Calibri" w:cs="Calibri"/>
          <w:color w:val="000000"/>
        </w:rPr>
        <w:instrText xml:space="preserve"> ADDIN ZOTERO_ITEM CSL_CITATION {"citationID":"nVG8u3Ib","properties":{"formattedCitation":"\\super 26,44,46\\nosupersub{}","plainCitation":"26,44,46","noteIndex":0},"citationItems":[{"id":"aZbwIlcN/wakglVR0","uris":["http://zotero.org/users/6587080/items/TLXFQBFS"],"itemData":{"id":151,"type":"article-journal","abstract":"Background\nEvidence of low end-of-life (EoL) care service use by minority ethnic groups in the UK has given rise to a body of research and a number of reviews of the literature. This article aims to review and evaluate literature reviews on minority ethnic groups and EoL care in the UK and assess their suitability as an evidence base for policy.\n\nMethods\nSystematic review. Searches were carried out in thirteen electronic databases, eight journals, reference lists, and grey literature. Reviews were included if they concerned minority ethnic groups and EoL care in the UK. Reviews were graded for quality and key themes identified.\n\nResults\nThirteen reviews (2001-2009) met inclusion criteria. Seven took a systematic approach, of which four scored highly for methodological quality (a mean score of six, median seven). The majority of systematic reviews were therefore of a reasonable methodological quality. Most reviews were restricted by ethnic group, aspect of EoL care, or were broader reviews which reported relevant findings. Six key themes were identified.\n\nConclusions\nA number of reviews were systematic and scored highly for methodological quality. These reviews provide a good reflection of the primary evidence and could be used to inform policy. The complexity and inter-relatedness of factors leading to low service use was recognised and reflected in reviews' recommendations for service improvement. Recommendations made in the UK End-of-Life Care Strategy were limited in comparison, and the Strategy's evidence base concerning minority ethnic groups was found to be narrow. Future policy should be embedded strongly in the evidence base to reflect the current literature and minimise bias.","container-title":"BMC Health Services Research","DOI":"10.1186/1472-6963-11-141","ISSN":"1472-6963","journalAbbreviation":"BMC Health Serv Res","page":"141","source":"PubMed Central","title":"Appraisal of literature reviews on end-of-life care for minority ethnic groups in the UK and a critical comparison with policy recommendations from the UK end-of-life care strategy","volume":"11","author":[{"family":"Evans","given":"Natalie"},{"family":"Meñaca","given":"Arantza"},{"family":"Andrew","given":"Erin VW"},{"family":"Koffman","given":"Jonathan"},{"family":"Harding","given":"Richard"},{"family":"Higginson","given":"Irene J."},{"family":"Pool","given":"Robert"},{"family":"Gysels","given":"Marjolein"}],"issued":{"date-parts":[["2011",6,2]]}}},{"id":1541,"uris":["http://zotero.org/users/8748280/items/PT6UDE5K"],"itemData":{"id":1541,"type":"article-journal","abstract":"Background Evidence suggests that discussing resuscitation with patients and relatives from ethnic minority groups is problematic for healthcare professionals (HCPs), but there is limited evidence exploring these issues or offering guidance for HCPs in navigating these challenging discussions. This study explores the barriers and enablers to HCPs discussing deterioration and resuscitation decisions with patients and families from ethnic minority groups.\nResults Personal, cultural, religious/spiritual and health beliefs, emotions, and communication quality and skills were discussed. Participants described that the interaction between these factors as complex, impacting the way some patients and families responded to do not attempt cardiopulmonary resuscitation (DNACPR) orders and the particular challenges these pose.\nConclusion Key barriers and enablers for healthcare professionals discussing resuscitation with patients and families from Black, Asian and minority ethnic communities were identified. The findings highlight areas of improvement for training, both relating to DNACPR discussions and ‘cultural competence’.","container-title":"Future Healthcare Journal","DOI":"10.7861/fhj.2021-0012","ISSN":"2514-6645, 2514-6653","journalAbbreviation":"Future Healthc J","language":"en","page":"fhj.2021-0012","source":"DOI.org (Crossref)","title":"Thinking ahead in advanced illness: Exploring clinicians' perspectives on discussing resuscitation with patients and families from ethnic minority communities","title-short":"Thinking ahead in advanced illness","author":[{"family":"Islam","given":"Zoebia"},{"family":"Taylor","given":"Lucy"},{"family":"Faull","given":"Christina"}],"issued":{"date-parts":[["2021",8,23]]}}},{"id":"aZbwIlcN/rUSWuhsZ","uris":["http://zotero.org/users/6587080/items/C39DZDFE"],"itemData":{"id":"rsBVdXjp/GktPYlX9","type":"article-journal","abstract":"Background While ethnic disparities in health and health care are increasing, evidence on how to enhance quality of care and reduce inequalities remains limited. Despite growth in the scope and application of guidelines on “cultural competence,” remarkably little is known about how practising health professionals experience and perceive their work with patients from diverse ethnic communities. Using cancer care as a clinical context, we aimed to explore this with a range of health professionals to inform interventions to enhance quality of care. Methods and Findings We conducted a qualitative study involving 18 focus groups with a purposeful sample of 106 health professionals of differing disciplines, in primary and secondary care settings, working with patient populations of varying ethnic diversity in the Midlands of the UK. Data were analysed by constant comparison and we undertook processes for validation of analysis. We found that, as they sought to offer appropriate care, health professionals wrestled with considerable uncertainty and apprehension in responding to the needs of patients of ethnicities different from their own. They emphasised their perceived ignorance about cultural difference and were anxious about being culturally inappropriate, causing affront, or appearing discriminatory or racist. Professionals' ability to think and act flexibly or creatively faltered. Although trying to do their best, professionals' uncertainty was disempowering, creating a disabling hesitancy and inertia in their practice. Most professionals sought and applied a knowledge-based cultural expertise approach to patients, though some identified the risk of engendering stereotypical expectations of patients. Professionals' uncertainty and disempowerment had the potential to perpetuate each other, to the detriment of patient care. Conclusions This study suggests potential mechanisms by which health professionals may inadvertently contribute to ethnic disparities in health care. It identifies critical opportunities to empower health professionals to respond more effectively. Interventions should help professionals acknowledge their uncertainty and its potential to create inertia in their practice. A shift away from a cultural expertise model toward a greater focus on each patient as an individual may help.","container-title":"PLOS Medicine","DOI":"10.1371/journal.pmed.0040323","ISSN":"1549-1676","issue":"11","journalAbbreviation":"PLOS Medicine","language":"en","page":"e323","source":"PLoS Journals","title":"Professional Uncertainty and Disempowerment Responding to Ethnic Diversity in Health Care: A Qualitative Study","title-short":"Professional Uncertainty and Disempowerment Responding to Ethnic Diversity in Health Care","volume":"4","author":[{"family":"Kai","given":"Joe"},{"family":"Beavan","given":"Jackie"},{"family":"Faull","given":"Christina"},{"family":"Dodson","given":"Lynne"},{"family":"Gill","given":"Paramjit"},{"family":"Beighton","given":"Angela"}],"issued":{"date-parts":[["2007",11,13]]}}}],"schema":"https://github.com/citation-style-language/schema/raw/master/csl-citation.json"} </w:instrText>
      </w:r>
      <w:r w:rsidRPr="000F7E56">
        <w:rPr>
          <w:rFonts w:ascii="Calibri" w:eastAsia="SimSun" w:hAnsi="Calibri" w:cs="Calibri"/>
          <w:color w:val="000000"/>
        </w:rPr>
        <w:fldChar w:fldCharType="separate"/>
      </w:r>
      <w:r w:rsidR="00496C3B" w:rsidRPr="00496C3B">
        <w:rPr>
          <w:rFonts w:ascii="Calibri" w:hAnsi="Calibri" w:cs="Calibri"/>
          <w:szCs w:val="24"/>
          <w:vertAlign w:val="superscript"/>
        </w:rPr>
        <w:t>26,44,46</w:t>
      </w:r>
      <w:r w:rsidRPr="000F7E56">
        <w:rPr>
          <w:rFonts w:ascii="Calibri" w:eastAsia="SimSun" w:hAnsi="Calibri" w:cs="Calibri"/>
          <w:color w:val="000000"/>
        </w:rPr>
        <w:fldChar w:fldCharType="end"/>
      </w:r>
      <w:r w:rsidRPr="000F7E56">
        <w:rPr>
          <w:rFonts w:ascii="Calibri" w:eastAsia="SimSun" w:hAnsi="Calibri" w:cs="Calibri"/>
          <w:color w:val="000000"/>
        </w:rPr>
        <w:t xml:space="preserve"> Overcoming communication issues was </w:t>
      </w:r>
      <w:r w:rsidRPr="000F7E56">
        <w:rPr>
          <w:rFonts w:ascii="Calibri" w:eastAsia="SimSun" w:hAnsi="Calibri" w:cs="Calibri"/>
          <w:color w:val="000000"/>
        </w:rPr>
        <w:lastRenderedPageBreak/>
        <w:t xml:space="preserve">regarded as a key enabler to DNACPR discussions, helping build rapport particularly when patients and their families appeared to have limited understanding of their prognosis. At a practical level certain words may not be translatable and more exploration of understanding of the procedures of CPR, the possible harms and the evidence of success rates was required in such discussions.  </w:t>
      </w:r>
    </w:p>
    <w:p w14:paraId="0C06A3D7" w14:textId="0767A04F" w:rsidR="000F7E56" w:rsidRPr="000F7E56" w:rsidRDefault="000F7E56" w:rsidP="000F7E56">
      <w:pPr>
        <w:autoSpaceDE w:val="0"/>
        <w:autoSpaceDN w:val="0"/>
        <w:adjustRightInd w:val="0"/>
        <w:spacing w:after="120" w:line="360" w:lineRule="auto"/>
        <w:rPr>
          <w:rFonts w:ascii="Calibri" w:eastAsia="SimSun" w:hAnsi="Calibri" w:cs="Calibri"/>
          <w:color w:val="000000"/>
        </w:rPr>
      </w:pPr>
      <w:r w:rsidRPr="000F7E56">
        <w:rPr>
          <w:rFonts w:ascii="Calibri" w:eastAsia="SimSun" w:hAnsi="Calibri" w:cs="Calibri"/>
          <w:color w:val="000000"/>
        </w:rPr>
        <w:t>Whilst the themes of language, family and religious beliefs are well-documented within discussions of trans-cultural clinical practice, our findings identified how these cause uncertainty and considerable heart-searching for professionals when patients are so sick that they might die and the discussion of DNACPR might falsely appear to be a discussion about choosing whether to live or to die. Like Kai et al</w:t>
      </w:r>
      <w:r w:rsidRPr="000F7E56">
        <w:rPr>
          <w:rFonts w:ascii="Calibri" w:hAnsi="Calibri" w:cs="Calibri"/>
          <w:szCs w:val="24"/>
          <w:vertAlign w:val="superscript"/>
        </w:rPr>
        <w:t>,</w:t>
      </w:r>
      <w:r w:rsidRPr="000F7E56">
        <w:rPr>
          <w:rFonts w:ascii="Calibri" w:eastAsia="SimSun" w:hAnsi="Calibri" w:cs="Calibri"/>
          <w:color w:val="000000"/>
        </w:rPr>
        <w:t xml:space="preserve"> findings from our previous work show how this uncertainty within a highly emotive context can lead to disempowerment and a search for more ‘knowledge’ to become skilled and empowered. </w:t>
      </w:r>
      <w:r w:rsidRPr="000F7E56">
        <w:rPr>
          <w:rFonts w:ascii="Calibri" w:eastAsia="SimSun" w:hAnsi="Calibri" w:cs="Calibri"/>
          <w:color w:val="000000"/>
        </w:rPr>
        <w:fldChar w:fldCharType="begin"/>
      </w:r>
      <w:r w:rsidR="000D5597">
        <w:rPr>
          <w:rFonts w:ascii="Calibri" w:eastAsia="SimSun" w:hAnsi="Calibri" w:cs="Calibri"/>
          <w:color w:val="000000"/>
        </w:rPr>
        <w:instrText xml:space="preserve"> ADDIN ZOTERO_ITEM CSL_CITATION {"citationID":"LbvcitPR","properties":{"formattedCitation":"\\super 44,46\\nosupersub{}","plainCitation":"44,46","noteIndex":0},"citationItems":[{"id":1541,"uris":["http://zotero.org/users/8748280/items/PT6UDE5K"],"itemData":{"id":1541,"type":"article-journal","abstract":"Background Evidence suggests that discussing resuscitation with patients and relatives from ethnic minority groups is problematic for healthcare professionals (HCPs), but there is limited evidence exploring these issues or offering guidance for HCPs in navigating these challenging discussions. This study explores the barriers and enablers to HCPs discussing deterioration and resuscitation decisions with patients and families from ethnic minority groups.\nResults Personal, cultural, religious/spiritual and health beliefs, emotions, and communication quality and skills were discussed. Participants described that the interaction between these factors as complex, impacting the way some patients and families responded to do not attempt cardiopulmonary resuscitation (DNACPR) orders and the particular challenges these pose.\nConclusion Key barriers and enablers for healthcare professionals discussing resuscitation with patients and families from Black, Asian and minority ethnic communities were identified. The findings highlight areas of improvement for training, both relating to DNACPR discussions and ‘cultural competence’.","container-title":"Future Healthcare Journal","DOI":"10.7861/fhj.2021-0012","ISSN":"2514-6645, 2514-6653","journalAbbreviation":"Future Healthc J","language":"en","page":"fhj.2021-0012","source":"DOI.org (Crossref)","title":"Thinking ahead in advanced illness: Exploring clinicians' perspectives on discussing resuscitation with patients and families from ethnic minority communities","title-short":"Thinking ahead in advanced illness","author":[{"family":"Islam","given":"Zoebia"},{"family":"Taylor","given":"Lucy"},{"family":"Faull","given":"Christina"}],"issued":{"date-parts":[["2021",8,23]]}}},{"id":"aZbwIlcN/rUSWuhsZ","uris":["http://zotero.org/users/6587080/items/C39DZDFE"],"itemData":{"id":"uUDVD1MV/vcVH7pwq","type":"article-journal","abstract":"Background While ethnic disparities in health and health care are increasing, evidence on how to enhance quality of care and reduce inequalities remains limited. Despite growth in the scope and application of guidelines on “cultural competence,” remarkably little is known about how practising health professionals experience and perceive their work with patients from diverse ethnic communities. Using cancer care as a clinical context, we aimed to explore this with a range of health professionals to inform interventions to enhance quality of care. Methods and Findings We conducted a qualitative study involving 18 focus groups with a purposeful sample of 106 health professionals of differing disciplines, in primary and secondary care settings, working with patient populations of varying ethnic diversity in the Midlands of the UK. Data were analysed by constant comparison and we undertook processes for validation of analysis. We found that, as they sought to offer appropriate care, health professionals wrestled with considerable uncertainty and apprehension in responding to the needs of patients of ethnicities different from their own. They emphasised their perceived ignorance about cultural difference and were anxious about being culturally inappropriate, causing affront, or appearing discriminatory or racist. Professionals' ability to think and act flexibly or creatively faltered. Although trying to do their best, professionals' uncertainty was disempowering, creating a disabling hesitancy and inertia in their practice. Most professionals sought and applied a knowledge-based cultural expertise approach to patients, though some identified the risk of engendering stereotypical expectations of patients. Professionals' uncertainty and disempowerment had the potential to perpetuate each other, to the detriment of patient care. Conclusions This study suggests potential mechanisms by which health professionals may inadvertently contribute to ethnic disparities in health care. It identifies critical opportunities to empower health professionals to respond more effectively. Interventions should help professionals acknowledge their uncertainty and its potential to create inertia in their practice. A shift away from a cultural expertise model toward a greater focus on each patient as an individual may help.","container-title":"PLOS Medicine","DOI":"10.1371/journal.pmed.0040323","ISSN":"1549-1676","issue":"11","journalAbbreviation":"PLOS Medicine","language":"en","page":"e323","source":"PLoS Journals","title":"Professional Uncertainty and Disempowerment Responding to Ethnic Diversity in Health Care: A Qualitative Study","title-short":"Professional Uncertainty and Disempowerment Responding to Ethnic Diversity in Health Care","volume":"4","author":[{"family":"Kai","given":"Joe"},{"family":"Beavan","given":"Jackie"},{"family":"Faull","given":"Christina"},{"family":"Dodson","given":"Lynne"},{"family":"Gill","given":"Paramjit"},{"family":"Beighton","given":"Angela"}],"issued":{"date-parts":[["2007",11,13]]}}}],"schema":"https://github.com/citation-style-language/schema/raw/master/csl-citation.json"} </w:instrText>
      </w:r>
      <w:r w:rsidRPr="000F7E56">
        <w:rPr>
          <w:rFonts w:ascii="Calibri" w:eastAsia="SimSun" w:hAnsi="Calibri" w:cs="Calibri"/>
          <w:color w:val="000000"/>
        </w:rPr>
        <w:fldChar w:fldCharType="separate"/>
      </w:r>
      <w:r w:rsidR="00496C3B" w:rsidRPr="00496C3B">
        <w:rPr>
          <w:rFonts w:ascii="Calibri" w:hAnsi="Calibri" w:cs="Calibri"/>
          <w:szCs w:val="24"/>
          <w:vertAlign w:val="superscript"/>
        </w:rPr>
        <w:t>44,46</w:t>
      </w:r>
      <w:r w:rsidRPr="000F7E56">
        <w:rPr>
          <w:rFonts w:ascii="Calibri" w:eastAsia="SimSun" w:hAnsi="Calibri" w:cs="Calibri"/>
          <w:color w:val="000000"/>
        </w:rPr>
        <w:fldChar w:fldCharType="end"/>
      </w:r>
    </w:p>
    <w:p w14:paraId="75C82B1F" w14:textId="7802A030" w:rsidR="000F7E56" w:rsidRPr="000F7E56" w:rsidRDefault="000F7E56" w:rsidP="000F7E56">
      <w:pPr>
        <w:spacing w:after="120" w:line="360" w:lineRule="auto"/>
        <w:rPr>
          <w:rFonts w:ascii="Calibri" w:eastAsia="SimSun" w:hAnsi="Calibri" w:cs="Calibri"/>
          <w:color w:val="000000"/>
          <w:sz w:val="28"/>
          <w:szCs w:val="28"/>
        </w:rPr>
      </w:pPr>
      <w:r w:rsidRPr="000F7E56">
        <w:rPr>
          <w:rFonts w:ascii="Calibri" w:eastAsia="SimSun" w:hAnsi="Calibri" w:cs="Calibri"/>
        </w:rPr>
        <w:t>HCPs in our previous work felt more confident in having DNACPR discussions when they had existing knowledge about patients’ religious, spiritual and cultural values and their confidence in initiating these conversations were developed through experience. However our findings highlighted the need and desire of HCPs  for further training to develop ‘cultural intelligence’ to navigate the cultural and individual beliefs about death and deliver culturally sensitive end-of-life care including discussing deterioration and decisions about resuscitation.</w:t>
      </w:r>
      <w:r w:rsidRPr="000F7E56">
        <w:rPr>
          <w:rFonts w:ascii="Calibri" w:eastAsia="SimSun" w:hAnsi="Calibri" w:cs="Calibri"/>
        </w:rPr>
        <w:fldChar w:fldCharType="begin"/>
      </w:r>
      <w:r w:rsidR="000D5597">
        <w:rPr>
          <w:rFonts w:ascii="Calibri" w:eastAsia="SimSun" w:hAnsi="Calibri" w:cs="Calibri"/>
        </w:rPr>
        <w:instrText xml:space="preserve"> ADDIN ZOTERO_ITEM CSL_CITATION {"citationID":"BR2u58f0","properties":{"formattedCitation":"\\super 26,44\\nosupersub{}","plainCitation":"26,44","noteIndex":0},"citationItems":[{"id":"aZbwIlcN/wakglVR0","uris":["http://zotero.org/users/6587080/items/TLXFQBFS"],"itemData":{"id":"AMorj3u4/7qvMAEIy","type":"article-journal","abstract":"Background\nEvidence of low end-of-life (EoL) care service use by minority ethnic groups in the UK has given rise to a body of research and a number of reviews of the literature. This article aims to review and evaluate literature reviews on minority ethnic groups and EoL care in the UK and assess their suitability as an evidence base for policy.\n\nMethods\nSystematic review. Searches were carried out in thirteen electronic databases, eight journals, reference lists, and grey literature. Reviews were included if they concerned minority ethnic groups and EoL care in the UK. Reviews were graded for quality and key themes identified.\n\nResults\nThirteen reviews (2001-2009) met inclusion criteria. Seven took a systematic approach, of which four scored highly for methodological quality (a mean score of six, median seven). The majority of systematic reviews were therefore of a reasonable methodological quality. Most reviews were restricted by ethnic group, aspect of EoL care, or were broader reviews which reported relevant findings. Six key themes were identified.\n\nConclusions\nA number of reviews were systematic and scored highly for methodological quality. These reviews provide a good reflection of the primary evidence and could be used to inform policy. The complexity and inter-relatedness of factors leading to low service use was recognised and reflected in reviews' recommendations for service improvement. Recommendations made in the UK End-of-Life Care Strategy were limited in comparison, and the Strategy's evidence base concerning minority ethnic groups was found to be narrow. Future policy should be embedded strongly in the evidence base to reflect the current literature and minimise bias.","container-title":"BMC Health Services Research","DOI":"10.1186/1472-6963-11-141","ISSN":"1472-6963","journalAbbreviation":"BMC Health Serv Res","page":"141","source":"PubMed Central","title":"Appraisal of literature reviews on end-of-life care for minority ethnic groups in the UK and a critical comparison with policy recommendations from the UK end-of-life care strategy","volume":"11","author":[{"family":"Evans","given":"Natalie"},{"family":"Meñaca","given":"Arantza"},{"family":"Andrew","given":"Erin VW"},{"family":"Koffman","given":"Jonathan"},{"family":"Harding","given":"Richard"},{"family":"Higginson","given":"Irene J."},{"family":"Pool","given":"Robert"},{"family":"Gysels","given":"Marjolein"}],"issued":{"date-parts":[["2011",6,2]]}}},{"id":1541,"uris":["http://zotero.org/users/8748280/items/PT6UDE5K"],"itemData":{"id":1541,"type":"article-journal","abstract":"Background Evidence suggests that discussing resuscitation with patients and relatives from ethnic minority groups is problematic for healthcare professionals (HCPs), but there is limited evidence exploring these issues or offering guidance for HCPs in navigating these challenging discussions. This study explores the barriers and enablers to HCPs discussing deterioration and resuscitation decisions with patients and families from ethnic minority groups.\nResults Personal, cultural, religious/spiritual and health beliefs, emotions, and communication quality and skills were discussed. Participants described that the interaction between these factors as complex, impacting the way some patients and families responded to do not attempt cardiopulmonary resuscitation (DNACPR) orders and the particular challenges these pose.\nConclusion Key barriers and enablers for healthcare professionals discussing resuscitation with patients and families from Black, Asian and minority ethnic communities were identified. The findings highlight areas of improvement for training, both relating to DNACPR discussions and ‘cultural competence’.","container-title":"Future Healthcare Journal","DOI":"10.7861/fhj.2021-0012","ISSN":"2514-6645, 2514-6653","journalAbbreviation":"Future Healthc J","language":"en","page":"fhj.2021-0012","source":"DOI.org (Crossref)","title":"Thinking ahead in advanced illness: Exploring clinicians' perspectives on discussing resuscitation with patients and families from ethnic minority communities","title-short":"Thinking ahead in advanced illness","author":[{"family":"Islam","given":"Zoebia"},{"family":"Taylor","given":"Lucy"},{"family":"Faull","given":"Christina"}],"issued":{"date-parts":[["2021",8,23]]}}}],"schema":"https://github.com/citation-style-language/schema/raw/master/csl-citation.json"} </w:instrText>
      </w:r>
      <w:r w:rsidRPr="000F7E56">
        <w:rPr>
          <w:rFonts w:ascii="Calibri" w:eastAsia="SimSun" w:hAnsi="Calibri" w:cs="Calibri"/>
        </w:rPr>
        <w:fldChar w:fldCharType="separate"/>
      </w:r>
      <w:r w:rsidR="00496C3B" w:rsidRPr="00496C3B">
        <w:rPr>
          <w:rFonts w:ascii="Calibri" w:hAnsi="Calibri" w:cs="Calibri"/>
          <w:szCs w:val="24"/>
          <w:vertAlign w:val="superscript"/>
        </w:rPr>
        <w:t>26,44</w:t>
      </w:r>
      <w:r w:rsidRPr="000F7E56">
        <w:rPr>
          <w:rFonts w:ascii="Calibri" w:eastAsia="SimSun" w:hAnsi="Calibri" w:cs="Calibri"/>
        </w:rPr>
        <w:fldChar w:fldCharType="end"/>
      </w:r>
    </w:p>
    <w:p w14:paraId="1B2B310F" w14:textId="77777777" w:rsidR="000F7E56" w:rsidRPr="000F7E56" w:rsidRDefault="000F7E56" w:rsidP="000F7E56">
      <w:pPr>
        <w:keepNext/>
        <w:keepLines/>
        <w:spacing w:before="120" w:after="0" w:line="360" w:lineRule="auto"/>
        <w:outlineLvl w:val="1"/>
        <w:rPr>
          <w:rFonts w:ascii="Calibri Light" w:eastAsia="SimSun" w:hAnsi="Calibri Light" w:cs="Calibri Light"/>
          <w:color w:val="0070C0"/>
          <w:sz w:val="24"/>
          <w:szCs w:val="24"/>
        </w:rPr>
      </w:pPr>
      <w:bookmarkStart w:id="42" w:name="_Toc87279296"/>
      <w:bookmarkStart w:id="43" w:name="_Toc89665138"/>
      <w:bookmarkStart w:id="44" w:name="_Toc89671891"/>
      <w:bookmarkStart w:id="45" w:name="_Toc89763941"/>
      <w:bookmarkStart w:id="46" w:name="_Toc106697767"/>
      <w:r w:rsidRPr="000F7E56">
        <w:rPr>
          <w:rFonts w:ascii="Calibri Light" w:eastAsia="SimSun" w:hAnsi="Calibri Light" w:cs="Calibri Light"/>
          <w:color w:val="0070C0"/>
          <w:sz w:val="24"/>
          <w:szCs w:val="24"/>
        </w:rPr>
        <w:t>Communication and knowing the patient and family</w:t>
      </w:r>
      <w:bookmarkEnd w:id="42"/>
      <w:bookmarkEnd w:id="43"/>
      <w:bookmarkEnd w:id="44"/>
      <w:bookmarkEnd w:id="45"/>
      <w:bookmarkEnd w:id="46"/>
    </w:p>
    <w:p w14:paraId="6305DC65" w14:textId="31C58E8B" w:rsidR="000F7E56" w:rsidRPr="000F7E56" w:rsidRDefault="000F7E56" w:rsidP="000F7E56">
      <w:pPr>
        <w:spacing w:before="120" w:after="0" w:line="360" w:lineRule="auto"/>
        <w:rPr>
          <w:rFonts w:ascii="Calibri" w:eastAsia="SimSun" w:hAnsi="Calibri" w:cs="Calibri"/>
        </w:rPr>
      </w:pPr>
      <w:r w:rsidRPr="000F7E56">
        <w:rPr>
          <w:rFonts w:ascii="Calibri" w:eastAsia="SimSun" w:hAnsi="Calibri" w:cs="Calibri"/>
        </w:rPr>
        <w:t>The principles of good palliative care (patient-centred, holistic, founded upon listening to the patient’s needs and guided by their wishes) can be undermined where communication is difficult.</w:t>
      </w:r>
      <w:r w:rsidRPr="000F7E56">
        <w:rPr>
          <w:rFonts w:ascii="Calibri" w:eastAsia="SimSun" w:hAnsi="Calibri" w:cs="Calibri"/>
          <w:vertAlign w:val="superscript"/>
        </w:rPr>
        <w:t>45</w:t>
      </w:r>
      <w:r w:rsidRPr="000F7E56">
        <w:rPr>
          <w:rFonts w:ascii="Calibri" w:eastAsia="SimSun" w:hAnsi="Calibri" w:cs="Calibri"/>
        </w:rPr>
        <w:t xml:space="preserve"> Clinicians are encouraged to actively seek to explore patient’s cultural preferences and choices on a case-by-case basis to understand how best to approach different contexts of end-of-life care such as family choices in decision-making and sharing information about their diagnosis and prognosis.</w:t>
      </w:r>
      <w:r w:rsidRPr="000F7E56">
        <w:rPr>
          <w:rFonts w:ascii="Calibri" w:eastAsia="SimSun" w:hAnsi="Calibri" w:cs="Calibri"/>
        </w:rPr>
        <w:fldChar w:fldCharType="begin"/>
      </w:r>
      <w:r w:rsidR="000D5597">
        <w:rPr>
          <w:rFonts w:ascii="Calibri" w:eastAsia="SimSun" w:hAnsi="Calibri" w:cs="Calibri"/>
        </w:rPr>
        <w:instrText xml:space="preserve"> ADDIN ZOTERO_ITEM CSL_CITATION {"citationID":"JEyEHrvc","properties":{"formattedCitation":"\\super 47\\nosupersub{}","plainCitation":"47","noteIndex":0},"citationItems":[{"id":423,"uris":["http://zotero.org/users/8748280/items/C6DBUQKF"],"itemData":{"id":423,"type":"article-journal","abstract":"Culturally diverse older adults may prefer varying control over medical decisions. Decision control preferences (DCPs) may profoundly affect advance c…","container-title":"Journal of Pain and Symptom Management","DOI":"10.1016/j.jpainsymman.2015.07.018","ISSN":"0885-3924","issue":"1","language":"en","page":"33-40","source":"www.sciencedirect.com","title":"“Doctor, Make My Decisions”: Decision Control Preferences, Advance Care Planning, and Satisfaction With Communication Among Diverse Older Adults","title-short":"“Doctor, Make My Decisions”","volume":"51","author":[{"family":"Catherine","given":"Chiu"},{"literal":"Mariko A. Feuz"},{"literal":"Ryan D. McMahan"},{"literal":"Yinghui Miao"},{"literal":"Rebecca L. Sudore"}],"issued":{"date-parts":[["2016"]]}}}],"schema":"https://github.com/citation-style-language/schema/raw/master/csl-citation.json"} </w:instrText>
      </w:r>
      <w:r w:rsidRPr="000F7E56">
        <w:rPr>
          <w:rFonts w:ascii="Calibri" w:eastAsia="SimSun" w:hAnsi="Calibri" w:cs="Calibri"/>
        </w:rPr>
        <w:fldChar w:fldCharType="separate"/>
      </w:r>
      <w:r w:rsidR="00496C3B" w:rsidRPr="00496C3B">
        <w:rPr>
          <w:rFonts w:ascii="Calibri" w:hAnsi="Calibri" w:cs="Calibri"/>
          <w:szCs w:val="24"/>
          <w:vertAlign w:val="superscript"/>
        </w:rPr>
        <w:t>47</w:t>
      </w:r>
      <w:r w:rsidRPr="000F7E56">
        <w:rPr>
          <w:rFonts w:ascii="Calibri" w:eastAsia="SimSun" w:hAnsi="Calibri" w:cs="Calibri"/>
        </w:rPr>
        <w:fldChar w:fldCharType="end"/>
      </w:r>
      <w:r w:rsidRPr="000F7E56">
        <w:rPr>
          <w:rFonts w:ascii="Calibri" w:eastAsia="SimSun" w:hAnsi="Calibri" w:cs="Calibri"/>
        </w:rPr>
        <w:t xml:space="preserve"> Knowing the patient and their family is an essential ingredient to good EOLC yet attaining this can be challenging especially for HCPs working with patients from culturally and linguistically diverse communities. HCPs have for example reported that when trying to manage pain they may encounter confusing messages from patients who believe in the importance of stoicism when experiencing physical pain.</w:t>
      </w:r>
      <w:r w:rsidRPr="000F7E56">
        <w:rPr>
          <w:rFonts w:ascii="Calibri" w:eastAsia="SimSun" w:hAnsi="Calibri" w:cs="Calibri"/>
        </w:rPr>
        <w:fldChar w:fldCharType="begin"/>
      </w:r>
      <w:r w:rsidR="000D5597">
        <w:rPr>
          <w:rFonts w:ascii="Calibri" w:eastAsia="SimSun" w:hAnsi="Calibri" w:cs="Calibri"/>
        </w:rPr>
        <w:instrText xml:space="preserve"> ADDIN ZOTERO_ITEM CSL_CITATION {"citationID":"4HRDHMa2","properties":{"formattedCitation":"\\super 48\\uc0\\u8211{}50\\nosupersub{}","plainCitation":"48–50","noteIndex":0},"citationItems":[{"id":"aZbwIlcN/QQfxV0YG","uris":["http://zotero.org/users/6587080/items/AZ3TMNCY"],"itemData":{"id":2395,"type":"article-journal","abstract":"Health care workers serve diverse communities and face challenges in delivering culturally responsive EOL care, especially when caring for Latino elde…","container-title":"Journal of Pain and Symptom Management","DOI":"10.1016/j.jpainsymman.2017.07.023","ISSN":"0885-3924","issue":"4","language":"en","note":"publisher: Elsevier","page":"546-554","source":"www.sciencedirect.com","title":"Evaluation of a Video-Based Seminar to Raise Health Care Professionals' Awareness of Culturally Sensitive End-of-Life Care","volume":"54","author":[{"family":"Cruz-Oliver","given":"Dulce"},{"family":"Theodore K.Malmstrom","given":""},{"family":"MichaelRoegner","given":""},{"family":"GwenYeo","given":""}],"issued":{"date-parts":[["2017",10,1]]}}},{"id":"aZbwIlcN/uCjNu67z","uris":["http://zotero.org/users/6587080/items/TSWAKMIW"],"itemData":{"id":2392,"type":"article-journal","abstract":"Abstract. Background: the empirical Dignity Model has profoundly influenced the provision of palliative care for older terminally ill patients in the West, as i","container-title":"Age and Ageing","DOI":"10.1093/ageing/aft003","ISSN":"0002-0729","issue":"4","journalAbbreviation":"Age Ageing","language":"en","note":"publisher: Oxford Academic","page":"455-461","source":"academic.oup.com","title":"Living and dying with dignity in Chinese society: perspectives of older palliative care patients in Hong Kong","title-short":"Living and dying with dignity in Chinese society","volume":"42","author":[{"family":"Ho","given":"Andy Hau Yan"},{"family":"Chan","given":"Cecilia Lai Wan"},{"family":"Leung","given":"Pamela Pui Yu"},{"family":"Chochinov","given":"Harvey Max"},{"family":"Neimeyer","given":"Robert A."},{"family":"Pang","given":"Samantha Mei Che"},{"family":"Tse","given":"Doris Man Wah"}],"issued":{"date-parts":[["2013",7,1]]}}},{"id":"aZbwIlcN/8VtrSdD0","uris":["http://zotero.org/users/6587080/items/4DVAB72N"],"itemData":{"id":2389,"type":"book","abstract":"Managing pain is often a challenge for health professionals, but this challenge is compounded when the patient in pain is dying.[1] Practicing in an ethnically and culturally diverse society requires healthcare providers to understand, respect, and take into account the particular cultures from which their patients come.[2] Health professionals who learn the nuances of culture rewarded with the knowledge they have are more effective in managing the pain of their patients. Also, they are better able to help the family and friends of their patients adjust to the dying process. Keeping in mind the beliefs, experiences, and values of the patients and their families improves the quality of patient care. [3]","language":"en","note":"container-title: StatPearls [Internet]\nPMID: 29630206","publisher":"StatPearls Publishing","source":"www.ncbi.nlm.nih.gov","title":"The Importance Of Cultural Competence in Pain and Palliative Care","URL":"https://www.ncbi.nlm.nih.gov/books/NBK493154/","author":[{"family":"Givler","given":"Amy"},{"family":"Bhatt","given":"Harshil"},{"family":"Maani-Fogelman","given":"Patricia A."}],"accessed":{"date-parts":[["2021",3,11]]},"issued":{"date-parts":[["2020",12,1]]}}}],"schema":"https://github.com/citation-style-language/schema/raw/master/csl-citation.json"} </w:instrText>
      </w:r>
      <w:r w:rsidRPr="000F7E56">
        <w:rPr>
          <w:rFonts w:ascii="Calibri" w:eastAsia="SimSun" w:hAnsi="Calibri" w:cs="Calibri"/>
        </w:rPr>
        <w:fldChar w:fldCharType="separate"/>
      </w:r>
      <w:r w:rsidR="00496C3B" w:rsidRPr="00496C3B">
        <w:rPr>
          <w:rFonts w:ascii="Calibri" w:hAnsi="Calibri" w:cs="Calibri"/>
          <w:szCs w:val="24"/>
          <w:vertAlign w:val="superscript"/>
        </w:rPr>
        <w:t>48–50</w:t>
      </w:r>
      <w:r w:rsidRPr="000F7E56">
        <w:rPr>
          <w:rFonts w:ascii="Calibri" w:eastAsia="SimSun" w:hAnsi="Calibri" w:cs="Calibri"/>
        </w:rPr>
        <w:fldChar w:fldCharType="end"/>
      </w:r>
      <w:r w:rsidRPr="000F7E56">
        <w:rPr>
          <w:rFonts w:ascii="Calibri" w:eastAsia="SimSun" w:hAnsi="Calibri" w:cs="Calibri"/>
        </w:rPr>
        <w:t xml:space="preserve"> Such patients down-play the extent of their pain, making it more difficult for clinicians to understand the patient experience and effectively manage pain.</w:t>
      </w:r>
      <w:r w:rsidRPr="000F7E56">
        <w:rPr>
          <w:rFonts w:ascii="Calibri" w:eastAsia="SimSun" w:hAnsi="Calibri" w:cs="Calibri"/>
        </w:rPr>
        <w:fldChar w:fldCharType="begin"/>
      </w:r>
      <w:r w:rsidR="000D5597">
        <w:rPr>
          <w:rFonts w:ascii="Calibri" w:eastAsia="SimSun" w:hAnsi="Calibri" w:cs="Calibri"/>
        </w:rPr>
        <w:instrText xml:space="preserve"> ADDIN ZOTERO_ITEM CSL_CITATION {"citationID":"YrMaiQqX","properties":{"formattedCitation":"\\super 51\\nosupersub{}","plainCitation":"51","noteIndex":0},"citationItems":[{"id":"aZbwIlcN/7Gg7eUHN","uris":["http://zotero.org/users/6587080/items/AT6SBLR9"],"itemData":{"id":458,"type":"article-journal","container-title":"BMC palliative care","issue":"1","page":"90","source":"Google Scholar","title":"“It doesn’t exist…”: negotiating palliative care from a culturally and linguistically diverse patient and caregiver perspective","title-short":"“It doesn’t exist…”","volume":"17","author":[{"family":"Kirby","given":"Emma"},{"family":"Lwin","given":"Zarnie"},{"family":"Kenny","given":"Katherine"},{"family":"Broom","given":"Alex"},{"family":"Birman","given":"Holi"},{"family":"Good","given":"Phillip"}],"issued":{"date-parts":[["2018"]]}}}],"schema":"https://github.com/citation-style-language/schema/raw/master/csl-citation.json"} </w:instrText>
      </w:r>
      <w:r w:rsidRPr="000F7E56">
        <w:rPr>
          <w:rFonts w:ascii="Calibri" w:eastAsia="SimSun" w:hAnsi="Calibri" w:cs="Calibri"/>
        </w:rPr>
        <w:fldChar w:fldCharType="separate"/>
      </w:r>
      <w:r w:rsidR="00496C3B" w:rsidRPr="00496C3B">
        <w:rPr>
          <w:rFonts w:ascii="Calibri" w:hAnsi="Calibri" w:cs="Calibri"/>
          <w:szCs w:val="24"/>
          <w:vertAlign w:val="superscript"/>
        </w:rPr>
        <w:t>51</w:t>
      </w:r>
      <w:r w:rsidRPr="000F7E56">
        <w:rPr>
          <w:rFonts w:ascii="Calibri" w:eastAsia="SimSun" w:hAnsi="Calibri" w:cs="Calibri"/>
        </w:rPr>
        <w:fldChar w:fldCharType="end"/>
      </w:r>
      <w:r w:rsidRPr="000F7E56">
        <w:rPr>
          <w:rFonts w:ascii="Calibri" w:eastAsia="SimSun" w:hAnsi="Calibri" w:cs="Calibri"/>
        </w:rPr>
        <w:t xml:space="preserve"> On the other hand, patients who cannot articulate their needs to clinicians about their pain may find the experience both distressing, and isolating, feel disempowered and may feel discriminated against because of their inability to competently communicate in English.</w:t>
      </w:r>
      <w:r w:rsidRPr="000F7E56">
        <w:rPr>
          <w:rFonts w:ascii="Calibri" w:eastAsia="SimSun" w:hAnsi="Calibri" w:cs="Calibri"/>
        </w:rPr>
        <w:fldChar w:fldCharType="begin"/>
      </w:r>
      <w:r w:rsidR="000D5597">
        <w:rPr>
          <w:rFonts w:ascii="Calibri" w:eastAsia="SimSun" w:hAnsi="Calibri" w:cs="Calibri"/>
        </w:rPr>
        <w:instrText xml:space="preserve"> ADDIN ZOTERO_ITEM CSL_CITATION {"citationID":"GGHgg3q3","properties":{"formattedCitation":"\\super 51\\uc0\\u8211{}53\\nosupersub{}","plainCitation":"51–53","noteIndex":0},"citationItems":[{"id":"aZbwIlcN/7Gg7eUHN","uris":["http://zotero.org/users/6587080/items/AT6SBLR9"],"itemData":{"id":"uUDVD1MV/w5b8pjwZ","type":"article-journal","container-title":"BMC palliative care","issue":"1","page":"90","source":"Google Scholar","title":"“It doesn’t exist…”: negotiating palliative care from a culturally and linguistically diverse patient and caregiver perspective","title-short":"“It doesn’t exist…”","volume":"17","author":[{"family":"Kirby","given":"Emma"},{"family":"Lwin","given":"Zarnie"},{"family":"Kenny","given":"Katherine"},{"family":"Broom","given":"Alex"},{"family":"Birman","given":"Holi"},{"family":"Good","given":"Phillip"}],"issued":{"date-parts":[["2018"]]}}},{"id":"aZbwIlcN/uy5GyAUr","uris":["http://zotero.org/users/6587080/items/BWFNFKG3"],"itemData":{"id":"uUDVD1MV/WHJ9XjJw","type":"webpage","title":"Patient-Centered Care or Cultural Competence: Negotiating Palliative Care at Home for Chinese Canadian Immigrants - Lisa Seto Nielsen, Jan E. Angus, Doris Howell, Amna Husain, Denise Gastaldo, 2015","URL":"https://journals.sagepub.com/doi/abs/10.1177/1049909114527338","author":[{"family":"Nielsen","given":"Lisa Seto"},{"family":"Jan E. Angus","given":""},{"family":"Doris Howell","given":""}],"accessed":{"date-parts":[["2021",2,22]]},"issued":{"date-parts":[["2015"]]}}},{"id":"aZbwIlcN/4dn5h9gH","uris":["http://zotero.org/users/6587080/items/LKFZNIUA"],"itemData":{"id":2173,"type":"webpage","abstract":"Explore millions of resources from scholarly journals, books, newspapers, videos and more, on the ProQuest Platform.","language":"en","title":"Exploring traditional end-of-life beliefs, values, expectations, and practices among Chinese women living in England: Informing culturally safe care","title-short":"Exploring traditional end-of-life beliefs, values, expectations, and practices among Chinese women living in England","URL":"https://search.proquest.com/openview/f96db384f6cb087a945f242c7f06c37d/1?pq-origsite=gscholar&amp;cbl=39238","author":[{"family":"Fang","given":"","suffix":"Mei Lan"},{"family":"Malcoe, Lorraine Halinka;","given":""},{"family":"Sixsmith, Judith; Wong, Louise Yuen Ming; Callender, Matthew.","given":""}],"accessed":{"date-parts":[["2021",2,22]]},"issued":{"date-parts":[["2015"]]}}}],"schema":"https://github.com/citation-style-language/schema/raw/master/csl-citation.json"} </w:instrText>
      </w:r>
      <w:r w:rsidRPr="000F7E56">
        <w:rPr>
          <w:rFonts w:ascii="Calibri" w:eastAsia="SimSun" w:hAnsi="Calibri" w:cs="Calibri"/>
        </w:rPr>
        <w:fldChar w:fldCharType="separate"/>
      </w:r>
      <w:r w:rsidR="00496C3B" w:rsidRPr="00496C3B">
        <w:rPr>
          <w:rFonts w:ascii="Calibri" w:hAnsi="Calibri" w:cs="Calibri"/>
          <w:szCs w:val="24"/>
          <w:vertAlign w:val="superscript"/>
        </w:rPr>
        <w:t>51–53</w:t>
      </w:r>
      <w:r w:rsidRPr="000F7E56">
        <w:rPr>
          <w:rFonts w:ascii="Calibri" w:eastAsia="SimSun" w:hAnsi="Calibri" w:cs="Calibri"/>
        </w:rPr>
        <w:fldChar w:fldCharType="end"/>
      </w:r>
      <w:r w:rsidRPr="000F7E56">
        <w:rPr>
          <w:rFonts w:ascii="Calibri" w:eastAsia="SimSun" w:hAnsi="Calibri" w:cs="Calibri"/>
        </w:rPr>
        <w:t xml:space="preserve"> Additionally, ED patients may not want to initiate discussions even when they experience intolerable pain in late stages of life but may later communicate a desire to engage in EOLCP discussions with HCPs once they have  accomplished all their wishes with their family.</w:t>
      </w:r>
      <w:r w:rsidRPr="000F7E56">
        <w:rPr>
          <w:rFonts w:ascii="Calibri" w:eastAsia="SimSun" w:hAnsi="Calibri" w:cs="Calibri"/>
        </w:rPr>
        <w:fldChar w:fldCharType="begin"/>
      </w:r>
      <w:r w:rsidR="000D5597">
        <w:rPr>
          <w:rFonts w:ascii="Calibri" w:eastAsia="SimSun" w:hAnsi="Calibri" w:cs="Calibri"/>
        </w:rPr>
        <w:instrText xml:space="preserve"> ADDIN ZOTERO_ITEM CSL_CITATION {"citationID":"aXpy5iRk","properties":{"formattedCitation":"\\super 53\\uc0\\u8211{}56\\nosupersub{}","plainCitation":"53–56","noteIndex":0},"citationItems":[{"id":"aZbwIlcN/4dn5h9gH","uris":["http://zotero.org/users/6587080/items/LKFZNIUA"],"itemData":{"id":"uUDVD1MV/ph4hadoc","type":"webpage","abstract":"Explore millions of resources from scholarly journals, books, newspapers, videos and more, on the ProQuest Platform.","language":"en","title":"Exploring traditional end-of-life beliefs, values, expectations, and practices among Chinese women living in England: Informing culturally safe care","title-short":"Exploring traditional end-of-life beliefs, values, expectations, and practices among Chinese women living in England","URL":"https://search.proquest.com/openview/f96db384f6cb087a945f242c7f06c37d/1?pq-origsite=gscholar&amp;cbl=39238","author":[{"family":"Fang","given":"","suffix":"Mei Lan"},{"family":"Malcoe, Lorraine Halinka;","given":""},{"family":"Sixsmith, Judith; Wong, Louise Yuen Ming; Callender, Matthew.","given":""}],"accessed":{"date-parts":[["2021",2,22]]},"issued":{"date-parts":[["2015"]]}}},{"id":"aZbwIlcN/2HLCSWUT","uris":["http://zotero.org/users/6587080/items/TME9CVU7"],"itemData":{"id":"uUDVD1MV/sky3KWxi","type":"webpage","title":"Perspectives of Asians living in Texas on pain management in the last days of life | International Journal of Palliative Nursing","URL":"https://www.magonlinelibrary.com/doi/abs/10.12968/ijpn.2015.21.1.24","author":[{"family":"Duke,","given":"Gloria"},{"family":"Petersen","given":"Sandra"}],"accessed":{"date-parts":[["2021",2,22]]},"issued":{"date-parts":[["2015"]]}}},{"id":"aZbwIlcN/RbkHUCQk","uris":["http://zotero.org/users/6587080/items/U98ECVIW"],"itemData":{"id":"uUDVD1MV/MeYy4Sd9","type":"article-journal","abstract":"Although advance care planning (ACP) is associated with better care at the end of life, better quality of death, and less psychological distress in survivors, ethnic disparities in ACP completion rat...","container-title":"Journal of the American Geriatrics Society","DOI":"10.1111/jgs.14261","ISSN":"1532-5415","issue":"9","language":"en","note":"publisher: John Wiley &amp; Sons, Ltd","page":"1884-1889","source":"agsjournals.onlinelibrary.wiley.com","title":"Knowledge </w:instrText>
      </w:r>
      <w:r w:rsidR="000D5597">
        <w:rPr>
          <w:rFonts w:ascii="Calibri" w:eastAsia="SimSun" w:hAnsi="Calibri" w:cs="Calibri" w:hint="eastAsia"/>
        </w:rPr>
        <w:instrText>About and Perceptions of Advance Care Planning and Communication of Chinese</w:instrText>
      </w:r>
      <w:r w:rsidR="000D5597">
        <w:rPr>
          <w:rFonts w:ascii="Calibri" w:eastAsia="SimSun" w:hAnsi="Calibri" w:cs="Calibri" w:hint="eastAsia"/>
        </w:rPr>
        <w:instrText>‐</w:instrText>
      </w:r>
      <w:r w:rsidR="000D5597">
        <w:rPr>
          <w:rFonts w:ascii="Calibri" w:eastAsia="SimSun" w:hAnsi="Calibri" w:cs="Calibri" w:hint="eastAsia"/>
        </w:rPr>
        <w:instrText>American Older Adults","volume":"64","author":[{"family":"Yonashiro</w:instrText>
      </w:r>
      <w:r w:rsidR="000D5597">
        <w:rPr>
          <w:rFonts w:ascii="Calibri" w:eastAsia="SimSun" w:hAnsi="Calibri" w:cs="Calibri" w:hint="eastAsia"/>
        </w:rPr>
        <w:instrText>‐</w:instrText>
      </w:r>
      <w:r w:rsidR="000D5597">
        <w:rPr>
          <w:rFonts w:ascii="Calibri" w:eastAsia="SimSun" w:hAnsi="Calibri" w:cs="Calibri" w:hint="eastAsia"/>
        </w:rPr>
        <w:instrText>Cho","given":"Jeanine"},{"family":"Cote","given":"Sarah"},{"family":"Enguidanos","given":"Susan"}],"issued":{"d</w:instrText>
      </w:r>
      <w:r w:rsidR="000D5597">
        <w:rPr>
          <w:rFonts w:ascii="Calibri" w:eastAsia="SimSun" w:hAnsi="Calibri" w:cs="Calibri"/>
        </w:rPr>
        <w:instrText xml:space="preserve">ate-parts":[["2016",9,1]]}}},{"id":521,"uris":["http://zotero.org/users/8748280/items/B63N7GR3"],"itemData":{"id":521,"type":"webpage","title":"Please Ask Gently: Using Culturally Targeted Communication Strategies to Initiate End-of-Life Care Discussions With Older Chinese Americans - Han-Lin Chi, Janine Cataldo, Evelyn Y. Ho, Roberta S. Rehm, 2018","URL":"https://journals.sagepub.com/doi/abs/10.1177/1049909118760310","author":[{"family":"Chi","given":"Han-Lin"},{"literal":"Janine Cataldo"},{"literal":"Evelyn Y. Ho"},{"literal":"Roberta S. Rehm"}],"accessed":{"date-parts":[["2021",2,22]]},"issued":{"date-parts":[["2018"]]}}}],"schema":"https://github.com/citation-style-language/schema/raw/master/csl-citation.json"} </w:instrText>
      </w:r>
      <w:r w:rsidRPr="000F7E56">
        <w:rPr>
          <w:rFonts w:ascii="Calibri" w:eastAsia="SimSun" w:hAnsi="Calibri" w:cs="Calibri"/>
        </w:rPr>
        <w:fldChar w:fldCharType="separate"/>
      </w:r>
      <w:r w:rsidR="00496C3B" w:rsidRPr="00496C3B">
        <w:rPr>
          <w:rFonts w:ascii="Calibri" w:hAnsi="Calibri" w:cs="Calibri"/>
          <w:szCs w:val="24"/>
          <w:vertAlign w:val="superscript"/>
        </w:rPr>
        <w:t>53–56</w:t>
      </w:r>
      <w:r w:rsidRPr="000F7E56">
        <w:rPr>
          <w:rFonts w:ascii="Calibri" w:eastAsia="SimSun" w:hAnsi="Calibri" w:cs="Calibri"/>
        </w:rPr>
        <w:fldChar w:fldCharType="end"/>
      </w:r>
    </w:p>
    <w:p w14:paraId="72E5079F" w14:textId="6A45E0BE" w:rsidR="000F7E56" w:rsidRPr="000F7E56" w:rsidRDefault="000F7E56" w:rsidP="000F7E56">
      <w:pPr>
        <w:spacing w:before="120" w:after="0" w:line="360" w:lineRule="auto"/>
        <w:rPr>
          <w:rFonts w:ascii="Calibri" w:eastAsia="SimSun" w:hAnsi="Calibri" w:cs="Calibri"/>
        </w:rPr>
      </w:pPr>
      <w:r w:rsidRPr="000F7E56">
        <w:rPr>
          <w:rFonts w:ascii="Calibri" w:eastAsia="SimSun" w:hAnsi="Calibri" w:cs="Calibri"/>
        </w:rPr>
        <w:lastRenderedPageBreak/>
        <w:t>In their small UK based study, Owen and Randhawa point out that staff seemed concerned that they frequently did not have the linguistic skills or sufficient understanding of a patient’s cultural background to ‘make them comfortable’.</w:t>
      </w:r>
      <w:r w:rsidRPr="000F7E56">
        <w:rPr>
          <w:rFonts w:ascii="Calibri" w:eastAsia="SimSun" w:hAnsi="Calibri" w:cs="Calibri"/>
        </w:rPr>
        <w:fldChar w:fldCharType="begin"/>
      </w:r>
      <w:r w:rsidR="000D5597">
        <w:rPr>
          <w:rFonts w:ascii="Calibri" w:eastAsia="SimSun" w:hAnsi="Calibri" w:cs="Calibri"/>
        </w:rPr>
        <w:instrText xml:space="preserve"> ADDIN ZOTERO_ITEM CSL_CITATION {"citationID":"LwhbhkYF","properties":{"formattedCitation":"\\super 57\\nosupersub{}","plainCitation":"57","noteIndex":0},"citationItems":[{"id":"aZbwIlcN/fNuSuY7T","uris":["http://zotero.org/users/6587080/items/NNVEPVCI"],"itemData":{"id":"uUDVD1MV/tOV7hGVY","type":"article-journal","abstract":"This article investigates the challenges faced by those trying to develop ‘culturally competent’ palliative care for South Asian cancer patients in Luton, UK. It discusses the findings of a phenomeno...","container-title":"Health &amp; Social Care in the Community","DOI":"10.1111/j.1365-2524.2004.00511.x","ISSN":"1365-2524","issue":"5","language":"en","note":"publisher: John Wiley &amp; Sons, Ltd","page":"414-421","source":"onlinelibrary.wi</w:instrText>
      </w:r>
      <w:r w:rsidR="000D5597">
        <w:rPr>
          <w:rFonts w:ascii="Calibri" w:eastAsia="SimSun" w:hAnsi="Calibri" w:cs="Calibri" w:hint="eastAsia"/>
        </w:rPr>
        <w:instrText>ley.com","title":"</w:instrText>
      </w:r>
      <w:r w:rsidR="000D5597">
        <w:rPr>
          <w:rFonts w:ascii="Calibri" w:eastAsia="SimSun" w:hAnsi="Calibri" w:cs="Calibri" w:hint="eastAsia"/>
        </w:rPr>
        <w:instrText>‘</w:instrText>
      </w:r>
      <w:r w:rsidR="000D5597">
        <w:rPr>
          <w:rFonts w:ascii="Calibri" w:eastAsia="SimSun" w:hAnsi="Calibri" w:cs="Calibri" w:hint="eastAsia"/>
        </w:rPr>
        <w:instrText>It's different from my culture; they</w:instrText>
      </w:r>
      <w:r w:rsidR="000D5597">
        <w:rPr>
          <w:rFonts w:ascii="Calibri" w:eastAsia="SimSun" w:hAnsi="Calibri" w:cs="Calibri" w:hint="eastAsia"/>
        </w:rPr>
        <w:instrText>’</w:instrText>
      </w:r>
      <w:r w:rsidR="000D5597">
        <w:rPr>
          <w:rFonts w:ascii="Calibri" w:eastAsia="SimSun" w:hAnsi="Calibri" w:cs="Calibri" w:hint="eastAsia"/>
        </w:rPr>
        <w:instrText>re very different</w:instrText>
      </w:r>
      <w:r w:rsidR="000D5597">
        <w:rPr>
          <w:rFonts w:ascii="Calibri" w:eastAsia="SimSun" w:hAnsi="Calibri" w:cs="Calibri" w:hint="eastAsia"/>
        </w:rPr>
        <w:instrText>’</w:instrText>
      </w:r>
      <w:r w:rsidR="000D5597">
        <w:rPr>
          <w:rFonts w:ascii="Calibri" w:eastAsia="SimSun" w:hAnsi="Calibri" w:cs="Calibri" w:hint="eastAsia"/>
        </w:rPr>
        <w:instrText>: providing community</w:instrText>
      </w:r>
      <w:r w:rsidR="000D5597">
        <w:rPr>
          <w:rFonts w:ascii="Calibri" w:eastAsia="SimSun" w:hAnsi="Calibri" w:cs="Calibri" w:hint="eastAsia"/>
        </w:rPr>
        <w:instrText>‐</w:instrText>
      </w:r>
      <w:r w:rsidR="000D5597">
        <w:rPr>
          <w:rFonts w:ascii="Calibri" w:eastAsia="SimSun" w:hAnsi="Calibri" w:cs="Calibri" w:hint="eastAsia"/>
        </w:rPr>
        <w:instrText xml:space="preserve">based, </w:instrText>
      </w:r>
      <w:r w:rsidR="000D5597">
        <w:rPr>
          <w:rFonts w:ascii="Calibri" w:eastAsia="SimSun" w:hAnsi="Calibri" w:cs="Calibri" w:hint="eastAsia"/>
        </w:rPr>
        <w:instrText>‘</w:instrText>
      </w:r>
      <w:r w:rsidR="000D5597">
        <w:rPr>
          <w:rFonts w:ascii="Calibri" w:eastAsia="SimSun" w:hAnsi="Calibri" w:cs="Calibri" w:hint="eastAsia"/>
        </w:rPr>
        <w:instrText>culturally competent</w:instrText>
      </w:r>
      <w:r w:rsidR="000D5597">
        <w:rPr>
          <w:rFonts w:ascii="Calibri" w:eastAsia="SimSun" w:hAnsi="Calibri" w:cs="Calibri" w:hint="eastAsia"/>
        </w:rPr>
        <w:instrText>’</w:instrText>
      </w:r>
      <w:r w:rsidR="000D5597">
        <w:rPr>
          <w:rFonts w:ascii="Calibri" w:eastAsia="SimSun" w:hAnsi="Calibri" w:cs="Calibri" w:hint="eastAsia"/>
        </w:rPr>
        <w:instrText xml:space="preserve"> palliative care for South Asian people in the UK","title-short":"</w:instrText>
      </w:r>
      <w:r w:rsidR="000D5597">
        <w:rPr>
          <w:rFonts w:ascii="Calibri" w:eastAsia="SimSun" w:hAnsi="Calibri" w:cs="Calibri" w:hint="eastAsia"/>
        </w:rPr>
        <w:instrText>‘</w:instrText>
      </w:r>
      <w:r w:rsidR="000D5597">
        <w:rPr>
          <w:rFonts w:ascii="Calibri" w:eastAsia="SimSun" w:hAnsi="Calibri" w:cs="Calibri" w:hint="eastAsia"/>
        </w:rPr>
        <w:instrText>It's different from my culture; they</w:instrText>
      </w:r>
      <w:r w:rsidR="000D5597">
        <w:rPr>
          <w:rFonts w:ascii="Calibri" w:eastAsia="SimSun" w:hAnsi="Calibri" w:cs="Calibri" w:hint="eastAsia"/>
        </w:rPr>
        <w:instrText>’</w:instrText>
      </w:r>
      <w:r w:rsidR="000D5597">
        <w:rPr>
          <w:rFonts w:ascii="Calibri" w:eastAsia="SimSun" w:hAnsi="Calibri" w:cs="Calibri" w:hint="eastAsia"/>
        </w:rPr>
        <w:instrText>re very different</w:instrText>
      </w:r>
      <w:r w:rsidR="000D5597">
        <w:rPr>
          <w:rFonts w:ascii="Calibri" w:eastAsia="SimSun" w:hAnsi="Calibri" w:cs="Calibri" w:hint="eastAsia"/>
        </w:rPr>
        <w:instrText>’</w:instrText>
      </w:r>
      <w:r w:rsidR="000D5597">
        <w:rPr>
          <w:rFonts w:ascii="Calibri" w:eastAsia="SimSun" w:hAnsi="Calibri" w:cs="Calibri" w:hint="eastAsia"/>
        </w:rPr>
        <w:instrText>","volum</w:instrText>
      </w:r>
      <w:r w:rsidR="000D5597">
        <w:rPr>
          <w:rFonts w:ascii="Calibri" w:eastAsia="SimSun" w:hAnsi="Calibri" w:cs="Calibri"/>
        </w:rPr>
        <w:instrText xml:space="preserve">e":"12","author":[{"family":"Owens","given":"Alastair"},{"family":"Randhawa","given":"Gurch"}],"issued":{"date-parts":[["2004",9,1]]}}}],"schema":"https://github.com/citation-style-language/schema/raw/master/csl-citation.json"} </w:instrText>
      </w:r>
      <w:r w:rsidRPr="000F7E56">
        <w:rPr>
          <w:rFonts w:ascii="Calibri" w:eastAsia="SimSun" w:hAnsi="Calibri" w:cs="Calibri"/>
        </w:rPr>
        <w:fldChar w:fldCharType="separate"/>
      </w:r>
      <w:r w:rsidR="00496C3B" w:rsidRPr="00496C3B">
        <w:rPr>
          <w:rFonts w:ascii="Calibri" w:hAnsi="Calibri" w:cs="Calibri"/>
          <w:szCs w:val="24"/>
          <w:vertAlign w:val="superscript"/>
        </w:rPr>
        <w:t>57</w:t>
      </w:r>
      <w:r w:rsidRPr="000F7E56">
        <w:rPr>
          <w:rFonts w:ascii="Calibri" w:eastAsia="SimSun" w:hAnsi="Calibri" w:cs="Calibri"/>
        </w:rPr>
        <w:fldChar w:fldCharType="end"/>
      </w:r>
      <w:r w:rsidRPr="000F7E56">
        <w:rPr>
          <w:rFonts w:ascii="Calibri" w:eastAsia="SimSun" w:hAnsi="Calibri" w:cs="Calibri"/>
        </w:rPr>
        <w:t xml:space="preserve"> Doctors in Karim et </w:t>
      </w:r>
      <w:proofErr w:type="spellStart"/>
      <w:r w:rsidRPr="000F7E56">
        <w:rPr>
          <w:rFonts w:ascii="Calibri" w:eastAsia="SimSun" w:hAnsi="Calibri" w:cs="Calibri"/>
        </w:rPr>
        <w:t>al’s</w:t>
      </w:r>
      <w:proofErr w:type="spellEnd"/>
      <w:r w:rsidRPr="000F7E56">
        <w:rPr>
          <w:rFonts w:ascii="Calibri" w:eastAsia="SimSun" w:hAnsi="Calibri" w:cs="Calibri"/>
        </w:rPr>
        <w:t xml:space="preserve"> study highlight these issues as being major obstacles and key for the under-referral of ethnic minority patients to palliative care. The majority of the 27 doctors interviewed in this small UK study felt that palliative care services need to be sensitive to religion and culture and that this could not be achieved unless staff from Black and Asian communities, fluent in the language spoken by the patient, were present in the workforce.</w:t>
      </w:r>
      <w:r w:rsidRPr="000F7E56">
        <w:rPr>
          <w:rFonts w:ascii="Calibri" w:eastAsia="SimSun" w:hAnsi="Calibri" w:cs="Calibri"/>
        </w:rPr>
        <w:fldChar w:fldCharType="begin"/>
      </w:r>
      <w:r w:rsidR="000D5597">
        <w:rPr>
          <w:rFonts w:ascii="Calibri" w:eastAsia="SimSun" w:hAnsi="Calibri" w:cs="Calibri"/>
        </w:rPr>
        <w:instrText xml:space="preserve"> ADDIN ZOTERO_ITEM CSL_CITATION {"citationID":"jBlNxWEN","properties":{"formattedCitation":"\\super 58\\nosupersub{}","plainCitation":"58","noteIndex":0},"citationItems":[{"id":"aZbwIlcN/q31eXqpY","uris":["http://zotero.org/users/6587080/items/NVWQKUCS"],"itemData":{"id":"AMorj3u4/3WY5395F","type":"webpage","title":"Nonwhite ethnicity and the provision of specialist palliative care services: factors affecting doctors' referral patterns","URL":"https://journals.sagepub.com/doi/abs/10.1191/026921600701536390","author":[{"family":"Karim","given":"Kevin"},{"family":"Maria Bailey","given":""},{"family":"Kate Tunna","given":""}],"accessed":{"date-parts":[["2021",2,19]]},"issued":{"date-parts":[["2000"]]}}}],"schema":"https://github.com/citation-style-language/schema/raw/master/csl-citation.json"} </w:instrText>
      </w:r>
      <w:r w:rsidRPr="000F7E56">
        <w:rPr>
          <w:rFonts w:ascii="Calibri" w:eastAsia="SimSun" w:hAnsi="Calibri" w:cs="Calibri"/>
        </w:rPr>
        <w:fldChar w:fldCharType="separate"/>
      </w:r>
      <w:r w:rsidR="00496C3B" w:rsidRPr="00496C3B">
        <w:rPr>
          <w:rFonts w:ascii="Calibri" w:hAnsi="Calibri" w:cs="Calibri"/>
          <w:szCs w:val="24"/>
          <w:vertAlign w:val="superscript"/>
        </w:rPr>
        <w:t>58</w:t>
      </w:r>
      <w:r w:rsidRPr="000F7E56">
        <w:rPr>
          <w:rFonts w:ascii="Calibri" w:eastAsia="SimSun" w:hAnsi="Calibri" w:cs="Calibri"/>
        </w:rPr>
        <w:fldChar w:fldCharType="end"/>
      </w:r>
    </w:p>
    <w:p w14:paraId="57626568" w14:textId="33D27C6D" w:rsidR="000F7E56" w:rsidRPr="000F7E56" w:rsidRDefault="000F7E56" w:rsidP="000F7E56">
      <w:pPr>
        <w:spacing w:before="120" w:after="0" w:line="360" w:lineRule="auto"/>
        <w:rPr>
          <w:rFonts w:ascii="Calibri" w:eastAsia="SimSun" w:hAnsi="Calibri" w:cs="Calibri"/>
        </w:rPr>
      </w:pPr>
      <w:r w:rsidRPr="000F7E56">
        <w:rPr>
          <w:rFonts w:ascii="Calibri" w:eastAsia="SimSun" w:hAnsi="Calibri" w:cs="Calibri"/>
        </w:rPr>
        <w:t>Effective communication between health care providers and patients is complex. Patients describe having a positive care experience when knowing their needs were listened to and understood.</w:t>
      </w:r>
      <w:r w:rsidRPr="000F7E56">
        <w:rPr>
          <w:rFonts w:ascii="Calibri" w:eastAsia="SimSun" w:hAnsi="Calibri" w:cs="Calibri"/>
        </w:rPr>
        <w:fldChar w:fldCharType="begin"/>
      </w:r>
      <w:r w:rsidR="000D5597">
        <w:rPr>
          <w:rFonts w:ascii="Calibri" w:eastAsia="SimSun" w:hAnsi="Calibri" w:cs="Calibri"/>
        </w:rPr>
        <w:instrText xml:space="preserve"> ADDIN ZOTERO_ITEM CSL_CITATION {"citationID":"zdmYVJec","properties":{"formattedCitation":"\\super 59\\nosupersub{}","plainCitation":"59","noteIndex":0},"citationItems":[{"id":"aZbwIlcN/oxq8jULq","uris":["http://zotero.org/users/6587080/items/48RXLF9C"],"itemData":{"id":2305,"type":"article-journal","abstract":"Background: Ethnic minority patients have unique challenges in accessing health services. These include language difficulties, unfamiliarity with the health sys...","archive_location":"Sage UK: London, England","container-title":"Palliative Medicine","DOI":"10.1177/0269216318776850","language":"en","note":"publisher: SAGE PublicationsSage UK: London, England","source":"journals.sagepub.com","title":"‘Death is difficult in any language’: A qualitative study of palliative care professionals’ experiences when providing end-of-life care to patients from culturally and linguistically diverse backgrounds:","title-short":"‘Death is difficult in any language’","URL":"https://journals.sagepub.com/doi/abs/10.1177/0269216318776850","author":[{"family":"Green","given":"Anna"},{"family":"Jerzmanowska","given":"Natalia"},{"family":"Green","given":"Marguerite"},{"family":"Lobb","given":"Elizabeth A."}],"accessed":{"date-parts":[["2021",3,4]]},"issued":{"date-parts":[["2018",5,16]]}}}],"schema":"https://github.com/citation-style-language/schema/raw/master/csl-citation.json"} </w:instrText>
      </w:r>
      <w:r w:rsidRPr="000F7E56">
        <w:rPr>
          <w:rFonts w:ascii="Calibri" w:eastAsia="SimSun" w:hAnsi="Calibri" w:cs="Calibri"/>
        </w:rPr>
        <w:fldChar w:fldCharType="separate"/>
      </w:r>
      <w:r w:rsidR="00496C3B" w:rsidRPr="00496C3B">
        <w:rPr>
          <w:rFonts w:ascii="Calibri" w:hAnsi="Calibri" w:cs="Calibri"/>
          <w:szCs w:val="24"/>
          <w:vertAlign w:val="superscript"/>
        </w:rPr>
        <w:t>59</w:t>
      </w:r>
      <w:r w:rsidRPr="000F7E56">
        <w:rPr>
          <w:rFonts w:ascii="Calibri" w:eastAsia="SimSun" w:hAnsi="Calibri" w:cs="Calibri"/>
        </w:rPr>
        <w:fldChar w:fldCharType="end"/>
      </w:r>
      <w:r w:rsidRPr="000F7E56">
        <w:rPr>
          <w:rFonts w:ascii="Calibri" w:eastAsia="SimSun" w:hAnsi="Calibri" w:cs="Calibri"/>
        </w:rPr>
        <w:t xml:space="preserve"> Interpreters can assist in mutual understanding between HCPs and patients and their families; however, this is not without challenges. Like others, HCPs in our previous work acknowledged their lack of understanding of the training and quality assurance of professional interpreters and the absence of training for HCPs on working effectively and safely with these essential team members.</w:t>
      </w:r>
      <w:r w:rsidRPr="000F7E56">
        <w:rPr>
          <w:rFonts w:ascii="Calibri" w:eastAsia="SimSun" w:hAnsi="Calibri" w:cs="Calibri"/>
        </w:rPr>
        <w:fldChar w:fldCharType="begin"/>
      </w:r>
      <w:r w:rsidR="000D5597">
        <w:rPr>
          <w:rFonts w:ascii="Calibri" w:eastAsia="SimSun" w:hAnsi="Calibri" w:cs="Calibri"/>
        </w:rPr>
        <w:instrText xml:space="preserve"> ADDIN ZOTERO_ITEM CSL_CITATION {"citationID":"hGAz2G2w","properties":{"formattedCitation":"\\super 44\\nosupersub{}","plainCitation":"44","noteIndex":0},"citationItems":[{"id":1541,"uris":["http://zotero.org/users/8748280/items/PT6UDE5K"],"itemData":{"id":1541,"type":"article-journal","abstract":"Background Evidence suggests that discussing resuscitation with patients and relatives from ethnic minority groups is problematic for healthcare professionals (HCPs), but there is limited evidence exploring these issues or offering guidance for HCPs in navigating these challenging discussions. This study explores the barriers and enablers to HCPs discussing deterioration and resuscitation decisions with patients and families from ethnic minority groups.\nResults Personal, cultural, religious/spiritual and health beliefs, emotions, and communication quality and skills were discussed. Participants described that the interaction between these factors as complex, impacting the way some patients and families responded to do not attempt cardiopulmonary resuscitation (DNACPR) orders and the particular challenges these pose.\nConclusion Key barriers and enablers for healthcare professionals discussing resuscitation with patients and families from Black, Asian and minority ethnic communities were identified. The findings highlight areas of improvement for training, both relating to DNACPR discussions and ‘cultural competence’.","container-title":"Future Healthcare Journal","DOI":"10.7861/fhj.2021-0012","ISSN":"2514-6645, 2514-6653","journalAbbreviation":"Future Healthc J","language":"en","page":"fhj.2021-0012","source":"DOI.org (Crossref)","title":"Thinking ahead in advanced illness: Exploring clinicians' perspectives on discussing resuscitation with patients and families from ethnic minority communities","title-short":"Thinking ahead in advanced illness","author":[{"family":"Islam","given":"Zoebia"},{"family":"Taylor","given":"Lucy"},{"family":"Faull","given":"Christina"}],"issued":{"date-parts":[["2021",8,23]]}}}],"schema":"https://github.com/citation-style-language/schema/raw/master/csl-citation.json"} </w:instrText>
      </w:r>
      <w:r w:rsidRPr="000F7E56">
        <w:rPr>
          <w:rFonts w:ascii="Calibri" w:eastAsia="SimSun" w:hAnsi="Calibri" w:cs="Calibri"/>
        </w:rPr>
        <w:fldChar w:fldCharType="separate"/>
      </w:r>
      <w:r w:rsidR="00496C3B" w:rsidRPr="00496C3B">
        <w:rPr>
          <w:rFonts w:ascii="Calibri" w:hAnsi="Calibri" w:cs="Calibri"/>
          <w:szCs w:val="24"/>
          <w:vertAlign w:val="superscript"/>
        </w:rPr>
        <w:t>44</w:t>
      </w:r>
      <w:r w:rsidRPr="000F7E56">
        <w:rPr>
          <w:rFonts w:ascii="Calibri" w:eastAsia="SimSun" w:hAnsi="Calibri" w:cs="Calibri"/>
        </w:rPr>
        <w:fldChar w:fldCharType="end"/>
      </w:r>
      <w:r w:rsidRPr="000F7E56">
        <w:rPr>
          <w:rFonts w:ascii="Calibri" w:eastAsia="SimSun" w:hAnsi="Calibri" w:cs="Calibri"/>
        </w:rPr>
        <w:t xml:space="preserve"> Using professional interpreters becomes difficult when family members are not in support of this, sometimes due to concerns of confidentiality. Where interpreting services are not available or not used this can result in reduced access to services and not receiving information. There are often concerns about the accuracy and of quality of information exchanged with patients, particularly those involving a family member as interpreter.</w:t>
      </w:r>
      <w:r w:rsidRPr="000F7E56">
        <w:rPr>
          <w:rFonts w:ascii="Calibri" w:eastAsia="SimSun" w:hAnsi="Calibri" w:cs="Calibri"/>
        </w:rPr>
        <w:fldChar w:fldCharType="begin"/>
      </w:r>
      <w:r w:rsidR="000D5597">
        <w:rPr>
          <w:rFonts w:ascii="Calibri" w:eastAsia="SimSun" w:hAnsi="Calibri" w:cs="Calibri"/>
        </w:rPr>
        <w:instrText xml:space="preserve"> ADDIN ZOTERO_ITEM CSL_CITATION {"citationID":"YCiV4PQc","properties":{"formattedCitation":"\\super 58\\uc0\\u8211{}61\\nosupersub{}","plainCitation":"58–61","noteIndex":0},"citationItems":[{"id":"aZbwIlcN/q31eXqpY","uris":["http://zotero.org/users/6587080/items/NVWQKUCS"],"itemData":{"id":2111,"type":"webpage","title":"Nonwhite ethnicity and the provision of specialist palliative care services: factors affecting doctors' referral patterns","URL":"https://journals.sagepub.com/doi/abs/10.1191/026921600701536390","author":[{"family":"Karim","given":"Kevin"},{"family":"Maria Bailey","given":""},{"family":"Kate Tunna","given":""}],"accessed":{"date-parts":[["2021",2,19]]},"issued":{"date-parts":[["2000"]]}}},{"id":"aZbwIlcN/9H6wnwJW","uris":["http://zotero.org/users/6587080/items/UMJTI3V8"],"itemData":{"id":2158,"type":"webpage","title":"Palliative care: the experience of informal carers within the Bangladeshi community | International Journal of Palliative Nursing","URL":"https://www.magonlinelibrary.com/doi/abs/10.12968/ijpn.2001.7.5.15893","author":[{"family":"Somerville","given":"Jacqueline"}],"accessed":{"date-parts":[["2021",2,21]]},"issued":{"date-parts":[["2001"]]}}},{"id":"aZbwIlcN/oxq8jULq","uris":["http://zotero.org/users/6587080/items/48RXLF9C"],"itemData":{"id":2305,"type":"article-journal","abstract":"Background: Ethnic minority patients have unique challenges in accessing health services. These include language difficulties, unfamiliarity with the health sys...","archive_location":"Sage UK: London, England","container-title":"Palliative Medicine","DOI":"10.1177/0269216318776850","language":"en","note":"publisher: SAGE PublicationsSage UK: London, England","source":"journals.sagepub.com","title":"‘Death is difficult in any language’: A qualitative study of palliative care professionals’ experiences when providing end-of-life care to patients from culturally and linguistically diverse backgrounds:","title-short":"‘Death is difficult in any language’","URL":"https://journals.sagepub.com/doi/abs/10.1177/0269216318776850","author":[{"family":"Green","given":"Anna"},{"family":"Jerzmanowska","given":"Natalia"},{"family":"Green","given":"Marguerite"},{"family":"Lobb","given":"Elizabeth A."}],"accessed":{"date-parts":[["2021",3,4]]},"issued":{"date-parts":[["2018",5,16]]}}},{"id":"aZbwIlcN/k7UW2NRj","uris":["http://zotero.org/users/6587080/items/8K6MCWH6"],"itemData":{"id":162,"type":"article-journal","abstract":"Background:\nEvidence concerning the influence of ethnic diversity on clinical encounters in cancer care is sparse. We explored health providers' experiences in this context.\n\nMethods:\nFocus groups were conducted with a purposeful sample of 106 health professionals of differing disciplines, in 18 UK primary and secondary care settings. Qualitative data were analysed using constant comparison and processes for validation.\n\nResults:\nCommunication and the quality of information exchanged with patients about cancer and their treatment was commonly frustrated within interpreter-mediated consultations, particularly those involving a family member. Relatives' approach to ownership of information and decision making could hinder assessment, informed consent and discussion of care with patients. This magnified the complexity of disclosing information sensitively and appropriately at the end of life. Professionals' concern to be patient-centred, and regard for patient choice and autonomy, were tested in these circumstances.\n\nConclusion:\nHealth professionals require better preparation to work effectively not only with trained interpreters, but also with the common reality of patients' families interpreting for patients, to improve quality of cancer care. Greater understanding of cultural and individual variations in concepts of disclosure, patient autonomy and patient-centredness is needed. The extent to which these concepts may be ethnocentric and lack universality deserves wider consideration.","container-title":"British Journal of Cancer","DOI":"10.1038/bjc.2011.318","ISSN":"0007-0920","issue":"7","journalAbbreviation":"Br J Cancer","page":"918-924","source":"PubMed Central","title":"Challenges of mediated communication, disclosure and patient autonomy in cross-cultural cancer care","volume":"105","author":[{"family":"Kai","given":"J."},{"family":"Beavan","given":"J."},{"family":"Faull","given":"C."}],"issued":{"date-parts":[["2011",9,27]]}}}],"schema":"https://github.com/citation-style-language/schema/raw/master/csl-citation.json"} </w:instrText>
      </w:r>
      <w:r w:rsidRPr="000F7E56">
        <w:rPr>
          <w:rFonts w:ascii="Calibri" w:eastAsia="SimSun" w:hAnsi="Calibri" w:cs="Calibri"/>
        </w:rPr>
        <w:fldChar w:fldCharType="separate"/>
      </w:r>
      <w:r w:rsidR="00496C3B" w:rsidRPr="00496C3B">
        <w:rPr>
          <w:rFonts w:ascii="Calibri" w:hAnsi="Calibri" w:cs="Calibri"/>
          <w:szCs w:val="24"/>
          <w:vertAlign w:val="superscript"/>
        </w:rPr>
        <w:t>58–61</w:t>
      </w:r>
      <w:r w:rsidRPr="000F7E56">
        <w:rPr>
          <w:rFonts w:ascii="Calibri" w:eastAsia="SimSun" w:hAnsi="Calibri" w:cs="Calibri"/>
        </w:rPr>
        <w:fldChar w:fldCharType="end"/>
      </w:r>
      <w:r w:rsidRPr="000F7E56">
        <w:rPr>
          <w:rFonts w:ascii="Calibri" w:eastAsia="SimSun" w:hAnsi="Calibri" w:cs="Calibri"/>
        </w:rPr>
        <w:t xml:space="preserve"> With HCPs often left questioning if the information iterated to and from the patient has been verbatim.</w:t>
      </w:r>
      <w:r w:rsidRPr="000F7E56">
        <w:rPr>
          <w:rFonts w:ascii="Calibri" w:eastAsia="SimSun" w:hAnsi="Calibri" w:cs="Calibri"/>
        </w:rPr>
        <w:fldChar w:fldCharType="begin"/>
      </w:r>
      <w:r w:rsidR="000D5597">
        <w:rPr>
          <w:rFonts w:ascii="Calibri" w:eastAsia="SimSun" w:hAnsi="Calibri" w:cs="Calibri"/>
        </w:rPr>
        <w:instrText xml:space="preserve"> ADDIN ZOTERO_ITEM CSL_CITATION {"citationID":"aIr3oUkx","properties":{"formattedCitation":"\\super 44\\nosupersub{}","plainCitation":"44","noteIndex":0},"citationItems":[{"id":1541,"uris":["http://zotero.org/users/8748280/items/PT6UDE5K"],"itemData":{"id":1541,"type":"article-journal","abstract":"Background Evidence suggests that discussing resuscitation with patients and relatives from ethnic minority groups is problematic for healthcare professionals (HCPs), but there is limited evidence exploring these issues or offering guidance for HCPs in navigating these challenging discussions. This study explores the barriers and enablers to HCPs discussing deterioration and resuscitation decisions with patients and families from ethnic minority groups.\nResults Personal, cultural, religious/spiritual and health beliefs, emotions, and communication quality and skills were discussed. Participants described that the interaction between these factors as complex, impacting the way some patients and families responded to do not attempt cardiopulmonary resuscitation (DNACPR) orders and the particular challenges these pose.\nConclusion Key barriers and enablers for healthcare professionals discussing resuscitation with patients and families from Black, Asian and minority ethnic communities were identified. The findings highlight areas of improvement for training, both relating to DNACPR discussions and ‘cultural competence’.","container-title":"Future Healthcare Journal","DOI":"10.7861/fhj.2021-0012","ISSN":"2514-6645, 2514-6653","journalAbbreviation":"Future Healthc J","language":"en","page":"fhj.2021-0012","source":"DOI.org (Crossref)","title":"Thinking ahead in advanced illness: Exploring clinicians' perspectives on discussing resuscitation with patients and families from ethnic minority communities","title-short":"Thinking ahead in advanced illness","author":[{"family":"Islam","given":"Zoebia"},{"family":"Taylor","given":"Lucy"},{"family":"Faull","given":"Christina"}],"issued":{"date-parts":[["2021",8,23]]}}}],"schema":"https://github.com/citation-style-language/schema/raw/master/csl-citation.json"} </w:instrText>
      </w:r>
      <w:r w:rsidRPr="000F7E56">
        <w:rPr>
          <w:rFonts w:ascii="Calibri" w:eastAsia="SimSun" w:hAnsi="Calibri" w:cs="Calibri"/>
        </w:rPr>
        <w:fldChar w:fldCharType="separate"/>
      </w:r>
      <w:r w:rsidR="00496C3B" w:rsidRPr="00496C3B">
        <w:rPr>
          <w:rFonts w:ascii="Calibri" w:hAnsi="Calibri" w:cs="Calibri"/>
          <w:szCs w:val="24"/>
          <w:vertAlign w:val="superscript"/>
        </w:rPr>
        <w:t>44</w:t>
      </w:r>
      <w:r w:rsidRPr="000F7E56">
        <w:rPr>
          <w:rFonts w:ascii="Calibri" w:eastAsia="SimSun" w:hAnsi="Calibri" w:cs="Calibri"/>
        </w:rPr>
        <w:fldChar w:fldCharType="end"/>
      </w:r>
      <w:r w:rsidRPr="000F7E56">
        <w:rPr>
          <w:rFonts w:ascii="Calibri" w:eastAsia="SimSun" w:hAnsi="Calibri" w:cs="Calibri"/>
        </w:rPr>
        <w:t xml:space="preserve"> </w:t>
      </w:r>
    </w:p>
    <w:p w14:paraId="74D9305A" w14:textId="77777777" w:rsidR="000F7E56" w:rsidRPr="000F7E56" w:rsidRDefault="000F7E56" w:rsidP="000F7E56">
      <w:pPr>
        <w:spacing w:before="120" w:after="0" w:line="360" w:lineRule="auto"/>
        <w:rPr>
          <w:rFonts w:ascii="Calibri" w:eastAsia="SimSun" w:hAnsi="Calibri" w:cs="Calibri"/>
        </w:rPr>
      </w:pPr>
    </w:p>
    <w:p w14:paraId="4B20EA46" w14:textId="373807F1" w:rsidR="000F7E56" w:rsidRDefault="000F7E56" w:rsidP="000F7E56">
      <w:pPr>
        <w:keepNext/>
        <w:keepLines/>
        <w:spacing w:before="120" w:after="0" w:line="360" w:lineRule="auto"/>
        <w:outlineLvl w:val="1"/>
        <w:rPr>
          <w:rFonts w:ascii="Calibri Light" w:eastAsia="SimSun" w:hAnsi="Calibri Light" w:cs="Calibri Light"/>
          <w:color w:val="0070C0"/>
          <w:sz w:val="24"/>
          <w:szCs w:val="24"/>
        </w:rPr>
      </w:pPr>
      <w:bookmarkStart w:id="47" w:name="_Toc87279297"/>
      <w:bookmarkStart w:id="48" w:name="_Toc89665139"/>
      <w:bookmarkStart w:id="49" w:name="_Toc89671892"/>
      <w:bookmarkStart w:id="50" w:name="_Toc89763942"/>
      <w:bookmarkStart w:id="51" w:name="_Toc106697768"/>
      <w:r w:rsidRPr="000F7E56">
        <w:rPr>
          <w:rFonts w:ascii="Calibri Light" w:eastAsia="SimSun" w:hAnsi="Calibri Light" w:cs="Calibri Light"/>
          <w:color w:val="0070C0"/>
          <w:sz w:val="24"/>
          <w:szCs w:val="24"/>
        </w:rPr>
        <w:t>Health literacy and inequalities</w:t>
      </w:r>
      <w:bookmarkEnd w:id="47"/>
      <w:bookmarkEnd w:id="48"/>
      <w:bookmarkEnd w:id="49"/>
      <w:bookmarkEnd w:id="50"/>
      <w:bookmarkEnd w:id="51"/>
    </w:p>
    <w:p w14:paraId="7B9587DB" w14:textId="77777777" w:rsidR="00531B6F" w:rsidRPr="000F7E56" w:rsidRDefault="00531B6F" w:rsidP="000F7E56">
      <w:pPr>
        <w:keepNext/>
        <w:keepLines/>
        <w:spacing w:before="120" w:after="0" w:line="360" w:lineRule="auto"/>
        <w:outlineLvl w:val="1"/>
        <w:rPr>
          <w:rFonts w:ascii="Calibri Light" w:eastAsia="SimSun" w:hAnsi="Calibri Light" w:cs="Calibri Light"/>
          <w:color w:val="0070C0"/>
          <w:sz w:val="24"/>
          <w:szCs w:val="24"/>
        </w:rPr>
      </w:pPr>
    </w:p>
    <w:p w14:paraId="48C869C1" w14:textId="5E437609" w:rsidR="000F7E56" w:rsidRPr="000F7E56" w:rsidRDefault="000F7E56" w:rsidP="000F7E56">
      <w:pPr>
        <w:spacing w:after="120" w:line="360" w:lineRule="auto"/>
        <w:rPr>
          <w:rFonts w:ascii="Calibri" w:eastAsia="SimSun" w:hAnsi="Calibri" w:cs="Calibri"/>
        </w:rPr>
      </w:pPr>
      <w:r w:rsidRPr="000F7E56">
        <w:rPr>
          <w:rFonts w:ascii="Calibri" w:eastAsia="SimSun" w:hAnsi="Calibri" w:cs="Calibri"/>
        </w:rPr>
        <w:t>Patients and their family’s lack of understanding of the concepts used in healthcare, such as the palliative care approach, can have an impact on care preferences. As an Australian study highlights ED communities confused a patient returning home as indicative of the onset of the dying process, in contrast, to remaining in hospital thought to indicate hope for recovery regardless of the illness progression.</w:t>
      </w:r>
      <w:r w:rsidRPr="000F7E56">
        <w:rPr>
          <w:rFonts w:ascii="Calibri" w:eastAsia="SimSun" w:hAnsi="Calibri" w:cs="Calibri"/>
        </w:rPr>
        <w:fldChar w:fldCharType="begin"/>
      </w:r>
      <w:r w:rsidR="000D5597">
        <w:rPr>
          <w:rFonts w:ascii="Calibri" w:eastAsia="SimSun" w:hAnsi="Calibri" w:cs="Calibri"/>
        </w:rPr>
        <w:instrText xml:space="preserve"> ADDIN ZOTERO_ITEM CSL_CITATION {"citationID":"koiMHfP1","properties":{"formattedCitation":"\\super 51\\nosupersub{}","plainCitation":"51","noteIndex":0},"citationItems":[{"id":"aZbwIlcN/7Gg7eUHN","uris":["http://zotero.org/users/6587080/items/AT6SBLR9"],"itemData":{"id":"uUDVD1MV/w5b8pjwZ","type":"article-journal","container-title":"BMC palliative care","issue":"1","page":"90","source":"Google Scholar","title":"“It doesn’t exist…”: negotiating palliative care from a culturally and linguistically diverse patient and caregiver perspective","title-short":"“It doesn’t exist…”","volume":"17","author":[{"family":"Kirby","given":"Emma"},{"family":"Lwin","given":"Zarnie"},{"family":"Kenny","given":"Katherine"},{"family":"Broom","given":"Alex"},{"family":"Birman","given":"Holi"},{"family":"Good","given":"Phillip"}],"issued":{"date-parts":[["2018"]]}}}],"schema":"https://github.com/citation-style-language/schema/raw/master/csl-citation.json"} </w:instrText>
      </w:r>
      <w:r w:rsidRPr="000F7E56">
        <w:rPr>
          <w:rFonts w:ascii="Calibri" w:eastAsia="SimSun" w:hAnsi="Calibri" w:cs="Calibri"/>
        </w:rPr>
        <w:fldChar w:fldCharType="separate"/>
      </w:r>
      <w:r w:rsidR="00496C3B" w:rsidRPr="00496C3B">
        <w:rPr>
          <w:rFonts w:ascii="Calibri" w:hAnsi="Calibri" w:cs="Calibri"/>
          <w:szCs w:val="24"/>
          <w:vertAlign w:val="superscript"/>
        </w:rPr>
        <w:t>51</w:t>
      </w:r>
      <w:r w:rsidRPr="000F7E56">
        <w:rPr>
          <w:rFonts w:ascii="Calibri" w:eastAsia="SimSun" w:hAnsi="Calibri" w:cs="Calibri"/>
        </w:rPr>
        <w:fldChar w:fldCharType="end"/>
      </w:r>
      <w:r w:rsidRPr="000F7E56">
        <w:rPr>
          <w:rFonts w:ascii="Calibri" w:eastAsia="SimSun" w:hAnsi="Calibri" w:cs="Calibri"/>
        </w:rPr>
        <w:t xml:space="preserve"> Additionally, having no equivalent term for ‘palliative care’ in many languages has caused challenges in understanding and explaining this concept.</w:t>
      </w:r>
      <w:r w:rsidRPr="000F7E56">
        <w:rPr>
          <w:rFonts w:ascii="Calibri" w:eastAsia="SimSun" w:hAnsi="Calibri" w:cs="Calibri"/>
        </w:rPr>
        <w:fldChar w:fldCharType="begin"/>
      </w:r>
      <w:r w:rsidR="000D5597">
        <w:rPr>
          <w:rFonts w:ascii="Calibri" w:eastAsia="SimSun" w:hAnsi="Calibri" w:cs="Calibri"/>
        </w:rPr>
        <w:instrText xml:space="preserve"> ADDIN ZOTERO_ITEM CSL_CITATION {"citationID":"hqC3z0CV","properties":{"formattedCitation":"\\super 51,62\\nosupersub{}","plainCitation":"51,62","noteIndex":0},"citationItems":[{"id":"aZbwIlcN/7Gg7eUHN","uris":["http://zotero.org/users/6587080/items/AT6SBLR9"],"itemData":{"id":458,"type":"article-journal","container-title":"BMC palliative care","issue":"1","page":"90","source":"Google Scholar","title":"“It doesn’t exist…”: negotiating palliative care from a culturally and linguistically diverse patient and caregiver perspective","title-short":"“It doesn’t exist…”","volume":"17","author":[{"family":"Kirby","given":"Emma"},{"family":"Lwin","given":"Zarnie"},{"family":"Kenny","given":"Katherine"},{"family":"Broom","given":"Alex"},{"family":"Birman","given":"Holi"},{"family":"Good","given":"Phillip"}],"issued":{"date-parts":[["2018"]]}}},{"id":"aZbwIlcN/LQbBZMic","uris":["http://zotero.org/users/6587080/items/UMBK4KML"],"itemData":{"id":347,"type":"article-journal","abstract":"Accompanying patients from active treatment towards specialist palliative care is a complex sphere of clinical practice that can be fraught with interpersonal and emotional challenges. While medical specialists are expected to break ‘bad news’ to their patients and ease their transitions to specialist palliative care if required, few have received formal training in such interpersonal complexities. Furthermore, there also often exists clinical ambiguity around whether to continue active treatment vis-à-vis refocusing on quality of life and palliation. In this paper we explore the experiences of twenty Australian medical specialists, focussing on issues such as: dilemmas around when and how to talk about dying and palliation; the art of referral and practices of representation; and, accounts of emotion and subjective influences on referral. The results illustrate how this transitional realm can be embedded in emotions, relationships and the allure of potentially life-prolonging intervention. We argue that the practice of referral should be understood as a relational and contextually-bound process.","container-title":"Social Science &amp; Medicine","DOI":"10.1016/j.socscimed.2012.11.008","ISSN":"0277-9536","journalAbbreviation":"Social Science &amp; Medicine","page":"9-16","source":"ScienceDirect","title":"The art of letting go: Referral to palliative care and its discontents","title-short":"The art of letting go","volume":"78","author":[{"family":"Broom","given":"Alex"},{"family":"Kirby","given":"Emma"},{"family":"Good","given":"Phillip"},{"family":"Wootton","given":"Julia"},{"family":"Adams","given":"Jon"}],"issued":{"date-parts":[["2013",2,1]]}}}],"schema":"https://github.com/citation-style-language/schema/raw/master/csl-citation.json"} </w:instrText>
      </w:r>
      <w:r w:rsidRPr="000F7E56">
        <w:rPr>
          <w:rFonts w:ascii="Calibri" w:eastAsia="SimSun" w:hAnsi="Calibri" w:cs="Calibri"/>
        </w:rPr>
        <w:fldChar w:fldCharType="separate"/>
      </w:r>
      <w:r w:rsidR="00496C3B" w:rsidRPr="00496C3B">
        <w:rPr>
          <w:rFonts w:ascii="Calibri" w:hAnsi="Calibri" w:cs="Calibri"/>
          <w:szCs w:val="24"/>
          <w:vertAlign w:val="superscript"/>
        </w:rPr>
        <w:t>51,62</w:t>
      </w:r>
      <w:r w:rsidRPr="000F7E56">
        <w:rPr>
          <w:rFonts w:ascii="Calibri" w:eastAsia="SimSun" w:hAnsi="Calibri" w:cs="Calibri"/>
        </w:rPr>
        <w:fldChar w:fldCharType="end"/>
      </w:r>
      <w:r w:rsidRPr="000F7E56">
        <w:rPr>
          <w:rFonts w:ascii="Calibri" w:eastAsia="SimSun" w:hAnsi="Calibri" w:cs="Calibri"/>
        </w:rPr>
        <w:t xml:space="preserve"> Equally, the concept of EOLCP can be foreign to some ED groups, as one Canadian study exploring the perspectives of South Asian community perspectives highlights. Here EOLCP was often associated with other end-of- life issues such as organ donation and estate planning.</w:t>
      </w:r>
      <w:r w:rsidRPr="000F7E56">
        <w:rPr>
          <w:rFonts w:ascii="Calibri" w:eastAsia="SimSun" w:hAnsi="Calibri" w:cs="Calibri"/>
        </w:rPr>
        <w:fldChar w:fldCharType="begin"/>
      </w:r>
      <w:r w:rsidR="000D5597">
        <w:rPr>
          <w:rFonts w:ascii="Calibri" w:eastAsia="SimSun" w:hAnsi="Calibri" w:cs="Calibri"/>
        </w:rPr>
        <w:instrText xml:space="preserve"> ADDIN ZOTERO_ITEM CSL_CITATION {"citationID":"UTuo1GlF","properties":{"formattedCitation":"\\super 63\\nosupersub{}","plainCitation":"63","noteIndex":0},"citationItems":[{"id":1706,"uris":["http://zotero.org/users/8748280/items/YYIASRGU"],"itemData":{"id":1706,"type":"article-journal","abstract":"BACKGROUND: Advance care planning (ACP) is a process of reflection on and communication of a person's future health-care preferences. Evidence suggests visible minorities engage less in ACP. The South Asian ethnic group is the largest visible minority group in Canada, and information is needed to understand how ACP is perceived and how best to approach ACP within this diverse community.\nOBJECTIVE: To explore perspectives of South Asian community members towards ACP.\nDESIGN: Peer-to-peer inquiry. South Asian community members who graduated from the Patient and Community Engagement Research programme (PaCER) at the University of Calgary utilized the PaCER method (SET, COLLECT and REFLECT) to conduct a focus group, family interviews and a community forum.\nSETTING AND PARTICIPANTS: Fifty-seven community-dwelling men and women (22-86 years) who self-identified with the South Asian community in Calgary, Alberta, Canada.\nRESULTS: The concept of ACP was mostly foreign to this community and was often associated with other end-of-life issues such as organ donation and estate planning. Cultural aspects (e.g. trust in shared family decision making and taboos related to discussing death), religious beliefs (e.g. fatalism) and immigration challenges (e.g. essential priorities) emerged as barriers to participation in ACP. However, participants were eager to learn about ACP and recommended several engagement strategies (e.g. disseminate information through religious institutions and community centres, include families in ACP discussions, encourage family physicians to initiate discussions and translate materials).\nCONCLUSIONS: Use of a patient engagement research model proved highly successful in understanding South Asian community members' participation in ACP.","container-title":"Health Expectations: An International Journal of Public Participation in Health Care and Health Policy","DOI":"10.1111/hex.12531","ISSN":"1369-7625","issue":"5","journalAbbreviation":"Health Expect","language":"eng","note":"PMID: 28294479\nPMCID: PMC5600224","page":"911-919","source":"PubMed","title":"Understanding advance care planning within the South Asian community","volume":"20","author":[{"family":"Biondo","given":"Patricia D."},{"family":"Kalia","given":"Rashika"},{"family":"Khan","given":"Rooh-Afza"},{"family":"Asghar","given":"Nadia"},{"family":"Banerjee","given":"Cyrene"},{"family":"Boulton","given":"Debbie"},{"family":"Marlett","given":"Nancy"},{"family":"Shklarov","given":"Svetlana"},{"family":"Simon","given":"Jessica E."}],"issued":{"date-parts":[["2017",10]]}}}],"schema":"https://github.com/citation-style-language/schema/raw/master/csl-citation.json"} </w:instrText>
      </w:r>
      <w:r w:rsidRPr="000F7E56">
        <w:rPr>
          <w:rFonts w:ascii="Calibri" w:eastAsia="SimSun" w:hAnsi="Calibri" w:cs="Calibri"/>
        </w:rPr>
        <w:fldChar w:fldCharType="separate"/>
      </w:r>
      <w:r w:rsidR="00496C3B" w:rsidRPr="00496C3B">
        <w:rPr>
          <w:rFonts w:ascii="Calibri" w:hAnsi="Calibri" w:cs="Calibri"/>
          <w:szCs w:val="24"/>
          <w:vertAlign w:val="superscript"/>
        </w:rPr>
        <w:t>63</w:t>
      </w:r>
      <w:r w:rsidRPr="000F7E56">
        <w:rPr>
          <w:rFonts w:ascii="Calibri" w:eastAsia="SimSun" w:hAnsi="Calibri" w:cs="Calibri"/>
        </w:rPr>
        <w:fldChar w:fldCharType="end"/>
      </w:r>
    </w:p>
    <w:p w14:paraId="4B8DE149" w14:textId="3FD5B4C2" w:rsidR="000F7E56" w:rsidRPr="000F7E56" w:rsidRDefault="000F7E56" w:rsidP="000F7E56">
      <w:pPr>
        <w:spacing w:after="120" w:line="360" w:lineRule="auto"/>
        <w:rPr>
          <w:rFonts w:ascii="Calibri" w:eastAsia="SimSun" w:hAnsi="Calibri" w:cs="Calibri"/>
        </w:rPr>
      </w:pPr>
      <w:r w:rsidRPr="000F7E56">
        <w:rPr>
          <w:rFonts w:ascii="Calibri" w:eastAsia="SimSun" w:hAnsi="Calibri" w:cs="Calibri"/>
        </w:rPr>
        <w:t>Many migrant communities have experience of health care systems that are limited and require payments.  Understanding of the NHS, hospice services and care homes may be limited and has considerable potential for misperceptions.</w:t>
      </w:r>
      <w:r w:rsidRPr="000F7E56">
        <w:rPr>
          <w:rFonts w:ascii="Calibri" w:eastAsia="SimSun" w:hAnsi="Calibri" w:cs="Calibri"/>
        </w:rPr>
        <w:fldChar w:fldCharType="begin"/>
      </w:r>
      <w:r w:rsidR="000D5597">
        <w:rPr>
          <w:rFonts w:ascii="Calibri" w:eastAsia="SimSun" w:hAnsi="Calibri" w:cs="Calibri"/>
        </w:rPr>
        <w:instrText xml:space="preserve"> ADDIN ZOTERO_ITEM CSL_CITATION {"citationID":"PBcTefB1","properties":{"formattedCitation":"\\super 25,64\\nosupersub{}","plainCitation":"25,64","noteIndex":0},"citationItems":[{"id":"aZbwIlcN/vqPrqkfi","uris":["http://zotero.org/users/6587080/items/E73EUZV4"],"itemData":{"id":"rsBVdXjp/xQAPl8lj","type":"report","language":"en","page":"79","publisher":"King’s College London, Cicely Saunders Institute","source":"Zotero","title":"Palliative and end of life for Black, Asian and Minority Ethnic groups in the UK","author":[{"family":"Calanzani","given":"Natalia"},{"family":"Koffman","given":"Dr Jonathan"},{"family":"Higginson","given":"Irene J."}],"issued":{"date-parts":[["2013",6]]}}},{"id":134,"uris":["http://zotero.org/users/8748280/items/I8TN6BEQ"],"itemData":{"id":134,"type":"article-journal","abstract":"In the UK, Black and Asian Minority Ethnic (BAME) patients are less likely to access palliative care services than their White counterparts. An increasingly diverse population makes this a cause for concern. This paper describes a project in Leicester to discover what members of the BAME communities knew about palliative care and the providers of hospice services; what they thought the barriers were to their use of these services; and how they would like to ﬁnd out about them.","container-title":"Diversity &amp; Equality in Health and Care","DOI":"10.21767/2049-5471.100016","ISSN":"20495471","issue":"03","language":"en","source":"Crossref","title":"I never knew that! Why do people from Black and Asian Minority Ethnic groups in Leicester access hospice services less than other groups? A discussion with community groups","title-short":"I never knew that! Why do people from Black and Asian Minority Ethnic groups in Leicester access hospice services less than other groups?","URL":"http://diversityhealthcare.imedpub.com/i-never-knew-that-why-do-people-from-black-and-asian-minority-ethnic-groups-in-leicester-access-hospice-services-less-than-other-groups-a-discussion-with-community-groups.pdf","volume":"11","author":[{"family":"Markham","given":"Sheila"}],"accessed":{"date-parts":[["2019",2,1]]},"issued":{"date-parts":[["2014"]]}}}],"schema":"https://github.com/citation-style-language/schema/raw/master/csl-citation.json"} </w:instrText>
      </w:r>
      <w:r w:rsidRPr="000F7E56">
        <w:rPr>
          <w:rFonts w:ascii="Calibri" w:eastAsia="SimSun" w:hAnsi="Calibri" w:cs="Calibri"/>
        </w:rPr>
        <w:fldChar w:fldCharType="separate"/>
      </w:r>
      <w:r w:rsidR="00496C3B" w:rsidRPr="00496C3B">
        <w:rPr>
          <w:rFonts w:ascii="Calibri" w:hAnsi="Calibri" w:cs="Calibri"/>
          <w:szCs w:val="24"/>
          <w:vertAlign w:val="superscript"/>
        </w:rPr>
        <w:t>25,64</w:t>
      </w:r>
      <w:r w:rsidRPr="000F7E56">
        <w:rPr>
          <w:rFonts w:ascii="Calibri" w:eastAsia="SimSun" w:hAnsi="Calibri" w:cs="Calibri"/>
        </w:rPr>
        <w:fldChar w:fldCharType="end"/>
      </w:r>
      <w:r w:rsidRPr="000F7E56">
        <w:rPr>
          <w:rFonts w:ascii="Calibri" w:eastAsia="SimSun" w:hAnsi="Calibri" w:cs="Calibri"/>
        </w:rPr>
        <w:t xml:space="preserve"> For example, both UK and international studies  highlight that among the Chinese community, lack of knowledge and exposure to palliative services from their ‘home’ country is attributed to </w:t>
      </w:r>
      <w:r w:rsidRPr="000F7E56">
        <w:rPr>
          <w:rFonts w:ascii="Calibri" w:eastAsia="SimSun" w:hAnsi="Calibri" w:cs="Calibri"/>
        </w:rPr>
        <w:lastRenderedPageBreak/>
        <w:t>struggles in understanding the concept of palliative care services in their ‘host’ country.</w:t>
      </w:r>
      <w:r w:rsidRPr="000F7E56">
        <w:rPr>
          <w:rFonts w:ascii="Calibri" w:eastAsia="SimSun" w:hAnsi="Calibri" w:cs="Calibri"/>
        </w:rPr>
        <w:fldChar w:fldCharType="begin"/>
      </w:r>
      <w:r w:rsidR="000D5597">
        <w:rPr>
          <w:rFonts w:ascii="Calibri" w:eastAsia="SimSun" w:hAnsi="Calibri" w:cs="Calibri"/>
        </w:rPr>
        <w:instrText xml:space="preserve"> ADDIN ZOTERO_ITEM CSL_CITATION {"citationID":"KRpGedJd","properties":{"formattedCitation":"\\super 52\\uc0\\u8211{}54\\nosupersub{}","plainCitation":"52–54","noteIndex":0},"citationItems":[{"id":"aZbwIlcN/uy5GyAUr","uris":["http://zotero.org/users/6587080/items/BWFNFKG3"],"itemData":{"id":2177,"type":"webpage","title":"Patient-Centered Care or Cultural Competence: Negotiating Palliative Care at Home for Chinese Canadian Immigrants - Lisa Seto Nielsen, Jan E. Angus, Doris Howell, Amna Husain, Denise Gastaldo, 2015","URL":"https://journals.sagepub.com/doi/abs/10.1177/1049909114527338","author":[{"family":"Nielsen","given":"Lisa Seto"},{"family":"Jan E. Angus","given":""},{"family":"Doris Howell","given":""}],"accessed":{"date-parts":[["2021",2,22]]},"issued":{"date-parts":[["2015"]]}}},{"id":"aZbwIlcN/4dn5h9gH","uris":["http://zotero.org/users/6587080/items/LKFZNIUA"],"itemData":{"id":2173,"type":"webpage","abstract":"Explore millions of resources from scholarly journals, books, newspapers, videos and more, on the ProQuest Platform.","language":"en","title":"Exploring traditional end-of-life beliefs, values, expectations, and practices among Chinese women living in England: Informing culturally safe care","title-short":"Exploring traditional end-of-life beliefs, values, expectations, and practices among Chinese women living in England","URL":"https://search.proquest.com/openview/f96db384f6cb087a945f242c7f06c37d/1?pq-origsite=gscholar&amp;cbl=39238","author":[{"family":"Fang","given":"","suffix":"Mei Lan"},{"family":"Malcoe, Lorraine Halinka;","given":""},{"family":"Sixsmith, Judith; Wong, Louise Yuen Ming; Callender, Matthew.","given":""}],"accessed":{"date-parts":[["2021",2,22]]},"issued":{"date-parts":[["2015"]]}}},{"id":"aZbwIlcN/2HLCSWUT","uris":["http://zotero.org/users/6587080/items/TME9CVU7"],"itemData":{"id":2179,"type":"webpage","title":"Perspectives of Asians living in Texas on pain management in the last days of life | International Journal of Palliative Nursing","URL":"https://www.magonlinelibrary.com/doi/abs/10.12968/ijpn.2015.21.1.24","author":[{"family":"Duke,","given":"Gloria"},{"family":"Petersen","given":"Sandra"}],"accessed":{"date-parts":[["2021",2,22]]},"issued":{"date-parts":[["2015"]]}}}],"schema":"https://github.com/citation-style-language/schema/raw/master/csl-citation.json"} </w:instrText>
      </w:r>
      <w:r w:rsidRPr="000F7E56">
        <w:rPr>
          <w:rFonts w:ascii="Calibri" w:eastAsia="SimSun" w:hAnsi="Calibri" w:cs="Calibri"/>
        </w:rPr>
        <w:fldChar w:fldCharType="separate"/>
      </w:r>
      <w:r w:rsidR="00496C3B" w:rsidRPr="00496C3B">
        <w:rPr>
          <w:rFonts w:ascii="Calibri" w:hAnsi="Calibri" w:cs="Calibri"/>
          <w:szCs w:val="24"/>
          <w:vertAlign w:val="superscript"/>
        </w:rPr>
        <w:t>52–54</w:t>
      </w:r>
      <w:r w:rsidRPr="000F7E56">
        <w:rPr>
          <w:rFonts w:ascii="Calibri" w:eastAsia="SimSun" w:hAnsi="Calibri" w:cs="Calibri"/>
        </w:rPr>
        <w:fldChar w:fldCharType="end"/>
      </w:r>
      <w:r w:rsidRPr="000F7E56">
        <w:rPr>
          <w:rFonts w:ascii="Calibri" w:eastAsia="SimSun" w:hAnsi="Calibri" w:cs="Calibri"/>
        </w:rPr>
        <w:t xml:space="preserve"> For some, palliative care services never existed in their country of origin (at least by the time they migrated) and this influences their uptake for this kind of service</w:t>
      </w:r>
      <w:r w:rsidRPr="000F7E56">
        <w:t xml:space="preserve"> </w:t>
      </w:r>
      <w:r w:rsidRPr="000F7E56">
        <w:rPr>
          <w:rFonts w:ascii="Calibri" w:eastAsia="SimSun" w:hAnsi="Calibri" w:cs="Calibri"/>
        </w:rPr>
        <w:t>in their new place of residence.</w:t>
      </w:r>
      <w:r w:rsidRPr="000F7E56">
        <w:rPr>
          <w:rFonts w:ascii="Calibri" w:eastAsia="SimSun" w:hAnsi="Calibri" w:cs="Calibri"/>
        </w:rPr>
        <w:fldChar w:fldCharType="begin"/>
      </w:r>
      <w:r w:rsidR="000D5597">
        <w:rPr>
          <w:rFonts w:ascii="Calibri" w:eastAsia="SimSun" w:hAnsi="Calibri" w:cs="Calibri"/>
        </w:rPr>
        <w:instrText xml:space="preserve"> ADDIN ZOTERO_ITEM CSL_CITATION {"citationID":"fhwSqGER","properties":{"formattedCitation":"\\super 52\\nosupersub{}","plainCitation":"52","noteIndex":0},"citationItems":[{"id":"aZbwIlcN/uy5GyAUr","uris":["http://zotero.org/users/6587080/items/BWFNFKG3"],"itemData":{"id":2177,"type":"webpage","title":"Patient-Centered Care or Cultural Competence: Negotiating Palliative Care at Home for Chinese Canadian Immigrants - Lisa Seto Nielsen, Jan E. Angus, Doris Howell, Amna Husain, Denise Gastaldo, 2015","URL":"https://journals.sagepub.com/doi/abs/10.1177/1049909114527338","author":[{"family":"Nielsen","given":"Lisa Seto"},{"family":"Jan E. Angus","given":""},{"family":"Doris Howell","given":""}],"accessed":{"date-parts":[["2021",2,22]]},"issued":{"date-parts":[["2015"]]}}}],"schema":"https://github.com/citation-style-language/schema/raw/master/csl-citation.json"} </w:instrText>
      </w:r>
      <w:r w:rsidRPr="000F7E56">
        <w:rPr>
          <w:rFonts w:ascii="Calibri" w:eastAsia="SimSun" w:hAnsi="Calibri" w:cs="Calibri"/>
        </w:rPr>
        <w:fldChar w:fldCharType="separate"/>
      </w:r>
      <w:r w:rsidR="00496C3B" w:rsidRPr="00496C3B">
        <w:rPr>
          <w:rFonts w:ascii="Calibri" w:hAnsi="Calibri" w:cs="Calibri"/>
          <w:szCs w:val="24"/>
          <w:vertAlign w:val="superscript"/>
        </w:rPr>
        <w:t>52</w:t>
      </w:r>
      <w:r w:rsidRPr="000F7E56">
        <w:rPr>
          <w:rFonts w:ascii="Calibri" w:eastAsia="SimSun" w:hAnsi="Calibri" w:cs="Calibri"/>
        </w:rPr>
        <w:fldChar w:fldCharType="end"/>
      </w:r>
      <w:r w:rsidRPr="000F7E56">
        <w:rPr>
          <w:rFonts w:ascii="Calibri" w:eastAsia="SimSun" w:hAnsi="Calibri" w:cs="Calibri"/>
        </w:rPr>
        <w:t xml:space="preserve"> Additionally, many are not clear about what palliative care services offer regarding pain control and misunderstanding and misconceptions of the effects of drugs to manage pain results in fear of developing opioid addiction.</w:t>
      </w:r>
      <w:r w:rsidRPr="000F7E56">
        <w:rPr>
          <w:rFonts w:ascii="Calibri" w:eastAsia="SimSun" w:hAnsi="Calibri" w:cs="Calibri"/>
        </w:rPr>
        <w:fldChar w:fldCharType="begin"/>
      </w:r>
      <w:r w:rsidR="000D5597">
        <w:rPr>
          <w:rFonts w:ascii="Calibri" w:eastAsia="SimSun" w:hAnsi="Calibri" w:cs="Calibri"/>
        </w:rPr>
        <w:instrText xml:space="preserve"> ADDIN ZOTERO_ITEM CSL_CITATION {"citationID":"BGvE74cT","properties":{"formattedCitation":"\\super 54\\nosupersub{}","plainCitation":"54","noteIndex":0},"citationItems":[{"id":"aZbwIlcN/2HLCSWUT","uris":["http://zotero.org/users/6587080/items/TME9CVU7"],"itemData":{"id":2179,"type":"webpage","title":"Perspectives of Asians living in Texas on pain management in the last days of life | International Journal of Palliative Nursing","URL":"https://www.magonlinelibrary.com/doi/abs/10.12968/ijpn.2015.21.1.24","author":[{"family":"Duke,","given":"Gloria"},{"family":"Petersen","given":"Sandra"}],"accessed":{"date-parts":[["2021",2,22]]},"issued":{"date-parts":[["2015"]]}}}],"schema":"https://github.com/citation-style-language/schema/raw/master/csl-citation.json"} </w:instrText>
      </w:r>
      <w:r w:rsidRPr="000F7E56">
        <w:rPr>
          <w:rFonts w:ascii="Calibri" w:eastAsia="SimSun" w:hAnsi="Calibri" w:cs="Calibri"/>
        </w:rPr>
        <w:fldChar w:fldCharType="separate"/>
      </w:r>
      <w:r w:rsidR="00496C3B" w:rsidRPr="00496C3B">
        <w:rPr>
          <w:rFonts w:ascii="Calibri" w:hAnsi="Calibri" w:cs="Calibri"/>
          <w:szCs w:val="24"/>
          <w:vertAlign w:val="superscript"/>
        </w:rPr>
        <w:t>54</w:t>
      </w:r>
      <w:r w:rsidRPr="000F7E56">
        <w:rPr>
          <w:rFonts w:ascii="Calibri" w:eastAsia="SimSun" w:hAnsi="Calibri" w:cs="Calibri"/>
        </w:rPr>
        <w:fldChar w:fldCharType="end"/>
      </w:r>
      <w:r w:rsidRPr="000F7E56">
        <w:rPr>
          <w:rFonts w:ascii="Calibri" w:eastAsia="SimSun" w:hAnsi="Calibri" w:cs="Calibri"/>
        </w:rPr>
        <w:t xml:space="preserve"> It seems that immigrants who are able to speak English have a better understanding of palliative care and palliative care services than others, but even so may still be reluctant to use these services highlighting the role of other factors such as cultural, religious or personal beliefs which are further explored in the following section.</w:t>
      </w:r>
      <w:r w:rsidRPr="000F7E56">
        <w:rPr>
          <w:rFonts w:ascii="Calibri" w:eastAsia="SimSun" w:hAnsi="Calibri" w:cs="Calibri"/>
        </w:rPr>
        <w:fldChar w:fldCharType="begin"/>
      </w:r>
      <w:r w:rsidR="000D5597">
        <w:rPr>
          <w:rFonts w:ascii="Calibri" w:eastAsia="SimSun" w:hAnsi="Calibri" w:cs="Calibri"/>
        </w:rPr>
        <w:instrText xml:space="preserve"> ADDIN ZOTERO_ITEM CSL_CITATION {"citationID":"OJ3A8mbv","properties":{"formattedCitation":"\\super 44\\nosupersub{}","plainCitation":"44","noteIndex":0},"citationItems":[{"id":1541,"uris":["http://zotero.org/users/8748280/items/PT6UDE5K"],"itemData":{"id":1541,"type":"article-journal","abstract":"Background Evidence suggests that discussing resuscitation with patients and relatives from ethnic minority groups is problematic for healthcare professionals (HCPs), but there is limited evidence exploring these issues or offering guidance for HCPs in navigating these challenging discussions. This study explores the barriers and enablers to HCPs discussing deterioration and resuscitation decisions with patients and families from ethnic minority groups.\nResults Personal, cultural, religious/spiritual and health beliefs, emotions, and communication quality and skills were discussed. Participants described that the interaction between these factors as complex, impacting the way some patients and families responded to do not attempt cardiopulmonary resuscitation (DNACPR) orders and the particular challenges these pose.\nConclusion Key barriers and enablers for healthcare professionals discussing resuscitation with patients and families from Black, Asian and minority ethnic communities were identified. The findings highlight areas of improvement for training, both relating to DNACPR discussions and ‘cultural competence’.","container-title":"Future Healthcare Journal","DOI":"10.7861/fhj.2021-0012","ISSN":"2514-6645, 2514-6653","journalAbbreviation":"Future Healthc J","language":"en","page":"fhj.2021-0012","source":"DOI.org (Crossref)","title":"Thinking ahead in advanced illness: Exploring clinicians' perspectives on discussing resuscitation with patients and families from ethnic minority communities","title-short":"Thinking ahead in advanced illness","author":[{"family":"Islam","given":"Zoebia"},{"family":"Taylor","given":"Lucy"},{"family":"Faull","given":"Christina"}],"issued":{"date-parts":[["2021",8,23]]}}}],"schema":"https://github.com/citation-style-language/schema/raw/master/csl-citation.json"} </w:instrText>
      </w:r>
      <w:r w:rsidRPr="000F7E56">
        <w:rPr>
          <w:rFonts w:ascii="Calibri" w:eastAsia="SimSun" w:hAnsi="Calibri" w:cs="Calibri"/>
        </w:rPr>
        <w:fldChar w:fldCharType="separate"/>
      </w:r>
      <w:r w:rsidR="00496C3B" w:rsidRPr="00496C3B">
        <w:rPr>
          <w:rFonts w:ascii="Calibri" w:hAnsi="Calibri" w:cs="Calibri"/>
          <w:szCs w:val="24"/>
          <w:vertAlign w:val="superscript"/>
        </w:rPr>
        <w:t>44</w:t>
      </w:r>
      <w:r w:rsidRPr="000F7E56">
        <w:rPr>
          <w:rFonts w:ascii="Calibri" w:eastAsia="SimSun" w:hAnsi="Calibri" w:cs="Calibri"/>
        </w:rPr>
        <w:fldChar w:fldCharType="end"/>
      </w:r>
    </w:p>
    <w:p w14:paraId="5064DFB2" w14:textId="6256317C" w:rsidR="00531B6F" w:rsidRDefault="000F7E56" w:rsidP="000F7E56">
      <w:pPr>
        <w:spacing w:after="120" w:line="360" w:lineRule="auto"/>
        <w:rPr>
          <w:rFonts w:ascii="Calibri" w:eastAsia="SimSun" w:hAnsi="Calibri" w:cs="Calibri"/>
        </w:rPr>
      </w:pPr>
      <w:r w:rsidRPr="000F7E56">
        <w:rPr>
          <w:rFonts w:ascii="Calibri" w:eastAsia="SimSun" w:hAnsi="Calibri" w:cs="Calibri"/>
        </w:rPr>
        <w:t>In the UK, navigating the healthcare system for patients and families from ED communities is associated with level of health illiteracy characterised by lack of accessible information about illnesses and possible prognoses and available services.</w:t>
      </w:r>
      <w:r w:rsidRPr="000F7E56">
        <w:rPr>
          <w:rFonts w:ascii="Calibri" w:eastAsia="SimSun" w:hAnsi="Calibri" w:cs="Calibri"/>
        </w:rPr>
        <w:fldChar w:fldCharType="begin"/>
      </w:r>
      <w:r w:rsidR="000D5597">
        <w:rPr>
          <w:rFonts w:ascii="Calibri" w:eastAsia="SimSun" w:hAnsi="Calibri" w:cs="Calibri"/>
        </w:rPr>
        <w:instrText xml:space="preserve"> ADDIN ZOTERO_ITEM CSL_CITATION {"citationID":"QfAioldg","properties":{"formattedCitation":"\\super 65,66\\nosupersub{}","plainCitation":"65,66","noteIndex":0},"citationItems":[{"id":325,"uris":["http://zotero.org/users/8748280/items/WXUPWKFN"],"itemData":{"id":325,"type":"article-journal","abstract":"Older people from cultural and ethnic minorities have low access to palliative or end-of-life care and there is poor uptake of Advance Care Planning by this group across a number of countries where Advance Care Planning is promoted. For many, religiosity, spirituality and health literacy are significant factors that influence how they make end-of-life decisions. Health literacy issues have been identified as one of the main reasons for a communication gaps between physicians and their patients in discussing end-of-life care, where poor health literacy, particularly specific difficulty with written and oral communication often limits their understanding of clinical terms such as diagnoses and prognoses. This then contributes to health inequalities given it impacts on their ability to use their moral agency to make appropriate decisions about end-of-life care and complete their Advance Care Plans. Currently, strategies to promote Advance Care Planning seem to overlook engagement with religious communities. Consequently, policy makers, nurses, medical professions, social workers and even educators continue to shape Advance Care Planning programmes within the context of a medical model. The ethical principle of justice is a useful approach to responding to inequities; and to promote older peoples’ ability to enact moral agency in making such decisions.","container-title":"Nursing Ethics","DOI":"10.1177/0969733019833130","ISSN":"0969-7330, 1477-0989","issue":"7-8","journalAbbreviation":"Nurs Ethics","language":"en","page":"1946-1954","source":"DOI.org (Crossref)","title":"Advance care planning for older people: The influence of ethnicity, religiosity, spirituality and health literacy","title-short":"Advance care planning for older people","volume":"26","author":[{"family":"Vries","given":"Kay","non-dropping-particle":"de"},{"family":"Banister","given":"Elizabeth"},{"family":"Dening","given":"Karen Harrison"},{"family":"Ochieng","given":"Bertha"}],"issued":{"date-parts":[["2019",11]]}}},{"id":726,"uris":["http://zotero.org/users/8748280/items/L6NCKT6E"],"itemData":{"id":726,"type":"article-journal","language":"en","page":"24","source":"Zotero","title":"End of Life Practices and Palliative Care among Black and Minority Ethnic Groups (BME)","author":[{"family":"Smith","given":"Dr David"},{"family":"Moreno-Leguizamon","given":"Dr Carlos"},{"family":"Grohmann","given":"Dr Stephanie"}],"issued":{"date-parts":[["2015"]]}}}],"schema":"https://github.com/citation-style-language/schema/raw/master/csl-citation.json"} </w:instrText>
      </w:r>
      <w:r w:rsidRPr="000F7E56">
        <w:rPr>
          <w:rFonts w:ascii="Calibri" w:eastAsia="SimSun" w:hAnsi="Calibri" w:cs="Calibri"/>
        </w:rPr>
        <w:fldChar w:fldCharType="separate"/>
      </w:r>
      <w:r w:rsidR="00496C3B" w:rsidRPr="00496C3B">
        <w:rPr>
          <w:rFonts w:ascii="Calibri" w:hAnsi="Calibri" w:cs="Calibri"/>
          <w:szCs w:val="24"/>
          <w:vertAlign w:val="superscript"/>
        </w:rPr>
        <w:t>65,66</w:t>
      </w:r>
      <w:r w:rsidRPr="000F7E56">
        <w:rPr>
          <w:rFonts w:ascii="Calibri" w:eastAsia="SimSun" w:hAnsi="Calibri" w:cs="Calibri"/>
        </w:rPr>
        <w:fldChar w:fldCharType="end"/>
      </w:r>
      <w:r w:rsidRPr="000F7E56">
        <w:rPr>
          <w:rFonts w:ascii="Calibri" w:eastAsia="SimSun" w:hAnsi="Calibri" w:cs="Calibri"/>
        </w:rPr>
        <w:t xml:space="preserve"> Evidence mainly from the USA documents a disproportionate gap in knowledge about palliative care among minority older adult</w:t>
      </w:r>
      <w:r w:rsidR="00531B6F">
        <w:rPr>
          <w:rFonts w:ascii="Calibri" w:eastAsia="SimSun" w:hAnsi="Calibri" w:cs="Calibri"/>
        </w:rPr>
        <w:t>s.</w:t>
      </w:r>
    </w:p>
    <w:p w14:paraId="1D0894FF" w14:textId="48E6A287" w:rsidR="000F7E56" w:rsidRPr="000F7E56" w:rsidRDefault="000F7E56" w:rsidP="000F7E56">
      <w:pPr>
        <w:spacing w:after="120" w:line="360" w:lineRule="auto"/>
        <w:rPr>
          <w:rFonts w:ascii="Calibri" w:eastAsia="SimSun" w:hAnsi="Calibri" w:cs="Calibri"/>
        </w:rPr>
      </w:pPr>
    </w:p>
    <w:p w14:paraId="534F6E49" w14:textId="2946C8C1" w:rsidR="00531B6F" w:rsidRPr="000F7E56" w:rsidRDefault="000F7E56" w:rsidP="000F7E56">
      <w:pPr>
        <w:keepNext/>
        <w:keepLines/>
        <w:spacing w:before="120" w:after="0" w:line="360" w:lineRule="auto"/>
        <w:outlineLvl w:val="1"/>
        <w:rPr>
          <w:rFonts w:ascii="Calibri Light" w:eastAsia="SimSun" w:hAnsi="Calibri Light" w:cs="Calibri Light"/>
          <w:color w:val="2E74B5"/>
          <w:sz w:val="24"/>
          <w:szCs w:val="24"/>
        </w:rPr>
      </w:pPr>
      <w:bookmarkStart w:id="52" w:name="_Toc87279298"/>
      <w:bookmarkStart w:id="53" w:name="_Toc89665140"/>
      <w:bookmarkStart w:id="54" w:name="_Toc89671893"/>
      <w:bookmarkStart w:id="55" w:name="_Toc89763943"/>
      <w:bookmarkStart w:id="56" w:name="_Toc106697769"/>
      <w:r w:rsidRPr="000F7E56">
        <w:rPr>
          <w:rFonts w:ascii="Calibri Light" w:eastAsia="SimSun" w:hAnsi="Calibri Light" w:cs="Calibri Light"/>
          <w:color w:val="2E74B5"/>
          <w:sz w:val="24"/>
          <w:szCs w:val="24"/>
        </w:rPr>
        <w:t>Cultural mores and religious beliefs</w:t>
      </w:r>
      <w:bookmarkEnd w:id="52"/>
      <w:bookmarkEnd w:id="53"/>
      <w:bookmarkEnd w:id="54"/>
      <w:bookmarkEnd w:id="55"/>
      <w:bookmarkEnd w:id="56"/>
    </w:p>
    <w:p w14:paraId="1D290836" w14:textId="0493DCB2" w:rsidR="000F7E56" w:rsidRPr="000F7E56" w:rsidRDefault="000F7E56" w:rsidP="000F7E56">
      <w:pPr>
        <w:spacing w:after="120" w:line="360" w:lineRule="auto"/>
        <w:rPr>
          <w:rFonts w:ascii="Calibri" w:eastAsia="SimSun" w:hAnsi="Calibri" w:cs="Calibri"/>
        </w:rPr>
      </w:pPr>
      <w:r w:rsidRPr="000F7E56">
        <w:rPr>
          <w:rFonts w:cstheme="minorHAnsi"/>
        </w:rPr>
        <w:t xml:space="preserve">Research, predominantly from outside of the UK, provides some insights into some of the issues that relate to the nuances of how </w:t>
      </w:r>
      <w:proofErr w:type="spellStart"/>
      <w:r w:rsidRPr="000F7E56">
        <w:rPr>
          <w:rFonts w:cstheme="minorHAnsi"/>
        </w:rPr>
        <w:t>minoritised</w:t>
      </w:r>
      <w:proofErr w:type="spellEnd"/>
      <w:r w:rsidRPr="000F7E56">
        <w:rPr>
          <w:rFonts w:cstheme="minorHAnsi"/>
        </w:rPr>
        <w:t xml:space="preserve"> culture and religious beliefs may affect discussions, care and outcomes at the end-of-life. For example,</w:t>
      </w:r>
      <w:r w:rsidRPr="000F7E56">
        <w:rPr>
          <w:rFonts w:eastAsia="SimSun" w:cstheme="minorHAnsi"/>
        </w:rPr>
        <w:t xml:space="preserve"> among some African Americans spiritual and religious beliefs may conflict with the goals of palliative care, and they may mistrust  the health care system due to past injustices in research. </w:t>
      </w:r>
      <w:r w:rsidRPr="000F7E56">
        <w:rPr>
          <w:rFonts w:eastAsia="SimSun" w:cstheme="minorHAnsi"/>
        </w:rPr>
        <w:fldChar w:fldCharType="begin"/>
      </w:r>
      <w:r w:rsidR="000D5597">
        <w:rPr>
          <w:rFonts w:eastAsia="SimSun" w:cstheme="minorHAnsi"/>
        </w:rPr>
        <w:instrText xml:space="preserve"> ADDIN ZOTERO_ITEM CSL_CITATION {"citationID":"vA3QC0Gr","properties":{"formattedCitation":"\\super 67,68\\nosupersub{}","plainCitation":"67,68","noteIndex":0},"citationItems":[{"id":1723,"uris":["http://zotero.org/users/8748280/items/9T4WQLJ8"],"itemData":{"id":1723,"type":"article-journal","container-title":"Journal of the American Geriatrics Society","DOI":"10.1111/j.1532-5415.2005.53224.x","ISSN":"00028614, 15325415","issue":"4","language":"en","page":"711-719","source":"DOI.org (Crossref)","title":"The Influence of Spiritual Beliefs and Practices on the Treatment Preferences of African Americans: A Review of the Literature: SPIRITUALITY AND AFRICAN-AMERICAN CULTURE","title-short":"The Influence of Spiritual Beliefs and Practices on the Treatment Preferences of African Americans","volume":"53","author":[{"family":"Johnson","given":"Kimberly S."},{"family":"Elbert-Avila","given":"Katja I."},{"family":"Tulsky","given":"James A."}],"issued":{"date-parts":[["2005",4]]}},"label":"page"},{"id":1755,"uris":["http://zotero.org/users/8748280/items/8TJAVCYA"],"itemData":{"id":1755,"type":"article-journal","container-title":"Journal of Palliative Medicine","DOI":"10.1089/109662104322737269","ISSN":"1096-6218, 1557-7740","issue":"1","journalAbbreviation":"Journal of Palliative Medicine","language":"en","page":"63-71","source":"DOI.org (Crossref)","title":"Cultural Mistrust and Use of Hospice Care: Challenges and Remedies","title-short":"Cultural Mistrust and Use of Hospice Care","volume":"7","author":[{"family":"Cort","given":"Malcolm A."}],"issued":{"date-parts":[["2004",2]]}}}],"schema":"https://github.com/citation-style-language/schema/raw/master/csl-citation.json"} </w:instrText>
      </w:r>
      <w:r w:rsidRPr="000F7E56">
        <w:rPr>
          <w:rFonts w:eastAsia="SimSun" w:cstheme="minorHAnsi"/>
        </w:rPr>
        <w:fldChar w:fldCharType="separate"/>
      </w:r>
      <w:r w:rsidR="00496C3B" w:rsidRPr="00496C3B">
        <w:rPr>
          <w:rFonts w:ascii="Calibri" w:hAnsi="Calibri" w:cs="Calibri"/>
          <w:szCs w:val="24"/>
          <w:vertAlign w:val="superscript"/>
        </w:rPr>
        <w:t>67,68</w:t>
      </w:r>
      <w:r w:rsidRPr="000F7E56">
        <w:rPr>
          <w:rFonts w:eastAsia="SimSun" w:cstheme="minorHAnsi"/>
        </w:rPr>
        <w:fldChar w:fldCharType="end"/>
      </w:r>
      <w:r w:rsidRPr="000F7E56">
        <w:rPr>
          <w:rFonts w:eastAsia="SimSun" w:cstheme="minorHAnsi"/>
        </w:rPr>
        <w:t xml:space="preserve"> Cultural mores that may present a barrier to the use of palliative care include an apparent attitude of non-disclosure of terminal illness among some Asian and Hispanic patients in the US.</w:t>
      </w:r>
      <w:r w:rsidRPr="000F7E56">
        <w:rPr>
          <w:rFonts w:eastAsia="SimSun" w:cstheme="minorHAnsi"/>
        </w:rPr>
        <w:fldChar w:fldCharType="begin"/>
      </w:r>
      <w:r w:rsidR="000D5597">
        <w:rPr>
          <w:rFonts w:eastAsia="SimSun" w:cstheme="minorHAnsi"/>
        </w:rPr>
        <w:instrText xml:space="preserve"> ADDIN ZOTERO_ITEM CSL_CITATION {"citationID":"wW51H6cv","properties":{"formattedCitation":"\\super 69\\nosupersub{}","plainCitation":"69","noteIndex":0},"citationItems":[{"id":1727,"uris":["http://zotero.org/users/8748280/items/UQ4X3XXM"],"itemData":{"id":1727,"type":"article-journal","container-title":"The Gerontologist","DOI":"10.1093/geront/45.5.634","ISSN":"0016-9013, 1758-5341","issue":"5","journalAbbreviation":"The Gerontologist","language":"en","page":"634-641","source":"DOI.org (Crossref)","title":"Current Research Findings on End-of-Life Decision Making Among Racially or Ethnically Diverse Groups","volume":"45","author":[{"family":"Kwak","given":"J."},{"family":"Haley","given":"W. E."}],"issued":{"date-parts":[["2005",10,1]]}}}],"schema":"https://github.com/citation-style-language/schema/raw/master/csl-citation.json"} </w:instrText>
      </w:r>
      <w:r w:rsidRPr="000F7E56">
        <w:rPr>
          <w:rFonts w:eastAsia="SimSun" w:cstheme="minorHAnsi"/>
        </w:rPr>
        <w:fldChar w:fldCharType="separate"/>
      </w:r>
      <w:r w:rsidR="00496C3B" w:rsidRPr="00496C3B">
        <w:rPr>
          <w:rFonts w:ascii="Calibri" w:hAnsi="Calibri" w:cs="Calibri"/>
          <w:szCs w:val="24"/>
          <w:vertAlign w:val="superscript"/>
        </w:rPr>
        <w:t>69</w:t>
      </w:r>
      <w:r w:rsidRPr="000F7E56">
        <w:rPr>
          <w:rFonts w:eastAsia="SimSun" w:cstheme="minorHAnsi"/>
        </w:rPr>
        <w:fldChar w:fldCharType="end"/>
      </w:r>
      <w:r w:rsidRPr="000F7E56">
        <w:rPr>
          <w:rFonts w:eastAsia="SimSun" w:cstheme="minorHAnsi"/>
        </w:rPr>
        <w:t xml:space="preserve"> Cultural norms can significantly influence some South Asian’s perspectives of EOLCP, with some expressing the belief</w:t>
      </w:r>
      <w:r w:rsidRPr="000F7E56">
        <w:rPr>
          <w:rFonts w:ascii="Calibri" w:eastAsia="SimSun" w:hAnsi="Calibri" w:cs="Calibri"/>
        </w:rPr>
        <w:t xml:space="preserve"> that planning ahead is not necessary because of close family ties, pre-defined roles within the family and trust in shared decision-making within the family.</w:t>
      </w:r>
      <w:r w:rsidRPr="000F7E56">
        <w:rPr>
          <w:rFonts w:ascii="Calibri" w:eastAsia="SimSun" w:hAnsi="Calibri" w:cs="Calibri"/>
        </w:rPr>
        <w:fldChar w:fldCharType="begin"/>
      </w:r>
      <w:r w:rsidR="000D5597">
        <w:rPr>
          <w:rFonts w:ascii="Calibri" w:eastAsia="SimSun" w:hAnsi="Calibri" w:cs="Calibri"/>
        </w:rPr>
        <w:instrText xml:space="preserve"> ADDIN ZOTERO_ITEM CSL_CITATION {"citationID":"qCTycxcF","properties":{"formattedCitation":"\\super 63\\nosupersub{}","plainCitation":"63","noteIndex":0},"citationItems":[{"id":1706,"uris":["http://zotero.org/users/8748280/items/YYIASRGU"],"itemData":{"id":1706,"type":"article-journal","abstract":"BACKGROUND: Advance care planning (ACP) is a process of reflection on and communication of a person's future health-care preferences. Evidence suggests visible minorities engage less in ACP. The South Asian ethnic group is the largest visible minority group in Canada, and information is needed to understand how ACP is perceived and how best to approach ACP within this diverse community.\nOBJECTIVE: To explore perspectives of South Asian community members towards ACP.\nDESIGN: Peer-to-peer inquiry. South Asian community members who graduated from the Patient and Community Engagement Research programme (PaCER) at the University of Calgary utilized the PaCER method (SET, COLLECT and REFLECT) to conduct a focus group, family interviews and a community forum.\nSETTING AND PARTICIPANTS: Fifty-seven community-dwelling men and women (22-86 years) who self-identified with the South Asian community in Calgary, Alberta, Canada.\nRESULTS: The concept of ACP was mostly foreign to this community and was often associated with other end-of-life issues such as organ donation and estate planning. Cultural aspects (e.g. trust in shared family decision making and taboos related to discussing death), religious beliefs (e.g. fatalism) and immigration challenges (e.g. essential priorities) emerged as barriers to participation in ACP. However, participants were eager to learn about ACP and recommended several engagement strategies (e.g. disseminate information through religious institutions and community centres, include families in ACP discussions, encourage family physicians to initiate discussions and translate materials).\nCONCLUSIONS: Use of a patient engagement research model proved highly successful in understanding South Asian community members' participation in ACP.","container-title":"Health Expectations: An International Journal of Public Participation in Health Care and Health Policy","DOI":"10.1111/hex.12531","ISSN":"1369-7625","issue":"5","journalAbbreviation":"Health Expect","language":"eng","note":"PMID: 28294479\nPMCID: PMC5600224","page":"911-919","source":"PubMed","title":"Understanding advance care planning within the South Asian community","volume":"20","author":[{"family":"Biondo","given":"Patricia D."},{"family":"Kalia","given":"Rashika"},{"family":"Khan","given":"Rooh-Afza"},{"family":"Asghar","given":"Nadia"},{"family":"Banerjee","given":"Cyrene"},{"family":"Boulton","given":"Debbie"},{"family":"Marlett","given":"Nancy"},{"family":"Shklarov","given":"Svetlana"},{"family":"Simon","given":"Jessica E."}],"issued":{"date-parts":[["2017",10]]}}}],"schema":"https://github.com/citation-style-language/schema/raw/master/csl-citation.json"} </w:instrText>
      </w:r>
      <w:r w:rsidRPr="000F7E56">
        <w:rPr>
          <w:rFonts w:ascii="Calibri" w:eastAsia="SimSun" w:hAnsi="Calibri" w:cs="Calibri"/>
        </w:rPr>
        <w:fldChar w:fldCharType="separate"/>
      </w:r>
      <w:r w:rsidR="00496C3B" w:rsidRPr="00496C3B">
        <w:rPr>
          <w:rFonts w:ascii="Calibri" w:hAnsi="Calibri" w:cs="Calibri"/>
          <w:szCs w:val="24"/>
          <w:vertAlign w:val="superscript"/>
        </w:rPr>
        <w:t>63</w:t>
      </w:r>
      <w:r w:rsidRPr="000F7E56">
        <w:rPr>
          <w:rFonts w:ascii="Calibri" w:eastAsia="SimSun" w:hAnsi="Calibri" w:cs="Calibri"/>
        </w:rPr>
        <w:fldChar w:fldCharType="end"/>
      </w:r>
    </w:p>
    <w:p w14:paraId="4A2CC560" w14:textId="7B8DD1B8" w:rsidR="000F7E56" w:rsidRPr="000F7E56" w:rsidRDefault="000F7E56" w:rsidP="000F7E56">
      <w:pPr>
        <w:spacing w:after="120" w:line="360" w:lineRule="auto"/>
        <w:rPr>
          <w:rFonts w:ascii="Calibri" w:eastAsia="SimSun" w:hAnsi="Calibri" w:cs="Calibri"/>
        </w:rPr>
      </w:pPr>
      <w:r w:rsidRPr="000F7E56">
        <w:rPr>
          <w:rFonts w:ascii="Calibri" w:eastAsia="SimSun" w:hAnsi="Calibri" w:cs="Calibri"/>
        </w:rPr>
        <w:t>Other challenges among ED communities to  palliative care approach and anticipatory discussions about deterioration include, cultural ‘taboos’ and fears of harm believing that death was more likely to happen or possibly hastened, if openly acknowledged, verbalised or discussed and strongly held ways of living where only God knows the timing of death.</w:t>
      </w:r>
      <w:r w:rsidRPr="000F7E56">
        <w:rPr>
          <w:rFonts w:ascii="Calibri" w:eastAsia="SimSun" w:hAnsi="Calibri" w:cs="Calibri"/>
        </w:rPr>
        <w:fldChar w:fldCharType="begin"/>
      </w:r>
      <w:r w:rsidR="000D5597">
        <w:rPr>
          <w:rFonts w:ascii="Calibri" w:eastAsia="SimSun" w:hAnsi="Calibri" w:cs="Calibri"/>
        </w:rPr>
        <w:instrText xml:space="preserve"> ADDIN ZOTERO_ITEM CSL_CITATION {"citationID":"fWmjDQ6F","properties":{"formattedCitation":"\\super 63,70\\uc0\\u8211{}72\\nosupersub{}","plainCitation":"63,70–72","noteIndex":0},"citationItems":[{"id":1706,"uris":["http://zotero.org/users/8748280/items/YYIASRGU"],"itemData":{"id":1706,"type":"article-journal","abstract":"BACKGROUND: Advance care planning (ACP) is a process of reflection on and communication of a person's future health-care preferences. Evidence suggests visible minorities engage less in ACP. The South Asian ethnic group is the largest visible minority group in Canada, and information is needed to understand how ACP is perceived and how best to approach ACP within this diverse community.\nOBJECTIVE: To explore perspectives of South Asian community members towards ACP.\nDESIGN: Peer-to-peer inquiry. South Asian community members who graduated from the Patient and Community Engagement Research programme (PaCER) at the University of Calgary utilized the PaCER method (SET, COLLECT and REFLECT) to conduct a focus group, family interviews and a community forum.\nSETTING AND PARTICIPANTS: Fifty-seven community-dwelling men and women (22-86 years) who self-identified with the South Asian community in Calgary, Alberta, Canada.\nRESULTS: The concept of ACP was mostly foreign to this community and was often associated with other end-of-life issues such as organ donation and estate planning. Cultural aspects (e.g. trust in shared family decision making and taboos related to discussing death), religious beliefs (e.g. fatalism) and immigration challenges (e.g. essential priorities) emerged as barriers to participation in ACP. However, participants were eager to learn about ACP and recommended several engagement strategies (e.g. disseminate information through religious institutions and community centres, include families in ACP discussions, encourage family physicians to initiate discussions and translate materials).\nCONCLUSIONS: Use of a patient engagement research model proved highly successful in understanding South Asian community members' participation in ACP.","container-title":"Health Expectations: An International Journal of Public Participation in Health Care and Health Policy","DOI":"10.1111/hex.12531","ISSN":"1369-7625","issue":"5","journalAbbreviation":"Health Expect","language":"eng","note":"PMID: 28294479\nPMCID: PMC5600224","page":"911-919","source":"PubMed","title":"Understanding advance care planning within the South Asian community","volume":"20","author":[{"family":"Biondo","given":"Patricia D."},{"family":"Kalia","given":"Rashika"},{"family":"Khan","given":"Rooh-Afza"},{"family":"Asghar","given":"Nadia"},{"family":"Banerjee","given":"Cyrene"},{"family":"Boulton","given":"Debbie"},{"family":"Marlett","given":"Nancy"},{"family":"Shklarov","given":"Svetlana"},{"family":"Simon","given":"Jessica E."}],"issued":{"date-parts":[["2017",10]]}}},{"id":"aZbwIlcN/oKMEmZw4","uris":["http://zotero.org/users/6587080/items/WNKHJVXQ"],"itemData":{"id":2387,"type":"webpage","title":"A bridge between cultures: interpreters’ perspectives of consultations with migrant oncology patients | SpringerLink","URL":"https://link.springer.com/article/10.1007/s00520-010-1046-z","author":[{"family":"Butow","given":"Phyllis N."},{"family":"Elizabeth Lobb,","given":""},{"family":"Michael Jefford,","given":""},{"family":"David Goldstein, Maurice Eisenbruch, Afaf Girgis, Madeleine King, Ming Sze, Lynley Aldridge &amp; Penelope Schofield","given":""}],"accessed":{"date-parts":[["2021",3,11]]},"issued":{"date-parts":[["2012"]]}}},{"id":1703,"uris":["http://zotero.org/users/8748280/items/489U63IF"],"itemData":{"id":1703,"type":"article-journal","container-title":"The Journal of IMA","DOI":"10.5915/43-3-8602","ISSN":"0899-8299","issue":"3","journalAbbreviation":"J IMA","note":"PMID: 23610497\nPMCID: PMC3516109","page":"134-139","source":"PubMed Central","title":"Muslim Attitudes towards End-of-Life Decisions","volume":"43","author":[{"family":"Badawi","given":"Gamal"}],"issued":{"date-parts":[["2011",12]]}}},{"id":1754,"uris":["http://zotero.org/users/8748280/items/A2J52N9I"],"itemData":{"id":1754,"type":"report","page":"2-24","publisher":"Woolf Institute","title":"Advance  care  planning   and  Muslim  communities A report commissioned by   Compassion in Dying as part of   the  My Life, My Decision  programme","URL":"http://www. faithaction.net/portal/wp-content/uploads/cidplanning-muslim-1.pdf","author":[{"family":"Ahmed","given":"Sughra"},{"family":"Siddiqi, Naved","given":""}],"issued":{"date-parts":[["2016",10]]}}}],"schema":"https://github.com/citation-style-language/schema/raw/master/csl-citation.json"} </w:instrText>
      </w:r>
      <w:r w:rsidRPr="000F7E56">
        <w:rPr>
          <w:rFonts w:ascii="Calibri" w:eastAsia="SimSun" w:hAnsi="Calibri" w:cs="Calibri"/>
        </w:rPr>
        <w:fldChar w:fldCharType="separate"/>
      </w:r>
      <w:r w:rsidR="00496C3B" w:rsidRPr="00496C3B">
        <w:rPr>
          <w:rFonts w:ascii="Calibri" w:hAnsi="Calibri" w:cs="Calibri"/>
          <w:szCs w:val="24"/>
          <w:vertAlign w:val="superscript"/>
        </w:rPr>
        <w:t>63,70–72</w:t>
      </w:r>
      <w:r w:rsidRPr="000F7E56">
        <w:rPr>
          <w:rFonts w:ascii="Calibri" w:eastAsia="SimSun" w:hAnsi="Calibri" w:cs="Calibri"/>
        </w:rPr>
        <w:fldChar w:fldCharType="end"/>
      </w:r>
      <w:r w:rsidRPr="000F7E56">
        <w:rPr>
          <w:rFonts w:ascii="Calibri" w:eastAsia="SimSun" w:hAnsi="Calibri" w:cs="Calibri"/>
        </w:rPr>
        <w:t xml:space="preserve"> In such cultural and religious contexts there is a strong desire to remain hopeful and consequently avoid discussing subjects such as cancer and end-of-life. People may avoid talking about the prospect of dying as they are viewed as not only demoralising but also inappropriate, upsetting and harmful.</w:t>
      </w:r>
      <w:r w:rsidRPr="000F7E56">
        <w:rPr>
          <w:rFonts w:ascii="Calibri" w:eastAsia="SimSun" w:hAnsi="Calibri" w:cs="Calibri"/>
        </w:rPr>
        <w:fldChar w:fldCharType="begin"/>
      </w:r>
      <w:r w:rsidR="000D5597">
        <w:rPr>
          <w:rFonts w:ascii="Calibri" w:eastAsia="SimSun" w:hAnsi="Calibri" w:cs="Calibri"/>
        </w:rPr>
        <w:instrText xml:space="preserve"> ADDIN ZOTERO_ITEM CSL_CITATION {"citationID":"Bi6okvBW","properties":{"formattedCitation":"\\super 51,63\\nosupersub{}","plainCitation":"51,63","noteIndex":0},"citationItems":[{"id":"aZbwIlcN/7Gg7eUHN","uris":["http://zotero.org/users/6587080/items/AT6SBLR9"],"itemData":{"id":458,"type":"article-journal","container-title":"BMC palliative care","issue":"1","page":"90","source":"Google Scholar","title":"“It doesn’t exist…”: negotiating palliative care from a culturally and linguistically diverse patient and caregiver perspective","title-short":"“It doesn’t exist…”","volume":"17","author":[{"family":"Kirby","given":"Emma"},{"family":"Lwin","given":"Zarnie"},{"family":"Kenny","given":"Katherine"},{"family":"Broom","given":"Alex"},{"family":"Birman","given":"Holi"},{"family":"Good","given":"Phillip"}],"issued":{"date-parts":[["2018"]]}}},{"id":1706,"uris":["http://zotero.org/users/8748280/items/YYIASRGU"],"itemData":{"id":1706,"type":"article-journal","abstract":"BACKGROUND: Advance care planning (ACP) is a process of reflection on and communication of a person's future health-care preferences. Evidence suggests visible minorities engage less in ACP. The South Asian ethnic group is the largest visible minority group in Canada, and information is needed to understand how ACP is perceived and how best to approach ACP within this diverse community.\nOBJECTIVE: To explore perspectives of South Asian community members towards ACP.\nDESIGN: Peer-to-peer inquiry. South Asian community members who graduated from the Patient and Community Engagement Research programme (PaCER) at the University of Calgary utilized the PaCER method (SET, COLLECT and REFLECT) to conduct a focus group, family interviews and a community forum.\nSETTING AND PARTICIPANTS: Fifty-seven community-dwelling men and women (22-86 years) who self-identified with the South Asian community in Calgary, Alberta, Canada.\nRESULTS: The concept of ACP was mostly foreign to this community and was often associated with other end-of-life issues such as organ donation and estate planning. Cultural aspects (e.g. trust in shared family decision making and taboos related to discussing death), religious beliefs (e.g. fatalism) and immigration challenges (e.g. essential priorities) emerged as barriers to participation in ACP. However, participants were eager to learn about ACP and recommended several engagement strategies (e.g. disseminate information through religious institutions and community centres, include families in ACP discussions, encourage family physicians to initiate discussions and translate materials).\nCONCLUSIONS: Use of a patient engagement research model proved highly successful in understanding South Asian community members' participation in ACP.","container-title":"Health Expectations: An International Journal of Public Participation in Health Care and Health Policy","DOI":"10.1111/hex.12531","ISSN":"1369-7625","issue":"5","journalAbbreviation":"Health Expect","language":"eng","note":"PMID: 28294479\nPMCID: PMC5600224","page":"911-919","source":"PubMed","title":"Understanding advance care planning within the South Asian community","volume":"20","author":[{"family":"Biondo","given":"Patricia D."},{"family":"Kalia","given":"Rashika"},{"family":"Khan","given":"Rooh-Afza"},{"family":"Asghar","given":"Nadia"},{"family":"Banerjee","given":"Cyrene"},{"family":"Boulton","given":"Debbie"},{"family":"Marlett","given":"Nancy"},{"family":"Shklarov","given":"Svetlana"},{"family":"Simon","given":"Jessica E."}],"issued":{"date-parts":[["2017",10]]}}}],"schema":"https://github.com/citation-style-language/schema/raw/master/csl-citation.json"} </w:instrText>
      </w:r>
      <w:r w:rsidRPr="000F7E56">
        <w:rPr>
          <w:rFonts w:ascii="Calibri" w:eastAsia="SimSun" w:hAnsi="Calibri" w:cs="Calibri"/>
        </w:rPr>
        <w:fldChar w:fldCharType="separate"/>
      </w:r>
      <w:r w:rsidR="00496C3B" w:rsidRPr="00496C3B">
        <w:rPr>
          <w:rFonts w:ascii="Calibri" w:hAnsi="Calibri" w:cs="Calibri"/>
          <w:szCs w:val="24"/>
          <w:vertAlign w:val="superscript"/>
        </w:rPr>
        <w:t>51,63</w:t>
      </w:r>
      <w:r w:rsidRPr="000F7E56">
        <w:rPr>
          <w:rFonts w:ascii="Calibri" w:eastAsia="SimSun" w:hAnsi="Calibri" w:cs="Calibri"/>
        </w:rPr>
        <w:fldChar w:fldCharType="end"/>
      </w:r>
    </w:p>
    <w:p w14:paraId="329CD1D6" w14:textId="0DFD5446" w:rsidR="000F7E56" w:rsidRPr="000F7E56" w:rsidRDefault="000F7E56" w:rsidP="000F7E56">
      <w:pPr>
        <w:spacing w:after="120" w:line="360" w:lineRule="auto"/>
        <w:rPr>
          <w:rFonts w:ascii="Calibri" w:eastAsia="SimSun" w:hAnsi="Calibri" w:cs="Calibri"/>
        </w:rPr>
      </w:pPr>
      <w:r w:rsidRPr="000F7E56">
        <w:rPr>
          <w:rFonts w:ascii="Calibri" w:eastAsia="SimSun" w:hAnsi="Calibri" w:cs="Calibri"/>
        </w:rPr>
        <w:t xml:space="preserve">While striving to remain hopeful is not exclusive to families from </w:t>
      </w:r>
      <w:proofErr w:type="spellStart"/>
      <w:r w:rsidRPr="000F7E56">
        <w:rPr>
          <w:rFonts w:ascii="Calibri" w:eastAsia="SimSun" w:hAnsi="Calibri" w:cs="Calibri"/>
        </w:rPr>
        <w:t>minoritised</w:t>
      </w:r>
      <w:proofErr w:type="spellEnd"/>
      <w:r w:rsidRPr="000F7E56">
        <w:rPr>
          <w:rFonts w:ascii="Calibri" w:eastAsia="SimSun" w:hAnsi="Calibri" w:cs="Calibri"/>
        </w:rPr>
        <w:t xml:space="preserve"> ethnic communities there is undeniably a complex interplay between culture, religion and care in the everyday experience of  HCPs in </w:t>
      </w:r>
      <w:r w:rsidRPr="000F7E56">
        <w:rPr>
          <w:rFonts w:ascii="Calibri" w:eastAsia="SimSun" w:hAnsi="Calibri" w:cs="Calibri"/>
        </w:rPr>
        <w:lastRenderedPageBreak/>
        <w:t>the transition from active treatment to a  palliative approach when dealing with patients and families from ED communities.</w:t>
      </w:r>
      <w:r w:rsidRPr="000F7E56">
        <w:rPr>
          <w:rFonts w:ascii="Calibri" w:eastAsia="SimSun" w:hAnsi="Calibri" w:cs="Calibri"/>
        </w:rPr>
        <w:fldChar w:fldCharType="begin"/>
      </w:r>
      <w:r w:rsidR="000D5597">
        <w:rPr>
          <w:rFonts w:ascii="Calibri" w:eastAsia="SimSun" w:hAnsi="Calibri" w:cs="Calibri"/>
        </w:rPr>
        <w:instrText xml:space="preserve"> ADDIN ZOTERO_ITEM CSL_CITATION {"citationID":"Qj4W7ekb","properties":{"formattedCitation":"\\super 51,73\\nosupersub{}","plainCitation":"51,73","noteIndex":0},"citationItems":[{"id":"aZbwIlcN/7Gg7eUHN","uris":["http://zotero.org/users/6587080/items/AT6SBLR9"],"itemData":{"id":458,"type":"article-journal","container-title":"BMC palliative care","issue":"1","page":"90","source":"Google Scholar","title":"“It doesn’t exist…”: negotiating palliative care from a culturally and linguistically diverse patient and caregiver perspective","title-short":"“It doesn’t exist…”","volume":"17","author":[{"family":"Kirby","given":"Emma"},{"family":"Lwin","given":"Zarnie"},{"family":"Kenny","given":"Katherine"},{"family":"Broom","given":"Alex"},{"family":"Birman","given":"Holi"},{"family":"Good","given":"Phillip"}],"issued":{"date-parts":[["2018"]]}}},{"id":"aZbwIlcN/m2YZHUjA","uris":["http://zotero.org/users/6587080/items/U55IRDFQ"],"itemData":{"id":"uUDVD1MV/UBnaRrdS","type":"article-journal","abstract":"&lt;p&gt;Australia is a very large country with a relatively small, diverse population. Palliative care is delivered by a range of professionals, from general (family) practitioners and community care nurses to large tertiary referral palliative care services. A national strategy provides a service development framework that informs the provision of these services. The National Palliative Care Program has provided extensive service improvement in the past decade. Challenges to improving the delivery of palliative care center around meeting the requirements of people with nonmalignant life-limiting illnesses; growing the specialist workforce; maintaining the skills of the primary care workforce; and providing palliative care to special populations such as the aged, indigenous Australians, non–English-speaking Australians, and children.&lt;/p&gt;","container-title":"Ochsner Journal","ISSN":"1524-5012, 1524-5012","issue":"4","language":"en","note":"publisher: Ochsner Journal\nsection: Article\nPMID: 22190884","page":"334-337","source":"www.ochsnerjournal.org","title":"Palliative Care in Australia","volume":"11","author":[{"family":"Mitchell","given":"Geoffrey Keith"}],"issued":{"date-parts":[["2011",12,21]]}}}],"schema":"https://github.com/citation-style-language/schema/raw/master/csl-citation.json"} </w:instrText>
      </w:r>
      <w:r w:rsidRPr="000F7E56">
        <w:rPr>
          <w:rFonts w:ascii="Calibri" w:eastAsia="SimSun" w:hAnsi="Calibri" w:cs="Calibri"/>
        </w:rPr>
        <w:fldChar w:fldCharType="separate"/>
      </w:r>
      <w:r w:rsidR="00496C3B" w:rsidRPr="00496C3B">
        <w:rPr>
          <w:rFonts w:ascii="Calibri" w:hAnsi="Calibri" w:cs="Calibri"/>
          <w:szCs w:val="24"/>
          <w:vertAlign w:val="superscript"/>
        </w:rPr>
        <w:t>51,73</w:t>
      </w:r>
      <w:r w:rsidRPr="000F7E56">
        <w:rPr>
          <w:rFonts w:ascii="Calibri" w:eastAsia="SimSun" w:hAnsi="Calibri" w:cs="Calibri"/>
        </w:rPr>
        <w:fldChar w:fldCharType="end"/>
      </w:r>
      <w:r w:rsidRPr="000F7E56">
        <w:rPr>
          <w:rFonts w:ascii="Calibri" w:eastAsia="SimSun" w:hAnsi="Calibri" w:cs="Calibri"/>
        </w:rPr>
        <w:t xml:space="preserve"> Faith and religion can play a prominent role in many people’s lives and may become even more important when coping with illness and the end-of-life. However, their practice, linked perhaps to the philosophy and mores discussed above, has sometimes been found to be in tension and conflict with medical treatment plans where patients ignore their doctor’s advice in the belief that the moment of death is divinely determined and this negates discussion about the benefits or harms of treatments.</w:t>
      </w:r>
      <w:r w:rsidRPr="000F7E56">
        <w:rPr>
          <w:rFonts w:ascii="Calibri" w:eastAsia="SimSun" w:hAnsi="Calibri" w:cs="Calibri"/>
        </w:rPr>
        <w:fldChar w:fldCharType="begin"/>
      </w:r>
      <w:r w:rsidR="000D5597">
        <w:rPr>
          <w:rFonts w:ascii="Calibri" w:eastAsia="SimSun" w:hAnsi="Calibri" w:cs="Calibri"/>
        </w:rPr>
        <w:instrText xml:space="preserve"> ADDIN ZOTERO_ITEM CSL_CITATION {"citationID":"Vgg5yITK","properties":{"formattedCitation":"\\super 51\\nosupersub{}","plainCitation":"51","noteIndex":0},"citationItems":[{"id":"aZbwIlcN/7Gg7eUHN","uris":["http://zotero.org/users/6587080/items/AT6SBLR9"],"itemData":{"id":458,"type":"article-journal","container-title":"BMC palliative care","issue":"1","page":"90","source":"Google Scholar","title":"“It doesn’t exist…”: negotiating palliative care from a culturally and linguistically diverse patient and caregiver perspective","title-short":"“It doesn’t exist…”","volume":"17","author":[{"family":"Kirby","given":"Emma"},{"family":"Lwin","given":"Zarnie"},{"family":"Kenny","given":"Katherine"},{"family":"Broom","given":"Alex"},{"family":"Birman","given":"Holi"},{"family":"Good","given":"Phillip"}],"issued":{"date-parts":[["2018"]]}}}],"schema":"https://github.com/citation-style-language/schema/raw/master/csl-citation.json"} </w:instrText>
      </w:r>
      <w:r w:rsidRPr="000F7E56">
        <w:rPr>
          <w:rFonts w:ascii="Calibri" w:eastAsia="SimSun" w:hAnsi="Calibri" w:cs="Calibri"/>
        </w:rPr>
        <w:fldChar w:fldCharType="separate"/>
      </w:r>
      <w:r w:rsidR="00496C3B" w:rsidRPr="00496C3B">
        <w:rPr>
          <w:rFonts w:ascii="Calibri" w:hAnsi="Calibri" w:cs="Calibri"/>
          <w:szCs w:val="24"/>
          <w:vertAlign w:val="superscript"/>
        </w:rPr>
        <w:t>51</w:t>
      </w:r>
      <w:r w:rsidRPr="000F7E56">
        <w:rPr>
          <w:rFonts w:ascii="Calibri" w:eastAsia="SimSun" w:hAnsi="Calibri" w:cs="Calibri"/>
        </w:rPr>
        <w:fldChar w:fldCharType="end"/>
      </w:r>
    </w:p>
    <w:p w14:paraId="452AD00A" w14:textId="5681B947" w:rsidR="000F7E56" w:rsidRPr="000F7E56" w:rsidRDefault="000F7E56" w:rsidP="000F7E56">
      <w:pPr>
        <w:spacing w:after="120" w:line="360" w:lineRule="auto"/>
        <w:rPr>
          <w:rFonts w:ascii="Calibri" w:eastAsia="SimSun" w:hAnsi="Calibri" w:cs="Calibri"/>
        </w:rPr>
      </w:pPr>
      <w:r w:rsidRPr="000F7E56">
        <w:rPr>
          <w:rFonts w:ascii="Calibri" w:eastAsia="SimSun" w:hAnsi="Calibri" w:cs="Calibri"/>
        </w:rPr>
        <w:t xml:space="preserve">Yet there is also tension within religious philosophy. A report commissioned by the </w:t>
      </w:r>
      <w:r w:rsidR="00F74B53">
        <w:rPr>
          <w:rFonts w:ascii="Calibri" w:eastAsia="SimSun" w:hAnsi="Calibri" w:cs="Calibri"/>
        </w:rPr>
        <w:t>C</w:t>
      </w:r>
      <w:r w:rsidRPr="000F7E56">
        <w:rPr>
          <w:rFonts w:ascii="Calibri" w:eastAsia="SimSun" w:hAnsi="Calibri" w:cs="Calibri"/>
        </w:rPr>
        <w:t xml:space="preserve">harity Compassion in Dying, highlights the hesitancy amongst Muslims around the extent to which they can or should engage in an EOLCP, a hesitancy that is rooted in notions of Divine Will or God’s purpose that yields a ‘what is to happen, will happen’ is in tension with other instructions found in faith that endorse planning ahead, and in fact, strongly encourage committing to such plans. Recommendations from this report stress there is considerable support for the notion of EOLCP in theological terms but little is known about this amongst healthcare services in specialising in this area. </w:t>
      </w:r>
    </w:p>
    <w:p w14:paraId="167BEC8C" w14:textId="107175A6" w:rsidR="000F7E56" w:rsidRPr="000F7E56" w:rsidRDefault="000F7E56" w:rsidP="000F7E56">
      <w:pPr>
        <w:spacing w:after="120" w:line="360" w:lineRule="auto"/>
        <w:rPr>
          <w:rFonts w:cstheme="minorHAnsi"/>
        </w:rPr>
      </w:pPr>
      <w:r w:rsidRPr="000F7E56">
        <w:rPr>
          <w:rFonts w:cstheme="minorHAnsi"/>
        </w:rPr>
        <w:t>The inability to accurately translate terms used and equating the meaning of palliative care with being close to dying prompted some families to request clinicians to consciously refrain from using this term when talking to their ailing loved one in one Australian study</w:t>
      </w:r>
      <w:r w:rsidRPr="000F7E56">
        <w:rPr>
          <w:rFonts w:cstheme="minorHAnsi"/>
          <w:shd w:val="clear" w:color="auto" w:fill="FFFFFF"/>
        </w:rPr>
        <w:t xml:space="preserve"> exploring patient and care giver perspectives across cultures and linguistic groups, and provider perspectives.</w:t>
      </w:r>
      <w:r w:rsidRPr="000F7E56">
        <w:rPr>
          <w:rFonts w:cstheme="minorHAnsi"/>
          <w:vertAlign w:val="superscript"/>
        </w:rPr>
        <w:t xml:space="preserve"> </w:t>
      </w:r>
      <w:r w:rsidRPr="000F7E56">
        <w:rPr>
          <w:rFonts w:cstheme="minorHAnsi"/>
        </w:rPr>
        <w:t>Some families reported needing to do some kind of homework to aid their understanding of the subject, of palliative care, others preferred to avoid discussions regarding terminal prognoses and planning for end-of-life altogether and others  recalled an explanation  by a clinician but not in a way they could understand.</w:t>
      </w:r>
      <w:r w:rsidRPr="000F7E56">
        <w:rPr>
          <w:rFonts w:cstheme="minorHAnsi"/>
          <w:vertAlign w:val="superscript"/>
        </w:rPr>
        <w:fldChar w:fldCharType="begin"/>
      </w:r>
      <w:r w:rsidR="000D5597">
        <w:rPr>
          <w:rFonts w:cstheme="minorHAnsi"/>
          <w:vertAlign w:val="superscript"/>
        </w:rPr>
        <w:instrText xml:space="preserve"> ADDIN ZOTERO_ITEM CSL_CITATION {"citationID":"SITyD1aC","properties":{"formattedCitation":"\\super 51\\nosupersub{}","plainCitation":"51","noteIndex":0},"citationItems":[{"id":"aZbwIlcN/7Gg7eUHN","uris":["http://zotero.org/users/6587080/items/AT6SBLR9"],"itemData":{"id":"uUDVD1MV/w5b8pjwZ","type":"article-journal","container-title":"BMC palliative care","issue":"1","page":"90","source":"Google Scholar","title":"“It doesn’t exist…”: negotiating palliative care from a culturally and linguistically diverse patient and caregiver perspective","title-short":"“It doesn’t exist…”","volume":"17","author":[{"family":"Kirby","given":"Emma"},{"family":"Lwin","given":"Zarnie"},{"family":"Kenny","given":"Katherine"},{"family":"Broom","given":"Alex"},{"family":"Birman","given":"Holi"},{"family":"Good","given":"Phillip"}],"issued":{"date-parts":[["2018"]]}}}],"schema":"https://github.com/citation-style-language/schema/raw/master/csl-citation.json"} </w:instrText>
      </w:r>
      <w:r w:rsidRPr="000F7E56">
        <w:rPr>
          <w:rFonts w:cstheme="minorHAnsi"/>
          <w:vertAlign w:val="superscript"/>
        </w:rPr>
        <w:fldChar w:fldCharType="separate"/>
      </w:r>
      <w:r w:rsidR="00496C3B" w:rsidRPr="00496C3B">
        <w:rPr>
          <w:rFonts w:ascii="Calibri" w:hAnsi="Calibri" w:cs="Calibri"/>
          <w:szCs w:val="24"/>
          <w:vertAlign w:val="superscript"/>
        </w:rPr>
        <w:t>51</w:t>
      </w:r>
      <w:r w:rsidRPr="000F7E56">
        <w:rPr>
          <w:rFonts w:cstheme="minorHAnsi"/>
          <w:vertAlign w:val="superscript"/>
        </w:rPr>
        <w:fldChar w:fldCharType="end"/>
      </w:r>
      <w:r w:rsidRPr="000F7E56">
        <w:rPr>
          <w:rFonts w:cstheme="minorHAnsi"/>
          <w:vertAlign w:val="superscript"/>
        </w:rPr>
        <w:t xml:space="preserve"> </w:t>
      </w:r>
    </w:p>
    <w:p w14:paraId="2B2E7354" w14:textId="4F6C9916" w:rsidR="000F7E56" w:rsidRPr="000F7E56" w:rsidRDefault="000F7E56" w:rsidP="000F7E56">
      <w:pPr>
        <w:spacing w:after="120" w:line="360" w:lineRule="auto"/>
        <w:rPr>
          <w:rFonts w:eastAsia="SimSun" w:cstheme="minorHAnsi"/>
        </w:rPr>
      </w:pPr>
      <w:r w:rsidRPr="000F7E56">
        <w:rPr>
          <w:rFonts w:eastAsia="SimSun" w:cstheme="minorHAnsi"/>
        </w:rPr>
        <w:t>There is also great diversity within ED groups as well as between them. ED patients are indeed diverse with the existence of micro-cultures’.</w:t>
      </w:r>
      <w:r w:rsidRPr="000F7E56">
        <w:rPr>
          <w:rFonts w:eastAsia="SimSun" w:cstheme="minorHAnsi"/>
          <w:vertAlign w:val="superscript"/>
        </w:rPr>
        <w:fldChar w:fldCharType="begin"/>
      </w:r>
      <w:r w:rsidR="000D5597">
        <w:rPr>
          <w:rFonts w:eastAsia="SimSun" w:cstheme="minorHAnsi"/>
          <w:vertAlign w:val="superscript"/>
        </w:rPr>
        <w:instrText xml:space="preserve"> ADDIN ZOTERO_ITEM CSL_CITATION {"citationID":"SC0T9oXS","properties":{"formattedCitation":"\\super 74\\nosupersub{}","plainCitation":"74","noteIndex":0},"citationItems":[{"id":"aZbwIlcN/cPMwbFYk","uris":["http://zotero.org/users/6587080/items/XYZSTQNT"],"itemData":{"id":364,"type":"article-journal","abstract":"The aim of this study was to assess the culture-specific palliative care needs of ethnic minority patients. Qualitative semi-structured interviews were conducted using elements of phenomenology with four ethnic minority patients who were attending a day-care centre. Although the aim was to assess cultural needs, it was found that the patients expressed basic human needs rather than culture-specific ones. The theme of acculturation, where patients ‘fit in’ with the dominant culture, was predominant. This suggests that stereotypical cultural care may not always be appropriate, as micro-cultures and individual diversity within cultures exist. These should be explored in the cultural assessment of ethnic minority patients.","container-title":"International Journal of Palliative Nursing","DOI":"10.12968/ijpn.2003.9.9.11766","ISSN":"1357-6321","issue":"9","journalAbbreviation":"Int J Palliat Nurs","page":"389-396","source":"magonlinelibrary.com (Atypon)","title":"The palliative care needs of ethnic minority patients attending a day-care centre: a qualitative study","title-short":"The palliative care needs of ethnic minority patients attending a day-care centre","volume":"9","author":[{"family":"Diver","given":"Fiona"},{"family":"Molassiotis","given":"Alexander"},{"family":"Weeks","given":"Les"}],"issued":{"date-parts":[["2003",9,1]]}}}],"schema":"https://github.com/citation-style-language/schema/raw/master/csl-citation.json"} </w:instrText>
      </w:r>
      <w:r w:rsidRPr="000F7E56">
        <w:rPr>
          <w:rFonts w:eastAsia="SimSun" w:cstheme="minorHAnsi"/>
          <w:vertAlign w:val="superscript"/>
        </w:rPr>
        <w:fldChar w:fldCharType="separate"/>
      </w:r>
      <w:r w:rsidR="00496C3B" w:rsidRPr="00496C3B">
        <w:rPr>
          <w:rFonts w:ascii="Calibri" w:hAnsi="Calibri" w:cs="Calibri"/>
          <w:szCs w:val="24"/>
          <w:vertAlign w:val="superscript"/>
        </w:rPr>
        <w:t>74</w:t>
      </w:r>
      <w:r w:rsidRPr="000F7E56">
        <w:rPr>
          <w:rFonts w:eastAsia="SimSun" w:cstheme="minorHAnsi"/>
          <w:vertAlign w:val="superscript"/>
        </w:rPr>
        <w:fldChar w:fldCharType="end"/>
      </w:r>
      <w:r w:rsidRPr="000F7E56">
        <w:rPr>
          <w:rFonts w:eastAsia="SimSun" w:cstheme="minorHAnsi"/>
          <w:vertAlign w:val="superscript"/>
        </w:rPr>
        <w:t>,</w:t>
      </w:r>
      <w:r w:rsidRPr="000F7E56" w:rsidDel="00BB02C1">
        <w:rPr>
          <w:rFonts w:eastAsia="SimSun" w:cstheme="minorHAnsi"/>
        </w:rPr>
        <w:t xml:space="preserve"> </w:t>
      </w:r>
      <w:r w:rsidRPr="000F7E56">
        <w:rPr>
          <w:rFonts w:eastAsia="SimSun" w:cstheme="minorHAnsi"/>
        </w:rPr>
        <w:t>In a  small study (n=4 patients)</w:t>
      </w:r>
      <w:r w:rsidRPr="000F7E56">
        <w:rPr>
          <w:rFonts w:eastAsia="SimSun" w:cstheme="minorHAnsi"/>
          <w:vertAlign w:val="superscript"/>
        </w:rPr>
        <w:t xml:space="preserve"> </w:t>
      </w:r>
      <w:r w:rsidRPr="000F7E56">
        <w:rPr>
          <w:rFonts w:eastAsia="SimSun" w:cstheme="minorHAnsi"/>
        </w:rPr>
        <w:t>regarding the views of ED patients attending a day care centre in the UK the participants involved showed a distinct lack of culturally-specific needs. Instead, they found that ‘acculturation emerged as a strong theme, and moreover that ‘regardless of a particular participant’s cultural group, their needs can be highly individual’.</w:t>
      </w:r>
      <w:r w:rsidRPr="000F7E56">
        <w:rPr>
          <w:rFonts w:eastAsia="SimSun" w:cstheme="minorHAnsi"/>
        </w:rPr>
        <w:fldChar w:fldCharType="begin"/>
      </w:r>
      <w:r w:rsidR="000D5597">
        <w:rPr>
          <w:rFonts w:eastAsia="SimSun" w:cstheme="minorHAnsi"/>
        </w:rPr>
        <w:instrText xml:space="preserve"> ADDIN ZOTERO_ITEM CSL_CITATION {"citationID":"MDU9tsZg","properties":{"formattedCitation":"\\super 74\\nosupersub{}","plainCitation":"74","noteIndex":0},"citationItems":[{"id":"aZbwIlcN/cPMwbFYk","uris":["http://zotero.org/users/6587080/items/XYZSTQNT"],"itemData":{"id":"qcOtDS7a/S20KUets","type":"article-journal","abstract":"The aim of this study was to assess the culture-specific palliative care needs of ethnic minority patients. Qualitative semi-structured interviews were conducted using elements of phenomenology with four ethnic minority patients who were attending a day-care centre. Although the aim was to assess cultural needs, it was found that the patients expressed basic human needs rather than culture-specific ones. The theme of acculturation, where patients ‘fit in’ with the dominant culture, was predominant. This suggests that stereotypical cultural care may not always be appropriate, as micro-cultures and individual diversity within cultures exist. These should be explored in the cultural assessment of ethnic minority patients.","container-title":"International Journal of Palliative Nursing","DOI":"10.12968/ijpn.2003.9.9.11766","ISSN":"1357-6321","issue":"9","journalAbbreviation":"Int J Palliat Nurs","page":"389-396","source":"magonlinelibrary.com (Atypon)","title":"The palliative care needs of ethnic minority patients attending a day-care centre: a qualitative study","title-short":"The palliative care needs of ethnic minority patients attending a day-care centre","volume":"9","author":[{"family":"Diver","given":"Fiona"},{"family":"Molassiotis","given":"Alexander"},{"family":"Weeks","given":"Les"}],"issued":{"date-parts":[["2003",9,1]]}}}],"schema":"https://github.com/citation-style-language/schema/raw/master/csl-citation.json"} </w:instrText>
      </w:r>
      <w:r w:rsidRPr="000F7E56">
        <w:rPr>
          <w:rFonts w:eastAsia="SimSun" w:cstheme="minorHAnsi"/>
        </w:rPr>
        <w:fldChar w:fldCharType="separate"/>
      </w:r>
      <w:r w:rsidR="00496C3B" w:rsidRPr="00496C3B">
        <w:rPr>
          <w:rFonts w:ascii="Calibri" w:hAnsi="Calibri" w:cs="Calibri"/>
          <w:szCs w:val="24"/>
          <w:vertAlign w:val="superscript"/>
        </w:rPr>
        <w:t>74</w:t>
      </w:r>
      <w:r w:rsidRPr="000F7E56">
        <w:rPr>
          <w:rFonts w:eastAsia="SimSun" w:cstheme="minorHAnsi"/>
        </w:rPr>
        <w:fldChar w:fldCharType="end"/>
      </w:r>
      <w:r w:rsidRPr="000F7E56">
        <w:rPr>
          <w:rFonts w:eastAsia="SimSun" w:cstheme="minorHAnsi"/>
        </w:rPr>
        <w:t xml:space="preserve"> This highlights both the significance of providing person-centred, holistic care and  the need to embrace diversity and complexity and work competently in the context of uncertainty.</w:t>
      </w:r>
    </w:p>
    <w:p w14:paraId="300B2765" w14:textId="2240356B" w:rsidR="000F7E56" w:rsidRPr="000F7E56" w:rsidRDefault="000F7E56" w:rsidP="000F7E56">
      <w:pPr>
        <w:spacing w:after="120" w:line="360" w:lineRule="auto"/>
        <w:contextualSpacing/>
        <w:rPr>
          <w:rFonts w:ascii="Calibri" w:eastAsia="SimSun" w:hAnsi="Calibri" w:cs="Calibri"/>
        </w:rPr>
      </w:pPr>
      <w:r w:rsidRPr="000F7E56">
        <w:rPr>
          <w:rFonts w:ascii="Calibri" w:eastAsia="SimSun" w:hAnsi="Calibri" w:cs="Calibri"/>
        </w:rPr>
        <w:t>Our previous work alongside a wider body of work has identified that HCPs feel disempowered by the uncertainty that arises because of socio-cultural and religious complexity and that staff training needs to respond to this</w:t>
      </w:r>
      <w:bookmarkStart w:id="57" w:name="_Hlk86830821"/>
      <w:r w:rsidRPr="000F7E56">
        <w:rPr>
          <w:rFonts w:ascii="Calibri" w:eastAsia="SimSun" w:hAnsi="Calibri" w:cs="Calibri"/>
        </w:rPr>
        <w:t>.</w:t>
      </w:r>
      <w:bookmarkEnd w:id="57"/>
      <w:r w:rsidRPr="000F7E56">
        <w:rPr>
          <w:rFonts w:ascii="Calibri" w:eastAsia="SimSun" w:hAnsi="Calibri" w:cs="Calibri"/>
        </w:rPr>
        <w:fldChar w:fldCharType="begin"/>
      </w:r>
      <w:r w:rsidR="000D5597">
        <w:rPr>
          <w:rFonts w:ascii="Calibri" w:eastAsia="SimSun" w:hAnsi="Calibri" w:cs="Calibri"/>
        </w:rPr>
        <w:instrText xml:space="preserve"> ADDIN ZOTERO_ITEM CSL_CITATION {"citationID":"exIA1LKG","properties":{"formattedCitation":"\\super 44,75\\nosupersub{}","plainCitation":"44,75","noteIndex":0},"citationItems":[{"id":1541,"uris":["http://zotero.org/users/8748280/items/PT6UDE5K"],"itemData":{"id":1541,"type":"article-journal","abstract":"Background Evidence suggests that discussing resuscitation with patients and relatives from ethnic minority groups is problematic for healthcare professionals (HCPs), but there is limited evidence exploring these issues or offering guidance for HCPs in navigating these challenging discussions. This study explores the barriers and enablers to HCPs discussing deterioration and resuscitation decisions with patients and families from ethnic minority groups.\nResults Personal, cultural, religious/spiritual and health beliefs, emotions, and communication quality and skills were discussed. Participants described that the interaction between these factors as complex, impacting the way some patients and families responded to do not attempt cardiopulmonary resuscitation (DNACPR) orders and the particular challenges these pose.\nConclusion Key barriers and enablers for healthcare professionals discussing resuscitation with patients and families from Black, Asian and minority ethnic communities were identified. The findings highlight areas of improvement for training, both relating to DNACPR discussions and ‘cultural competence’.","container-title":"Future Healthcare Journal","DOI":"10.7861/fhj.2021-0012","ISSN":"2514-6645, 2514-6653","journalAbbreviation":"Future Healthc J","language":"en","page":"fhj.2021-0012","source":"DOI.org (Crossref)","title":"Thinking ahead in advanced illness: Exploring clinicians' perspectives on discussing resuscitation with patients and families from ethnic minority communities","title-short":"Thinking ahead in advanced illness","author":[{"family":"Islam","given":"Zoebia"},{"family":"Taylor","given":"Lucy"},{"family":"Faull","given":"Christina"}],"issued":{"date-parts":[["2021",8,23]]}}},{"id":"aZbwIlcN/ixzzP0d4","uris":["http://zotero.org/users/6587080/items/FMPAAJBE"],"itemData":{"id":"AMorj3u4/OkNjXVzL","type":"article-journal","abstract":"Background: Advance care planning (ACP) enables patients to consider, discuss and, if they wish, document their wishes and preferences for future care, including decisions to refuse treatment, in the event that they lose capacity to make decisions for themselves. ACP is a key component of UK health policy to improve the experience of death and dying for patients and their families. There is limited evidence about how patients and health professionals understand ACP, or when and how this is initiated. It is evident that many people find discussion of and planning for end of life care difficult, and tend to avoid the topic. Aim: To investigate how patients, their relatives and health professionals initiate and experience discussion of ACP and the outcomes of advance discussions in shaping care at the end of life. Design and data collection: Qualitative study with two workstreams: (1) interviews with 37 health professionals (general practitioners, specialist nurses and community nurses) about their experiences of ACP; and (2) longitudinal case studies of 21 patients with 6-month follow-up. Cases included a patient and, where possible, a nominated key relative and/or health professional as well as a review of medical records. Complete case triads were obtained for 11 patients. Four cases comprised the patient alone, where respondents were unable or unwilling to nominate either a family member or a professional carer they wished to include in the study. Patients were identified as likely to be within the last 6 months of life. Ninety-seven interviews were completed in total. Setting: General practices and community care settings in the East Midlands of England. Findings: The study found ACP to be uncommon and focused primarily on specific documented tasks involving decisions about preferred place of death and cardiopulmonary resuscitation, supporting earlier research. There was no evidence of ACP in nearly half (9 of 21) of patient cases. Professionals reported ACP discussions to be challenging. It was difficult to recognise when patients had entered the last year of life, or to identify their readiness to consider future planning. Patients often did not wish to do so before they had become gravely ill. Consequently, ACP discussions tended to be reactive, rather than pre-emptive, occurring in response to critical events or evidence of marked deterioration. ACP discussions intersected two parallel strands of planning: professional organisation and co-ordination of care; and the practical and emotional preparatory work that patients and families undertook to prepare themselves for death. Reference to ACP as a means of guiding decisions for patients who had lost capacity was rare. Conclusions: Advance care planning remains uncommon, is often limited to documentation of a few key decisions, is reported to be challenging by many health professionals, is not welcomed by a substantial number of patients and tends to be postponed until death is clearly imminent. Current implementation largely ignores the purpose of ACP as a means of extending personal autonomy in the event of lost capacity. Future work: Attention should be paid to public attitudes to death and dying (including those of culturally diverse and ethnic minority groups), place of death, resuscitation and the value of anticipatory planning. In addition the experiences and needs of two under-researched groups should be explored: the frail elderly, including those who manage complex comorbid conditions, unrecognised as vulnerable cases; and those patients affected by stigmatised conditions, such as substance abuse or serious mental illness who fail to engage constructively with services and are not recognised as suitable referrals for palliative and end of life care. Funding: The National Institute for Health Research Health Services and Delivery Research programme.","container-title":"Health Services and Delivery Research","DOI":"10.3310/hsdr03310","ISSN":"2050-4349","issue":"31","language":"eng","page":"1-138","source":"librarysearch.le.ac.uk","title":"Care and communication between health professionals and patients affected by severe or chronic illness in community care settings: a qualitative study of care at the end of life","title-short":"Care and communication between health professionals and patients affected by severe or chronic illness in community care settings","volume":"3","author":[{"family":"Pollock","given":"Kristian"},{"family":"Wilson","given":"Eleanor"}],"issued":{"date-parts":[["2015"]]}}}],"schema":"https://github.com/citation-style-language/schema/raw/master/csl-citation.json"} </w:instrText>
      </w:r>
      <w:r w:rsidRPr="000F7E56">
        <w:rPr>
          <w:rFonts w:ascii="Calibri" w:eastAsia="SimSun" w:hAnsi="Calibri" w:cs="Calibri"/>
        </w:rPr>
        <w:fldChar w:fldCharType="separate"/>
      </w:r>
      <w:r w:rsidR="00496C3B" w:rsidRPr="00496C3B">
        <w:rPr>
          <w:rFonts w:ascii="Calibri" w:hAnsi="Calibri" w:cs="Calibri"/>
          <w:szCs w:val="24"/>
          <w:vertAlign w:val="superscript"/>
        </w:rPr>
        <w:t>44,75</w:t>
      </w:r>
      <w:r w:rsidRPr="000F7E56">
        <w:rPr>
          <w:rFonts w:ascii="Calibri" w:eastAsia="SimSun" w:hAnsi="Calibri" w:cs="Calibri"/>
        </w:rPr>
        <w:fldChar w:fldCharType="end"/>
      </w:r>
      <w:r w:rsidRPr="000F7E56">
        <w:rPr>
          <w:rFonts w:ascii="Calibri" w:eastAsia="SimSun" w:hAnsi="Calibri" w:cs="Calibri"/>
        </w:rPr>
        <w:t xml:space="preserve"> Some cultural groups more predominantly share familial responsibility for decision-making, in tension with the emphasis on autonomy and individual choice within UK policy.</w:t>
      </w:r>
      <w:r w:rsidRPr="000F7E56">
        <w:rPr>
          <w:rFonts w:ascii="Calibri" w:eastAsia="SimSun" w:hAnsi="Calibri" w:cs="Calibri"/>
        </w:rPr>
        <w:fldChar w:fldCharType="begin"/>
      </w:r>
      <w:r w:rsidR="000D5597">
        <w:rPr>
          <w:rFonts w:ascii="Calibri" w:eastAsia="SimSun" w:hAnsi="Calibri" w:cs="Calibri"/>
        </w:rPr>
        <w:instrText xml:space="preserve"> ADDIN ZOTERO_ITEM CSL_CITATION {"citationID":"vBWx7LGh","properties":{"formattedCitation":"\\super 25,44,75\\uc0\\u8211{}79\\nosupersub{}","plainCitation":"25,44,75–79","noteIndex":0},"citationItems":[{"id":"aZbwIlcN/vqPrqkfi","uris":["http://zotero.org/users/6587080/items/E73EUZV4"],"itemData":{"id":"UwE3ier4/timoo93x","type":"report","language":"en","page":"79","publisher":"King’s College London, Cicely Saunders Institute","source":"Zotero","title":"Palliative and end of life for Black, Asian and Minority Ethnic groups in the UK","author":[{"family":"Calanzani","given":"Natalia"},{"family":"Koffman","given":"Dr Jonathan"},{"family":"Higginson","given":"Irene J."}],"issued":{"date-parts":[["2013",6]]}}},{"id":1541,"uris":["http://zotero.org/users/8748280/items/PT6UDE5K"],"itemData":{"id":1541,"type":"article-journal","abstract":"Background Evidence suggests that discussing resuscitation with patients and relatives from ethnic minority groups is problematic for healthcare professionals (HCPs), but there is limited evidence exploring these issues or offering guidance for HCPs in navigating these challenging discussions. This study explores the barriers and enablers to HCPs discussing deterioration and resuscitation decisions with patients and families from ethnic minority groups.\nResults Personal, cultural, religious/spiritual and health beliefs, emotions, and communication quality and skills were discussed. Participants described that the interaction between these factors as complex, impacting the way some patients and families responded to do not attempt cardiopulmonary resuscitation (DNACPR) orders and the particular challenges these pose.\nConclusion Key barriers and enablers for healthcare professionals discussing resuscitation with patients and families from Black, Asian and minority ethnic communities were identified. The findings highlight areas of improvement for training, both relating to DNACPR discussions and ‘cultural competence’.","container-title":"Future Healthcare Journal","DOI":"10.7861/fhj.2021-0012","ISSN":"2514-6645, 2514-6653","journalAbbreviation":"Future Healthc J","language":"en","page":"fhj.2021-0012","source":"DOI.org (Crossref)","title":"Thinking ahead in advanced illness: Exploring clinicians' perspectives on discussing resuscitation with patients and families from ethnic minority communities","title-short":"Thinking ahead in advanced illness","author":[{"family":"Islam","given":"Zoebia"},{"family":"Taylor","given":"Lucy"},{"family":"Faull","given":"Christina"}],"issued":{"date-parts":[["2021",8,23]]}}},{"id":"aZbwIlcN/sN6BiZQJ","uris":["http://zotero.org/users/6587080/items/D53R4LKP"],"itemData":{"id":192,"type":"book","abstract":"This is a book about the meanings we make out of pain. The greatest surprise I encountered in discussing this topic over the past ten years was the consistency with which I was asked a single unvarying question: Are you writing about physical pain or mental pain? The overwhelming consistency of this response convinces me that modern culture rests upon and underlying belief so strong that it grips us with the force of a founding myth. Call it the Myth of Two Pains. We live in an era when many people believe--as a basic, unexamined foundation of thought--that pain comes divided into separate types: physical and mental. These two types of pain, so the myth goes, are as different as land and sea. You feel physical pain if your arm breaks, and you feel mental pain if your heart breaks. Between these two different events we seem to imagine a gulf so wide and deep that it might as well be filled by a sea that is impossible to navigate.","edition":"New Ed edition","event-place":"Berkeley","ISBN":"978-0-520-08276-2","language":"English","number-of-pages":"356","publisher":"University of California Press","publisher-place":"Berkeley","source":"Amazon","title":"The Culture of Pain","author":[{"family":"Morris","given":"David B."}],"issued":{"date-parts":[["1993",4,12]]}}},{"id":"aZbwIlcN/Cs3690H4","uris":["http://zotero.org/users/6587080/items/JPH9YBNQ"],"itemData":{"id":867,"type":"book","abstract":"Barbara A. Koenig, Ph.D. **Paper prepared by Barbara A. Koenig, Ph.D., Senior Research Scholar and Executive Director, Center for Biomedical Ethics, Stanford University, Palo Alto, California. Prepared for the Institute of Medicine Committee for the Feasibility Study on Care at the End of Life. (See Appendix A of this report.)","language":"en","publisher":"National Academies Press (US)","source":"www.ncbi.nlm.nih.gov","title":"Cultural Diversity in Decisionmaking About Care at the End of Life","URL":"https://www.ncbi.nlm.nih.gov/books/NBK233599/","author":[{"family":"Koenig","given":"Barbara"}],"editor":[{"family":"Field","given":"Marilyn J."},{"family":"Cassel","given":"Christine K."}],"accessed":{"date-parts":[["2019",2,1]]},"issued":{"date-parts":[["1997"]]}}},{"id":"aZbwIlcN/1UrLBhi1","uris":["http://zotero.org/users/6587080/items/5GEVA464"],"itemData":{"id":196,"type":"article-journal","abstract":"Experiences of illness and death, as well as beliefs about the appropriate role of healers, are profoundly influenced by patients' cultural background. As the United States becomes increasingly diverse, cultural difference is a central feature of many clinical interactions. Knowledge about how patients experience and express pain, maintain hope in the face of a poor prognosis, and respond to grief and loss will aid health care professionals. Many patients' or families' beliefs about appropriate end-of-life care are easily accommodated in routine clinical practice. Desires about the care of the body after death, for example, generally do not threaten deeply held values of medical science. Because expected deaths are increasingly the result of explicit negotiation about limiting or discontinuing therapies, however, the likelihood of serious moral disputes and overt conflict increases. We suggest a way to assess cultural variation in end-of-life care, arguing that culture is only meaningful when interpreted in the context of a patient's unique history, family constellation, and socioeconomic status. Efforts to use racial or ethnic background as simplistic, straightforward predictors of beliefs or behavior will lead to harmful stereotyping of patients and culturally insensitive care for the dying.","container-title":"Western Journal of Medicine","ISSN":"0093-0415","issue":"3","journalAbbreviation":"West J Med","page":"244-249","source":"PubMed Central","title":"Understanding cultural difference in caring for dying patients.","volume":"163","author":[{"family":"Koenig","given":"B. A."},{"family":"Gates-Williams","given":"J."}],"issued":{"date-parts":[["1995",9]]}}},{"id":"aZbwIlcN/kFtddvoy","uris":["http://zotero.org/users/6587080/items/F9TYV5YI"],"itemData":{"id":877,"type":"article-journal","container-title":"Jama","issue":"10","page":"820–825","source":"Google Scholar","title":"Ethnicity and attitudes toward patient autonomy","volume":"274","author":[{"family":"Blackhall","given":"Leslie J."},{"family":"Murphy","given":"Sheila T."},{"family":"Frank","given":"Gelya"},{"family":"Michel","given":"Vicki"},{"family":"Azen","given":"Stanley"}],"issued":{"date-parts":[["1995"]]}}},{"id":"aZbwIlcN/ixzzP0d4","uris":["http://zotero.org/users/6587080/items/FMPAAJBE"],"itemData":{"id":"UwE3ier4/4kQTKAPk","type":"article-journal","abstract":"Background: Advance care planning (ACP) enables patients to consider, discuss and, if they wish, document their wishes and preferences for future care, including decisions to refuse treatment, in the event that they lose capacity to make decisions for themselves. ACP is a key component of UK health policy to improve the experience of death and dying for patients and their families. There is limited evidence about how patients and health professionals understand ACP, or when and how this is initiated. It is evident that many people find discussion of and planning for end of life care difficult, and tend to avoid the topic. Aim: To investigate how patients, their relatives and health professionals initiate and experience discussion of ACP and the outcomes of advance discussions in shaping care at the end of life. Design and data collection: Qualitative study with two workstreams: (1) interviews with 37 health professionals (general practitioners, specialist nurses and community nurses) about their experiences of ACP; and (2) longitudinal case studies of 21 patients with 6-month follow-up. Cases included a patient and, where possible, a nominated key relative and/or health professional as well as a review of medical records. Complete case triads were obtained for 11 patients. Four cases comprised the patient alone, where respondents were unable or unwilling to nominate either a family member or a professional carer they wished to include in the study. Patients were identified as likely to be within the last 6 months of life. Ninety-seven interviews were completed in total. Setting: General practices and community care settings in the East Midlands of England. Findings: The study found ACP to be uncommon and focused primarily on specific documented tasks involving decisions about preferred place of death and cardiopulmonary resuscitation, supporting earlier research. There was no evidence of ACP in nearly half (9 of 21) of patient cases. Professionals reported ACP discussions to be challenging. It was difficult to recognise when patients had entered the last year of life, or to identify their readiness to consider future planning. Patients often did not wish to do so before they had become gravely ill. Consequently, ACP discussions tended to be reactive, rather than pre-emptive, occurring in response to critical events or evidence of marked deterioration. ACP discussions intersected two parallel strands of planning: professional organisation and co-ordination of care; and the practical and emotional preparatory work that patients and families undertook to prepare themselves for death. Reference to ACP as a means of guiding decisions for patients who had lost capacity was rare. Conclusions: Advance care planning remains uncommon, is often limited to documentation of a few key decisions, is reported to be challenging by many health professionals, is not welcomed by a substantial number of patients and tends to be postponed until death is clearly imminent. Current implementation largely ignores the purpose of ACP as a means of extending personal autonomy in the event of lost capacity. Future work: Attention should be paid to public attitudes to death and dying (including those of culturally diverse and ethnic minority groups), place of death, resuscitation and the value of anticipatory planning. In addition the experiences and needs of two under-researched groups should be explored: the frail elderly, including those who manage complex comorbid conditions, unrecognised as vulnerable cases; and those patients affected by stigmatised conditions, such as substance abuse or serious mental illness who fail to engage constructively with services and are not recognised as suitable referrals for palliative and end of life care. Funding: The National Institute for Health Research Health Services and Delivery Research programme.","container-title":"Health Services and Delivery Research","DOI":"10.3310/hsdr03310","ISSN":"2050-4349","issue":"31","language":"eng","page":"1-138","source":"librarysearch.le.ac.uk","title":"Care and communication between health professionals and patients affected by severe or chronic illness in community care settings: a qualitative study of care at the end of life","title-short":"Care and communication between health professionals and patients affected by severe or chronic illness in community care settings","volume":"3","author":[{"family":"Pollock","given":"Kristian"},{"family":"Wilson","given":"Eleanor"}],"issued":{"date-parts":[["2015"]]}}}],"schema":"https://github.com/citation-style-language/schema/raw/master/csl-citation.json"} </w:instrText>
      </w:r>
      <w:r w:rsidRPr="000F7E56">
        <w:rPr>
          <w:rFonts w:ascii="Calibri" w:eastAsia="SimSun" w:hAnsi="Calibri" w:cs="Calibri"/>
        </w:rPr>
        <w:fldChar w:fldCharType="separate"/>
      </w:r>
      <w:r w:rsidR="00496C3B" w:rsidRPr="00496C3B">
        <w:rPr>
          <w:rFonts w:ascii="Calibri" w:hAnsi="Calibri" w:cs="Calibri"/>
          <w:szCs w:val="24"/>
          <w:vertAlign w:val="superscript"/>
        </w:rPr>
        <w:t>25,44,75–79</w:t>
      </w:r>
      <w:r w:rsidRPr="000F7E56">
        <w:rPr>
          <w:rFonts w:ascii="Calibri" w:eastAsia="SimSun" w:hAnsi="Calibri" w:cs="Calibri"/>
        </w:rPr>
        <w:fldChar w:fldCharType="end"/>
      </w:r>
      <w:r w:rsidRPr="000F7E56">
        <w:rPr>
          <w:rFonts w:ascii="Calibri" w:eastAsia="SimSun" w:hAnsi="Calibri" w:cs="Calibri"/>
        </w:rPr>
        <w:t xml:space="preserve"> Some groups more predominantly prefer non-disclosure of diagnosis and prognosis and discussing deterioration and planning for preferences related to dying is potentially unacceptable. Our work in cancer highlighted </w:t>
      </w:r>
      <w:r w:rsidRPr="000F7E56">
        <w:rPr>
          <w:rFonts w:ascii="Calibri" w:eastAsia="SimSun" w:hAnsi="Calibri" w:cs="Calibri"/>
        </w:rPr>
        <w:lastRenderedPageBreak/>
        <w:t>that professionals were concerned about offending or expressing culturally insensitive practices.</w:t>
      </w:r>
      <w:r w:rsidRPr="000F7E56">
        <w:rPr>
          <w:rFonts w:ascii="Calibri" w:eastAsia="SimSun" w:hAnsi="Calibri" w:cs="Calibri"/>
        </w:rPr>
        <w:fldChar w:fldCharType="begin"/>
      </w:r>
      <w:r w:rsidR="000D5597">
        <w:rPr>
          <w:rFonts w:ascii="Calibri" w:eastAsia="SimSun" w:hAnsi="Calibri" w:cs="Calibri"/>
        </w:rPr>
        <w:instrText xml:space="preserve"> ADDIN ZOTERO_ITEM CSL_CITATION {"citationID":"CIXcYgND","properties":{"formattedCitation":"\\super 46,61,80,81\\nosupersub{}","plainCitation":"46,61,80,81","noteIndex":0},"citationItems":[{"id":"aZbwIlcN/rUSWuhsZ","uris":["http://zotero.org/users/6587080/items/C39DZDFE"],"itemData":{"id":11,"type":"article-journal","abstract":"Background While ethnic disparities in health and health care are increasing, evidence on how to enhance quality of care and reduce inequalities remains limited. Despite growth in the scope and application of guidelines on “cultural competence,” remarkably little is known about how practising health professionals experience and perceive their work with patients from diverse ethnic communities. Using cancer care as a clinical context, we aimed to explore this with a range of health professionals to inform interventions to enhance quality of care. Methods and Findings We conducted a qualitative study involving 18 focus groups with a purposeful sample of 106 health professionals of differing disciplines, in primary and secondary care settings, working with patient populations of varying ethnic diversity in the Midlands of the UK. Data were analysed by constant comparison and we undertook processes for validation of analysis. We found that, as they sought to offer appropriate care, health professionals wrestled with considerable uncertainty and apprehension in responding to the needs of patients of ethnicities different from their own. They emphasised their perceived ignorance about cultural difference and were anxious about being culturally inappropriate, causing affront, or appearing discriminatory or racist. Professionals' ability to think and act flexibly or creatively faltered. Although trying to do their best, professionals' uncertainty was disempowering, creating a disabling hesitancy and inertia in their practice. Most professionals sought and applied a knowledge-based cultural expertise approach to patients, though some identified the risk of engendering stereotypical expectations of patients. Professionals' uncertainty and disempowerment had the potential to perpetuate each other, to the detriment of patient care. Conclusions This study suggests potential mechanisms by which health professionals may inadvertently contribute to ethnic disparities in health care. It identifies critical opportunities to empower health professionals to respond more effectively. Interventions should help professionals acknowledge their uncertainty and its potential to create inertia in their practice. A shift away from a cultural expertise model toward a greater focus on each patient as an individual may help.","container-title":"PLOS Medicine","DOI":"10.1371/journal.pmed.0040323","ISSN":"1549-1676","issue":"11","journalAbbreviation":"PLOS Medicine","language":"en","page":"e323","source":"PLoS Journals","title":"Professional Uncertainty and Disempowerment Responding to Ethnic Diversity in Health Care: A Qualitative Study","title-short":"Professional Uncertainty and Disempowerment Responding to Ethnic Diversity in Health Care","volume":"4","author":[{"family":"Kai","given":"Joe"},{"family":"Beavan","given":"Jackie"},{"family":"Faull","given":"Christina"},{"family":"Dodson","given":"Lynne"},{"family":"Gill","given":"Paramjit"},{"family":"Beighton","given":"Angela"}],"issued":{"date-parts":[["2007",11,13]]}}},{"id":"aZbwIlcN/k7UW2NRj","uris":["http://zotero.org/users/6587080/items/8K6MCWH6"],"itemData":{"id":162,"type":"article-journal","abstract":"Background:\nEvidence concerning the influence of ethnic diversity on clinical encounters in cancer care is sparse. We explored health providers' experiences in this context.\n\nMethods:\nFocus groups were conducted with a purposeful sample of 106 health professionals of differing disciplines, in 18 UK primary and secondary care settings. Qualitative data were analysed using constant comparison and processes for validation.\n\nResults:\nCommunication and the quality of information exchanged with patients about cancer and their treatment was commonly frustrated within interpreter-mediated consultations, particularly those involving a family member. Relatives' approach to ownership of information and decision making could hinder assessment, informed consent and discussion of care with patients. This magnified the complexity of disclosing information sensitively and appropriately at the end of life. Professionals' concern to be patient-centred, and regard for patient choice and autonomy, were tested in these circumstances.\n\nConclusion:\nHealth professionals require better preparation to work effectively not only with trained interpreters, but also with the common reality of patients' families interpreting for patients, to improve quality of cancer care. Greater understanding of cultural and individual variations in concepts of disclosure, patient autonomy and patient-centredness is needed. The extent to which these concepts may be ethnocentric and lack universality deserves wider consideration.","container-title":"British Journal of Cancer","DOI":"10.1038/bjc.2011.318","ISSN":"0007-0920","issue":"7","journalAbbreviation":"Br J Cancer","page":"918-924","source":"PubMed Central","title":"Challenges of mediated communication, disclosure and patient autonomy in cross-cultural cancer care","volume":"105","author":[{"family":"Kai","given":"J."},{"family":"Beavan","given":"J."},{"family":"Faull","given":"C."}],"issued":{"date-parts":[["2011",9,27]]}}},{"id":"aZbwIlcN/jcOBX7g9","uris":["http://zotero.org/users/6587080/items/344ZK767"],"itemData":{"id":"qcOtDS7a/ygoVtcoM","type":"article-journal","abstract":"Europe PMC is an archive of life sciences journal literature., Experience of aboriginal health interpreters in mediation of conflicting values in end-of-life decision making.","container-title":"International Journal of Circumpolar Health","ISSN":"1239-9736, 2242-3982","journalAbbreviation":"Int J Circumpolar Health","language":"English","note":"PMID: 10093244","page":"43-48","source":"europepmc.org","title":"Experience of aboriginal health interpreters in mediation of conflicting values in end-of-life decision making.","volume":"57 Suppl 1","author":[{"family":"Kaufert","given":"Jm"},{"family":"Rw","given":"Putsch"},{"family":"M","given":"Lavallée"}],"issued":{"date-parts":[["1998",1,1]]}}},{"id":"aZbwIlcN/wtnR2etl","uris":["http://zotero.org/users/6587080/items/AWMS8TVY"],"itemData":{"id":191,"type":"book","publisher":"Royal College of General Practitioners","source":"Google Scholar","title":"Valuing diversity: a resource for health professional training to respond to cultural diversity","title-short":"Valuing diversity","author":[{"family":"Kai","given":"Joe"}],"issued":{"date-parts":[["2006"]]}}}],"schema":"https://github.com/citation-style-language/schema/raw/master/csl-citation.json"} </w:instrText>
      </w:r>
      <w:r w:rsidRPr="000F7E56">
        <w:rPr>
          <w:rFonts w:ascii="Calibri" w:eastAsia="SimSun" w:hAnsi="Calibri" w:cs="Calibri"/>
        </w:rPr>
        <w:fldChar w:fldCharType="separate"/>
      </w:r>
      <w:r w:rsidR="00496C3B" w:rsidRPr="00496C3B">
        <w:rPr>
          <w:rFonts w:ascii="Calibri" w:hAnsi="Calibri" w:cs="Calibri"/>
          <w:szCs w:val="24"/>
          <w:vertAlign w:val="superscript"/>
        </w:rPr>
        <w:t>46,61,80,81</w:t>
      </w:r>
      <w:r w:rsidRPr="000F7E56">
        <w:rPr>
          <w:rFonts w:ascii="Calibri" w:eastAsia="SimSun" w:hAnsi="Calibri" w:cs="Calibri"/>
        </w:rPr>
        <w:fldChar w:fldCharType="end"/>
      </w:r>
      <w:r w:rsidRPr="000F7E56">
        <w:rPr>
          <w:rFonts w:ascii="Calibri" w:eastAsia="SimSun" w:hAnsi="Calibri" w:cs="Calibri"/>
        </w:rPr>
        <w:t xml:space="preserve"> As a consequence of this uncertainty, professional disempowerment and reticence resulted in inequalities and lower quality care with poorer outcomes for patients and families. Patient ethnicity can influence the behaviour of HCPs, resulting in disparities in care.</w:t>
      </w:r>
      <w:r w:rsidRPr="000F7E56">
        <w:rPr>
          <w:rFonts w:ascii="Calibri" w:eastAsia="SimSun" w:hAnsi="Calibri" w:cs="Calibri"/>
        </w:rPr>
        <w:fldChar w:fldCharType="begin"/>
      </w:r>
      <w:r w:rsidR="000D5597">
        <w:rPr>
          <w:rFonts w:ascii="Calibri" w:eastAsia="SimSun" w:hAnsi="Calibri" w:cs="Calibri"/>
        </w:rPr>
        <w:instrText xml:space="preserve"> ADDIN ZOTERO_ITEM CSL_CITATION {"citationID":"mZmuubaS","properties":{"formattedCitation":"\\super 26,61,82\\nosupersub{}","plainCitation":"26,61,82","noteIndex":0},"citationItems":[{"id":"aZbwIlcN/wakglVR0","uris":["http://zotero.org/users/6587080/items/TLXFQBFS"],"itemData":{"id":151,"type":"article-journal","abstract":"Background\nEvidence of low end-of-life (EoL) care service use by minority ethnic groups in the UK has given rise to a body of research and a number of reviews of the literature. This article aims to review and evaluate literature reviews on minority ethnic groups and EoL care in the UK and assess their suitability as an evidence base for policy.\n\nMethods\nSystematic review. Searches were carried out in thirteen electronic databases, eight journals, reference lists, and grey literature. Reviews were included if they concerned minority ethnic groups and EoL care in the UK. Reviews were graded for quality and key themes identified.\n\nResults\nThirteen reviews (2001-2009) met inclusion criteria. Seven took a systematic approach, of which four scored highly for methodological quality (a mean score of six, median seven). The majority of systematic reviews were therefore of a reasonable methodological quality. Most reviews were restricted by ethnic group, aspect of EoL care, or were broader reviews which reported relevant findings. Six key themes were identified.\n\nConclusions\nA number of reviews were systematic and scored highly for methodological quality. These reviews provide a good reflection of the primary evidence and could be used to inform policy. The complexity and inter-relatedness of factors leading to low service use was recognised and reflected in reviews' recommendations for service improvement. Recommendations made in the UK End-of-Life Care Strategy were limited in comparison, and the Strategy's evidence base concerning minority ethnic groups was found to be narrow. Future policy should be embedded strongly in the evidence base to reflect the current literature and minimise bias.","container-title":"BMC Health Services Research","DOI":"10.1186/1472-6963-11-141","ISSN":"1472-6963","journalAbbreviation":"BMC Health Serv Res","page":"141","source":"PubMed Central","title":"Appraisal of literature reviews on end-of-life care for minority ethnic groups in the UK and a critical comparison with policy recommendations from the UK end-of-life care strategy","volume":"11","author":[{"family":"Evans","given":"Natalie"},{"family":"Meñaca","given":"Arantza"},{"family":"Andrew","given":"Erin VW"},{"family":"Koffman","given":"Jonathan"},{"family":"Harding","given":"Richard"},{"family":"Higginson","given":"Irene J."},{"family":"Pool","given":"Robert"},{"family":"Gysels","given":"Marjolein"}],"issued":{"date-parts":[["2011",6,2]]}}},{"id":"aZbwIlcN/k7UW2NRj","uris":["http://zotero.org/users/6587080/items/8K6MCWH6"],"itemData":{"id":"qcOtDS7a/tSkFeM3C","type":"article-journal","abstract":"Background:\nEvidence concerning the influence of ethnic diversity on clinical encounters in cancer care is sparse. We explored health providers' experiences in this context.\n\nMethods:\nFocus groups were conducted with a purposeful sample of 106 health professionals of differing disciplines, in 18 UK primary and secondary care settings. Qualitative data were analysed using constant comparison and processes for validation.\n\nResults:\nCommunication and the quality of information exchanged with patients about cancer and their treatment was commonly frustrated within interpreter-mediated consultations, particularly those involving a family member. Relatives' approach to ownership of information and decision making could hinder assessment, informed consent and discussion of care with patients. This magnified the complexity of disclosing information sensitively and appropriately at the end of life. Professionals' concern to be patient-centred, and regard for patient choice and autonomy, were tested in these circumstances.\n\nConclusion:\nHealth professionals require better preparation to work effectively not only with trained interpreters, but also with the common reality of patients' families interpreting for patients, to improve quality of cancer care. Greater understanding of cultural and individual variations in concepts of disclosure, patient autonomy and patient-centredness is needed. The extent to which these concepts may be ethnocentric and lack universality deserves wider consideration.","container-title":"British Journal of Cancer","DOI":"10.1038/bjc.2011.318","ISSN":"0007-0920","issue":"7","journalAbbreviation":"Br J Cancer","page":"918-924","source":"PubMed Central","title":"Challenges of mediated communication, disclosure and patient autonomy in cross-cultural cancer care","volume":"105","author":[{"family":"Kai","given":"J."},{"family":"Beavan","given":"J."},{"family":"Faull","given":"C."}],"issued":{"date-parts":[["2011",9,27]]}}},{"id":"aZbwIlcN/vvgU3NCC","uris":["http://zotero.org/users/6587080/items/FGQK2BSA"],"itemData":{"id":204,"type":"article-journal","abstract":"Objective.  Little is known about why black patients and other ethnic/racial minorities are less likely to receive the best treatments independent of clinical appropriateness, payer, and treatment site. Although both provider and patient behavior have been suggested as possible explanatory factors, the potential role of provider behavior has remained largely unexplored. Does provider behavior contribute to systematic inequities? If so, why? The purpose of this paper is to build on existing evidence to provide an integrated, coherent, and sound approach to future research on the provider contribution to race/ethnicity disparities in medical care. First, the existing evidence suggestive of a provider contribution to race/ethnicity variance in medical care is discussed. Second, a proposed causal model, based on a review of the social cognition and provider behavior literature, representing an integrated set of hypothesized mechanisms through which physician behavior may contribute to race/ethnicity disparities in care is presented., Conclusion.  There is sufficient evidence for the hypothesis that provider behavior contributes to race/ethnicity disparities in care to warrant further study. Although there is some evidence of support of the hypotheses that both provider beliefs about of patients and provider behavior during encounters are independently influenced by patient race/ethnicity further systematic rigorous study is needed and is proposed as a major immediate research priority. These mechanisms deserve intensive research focus as they may prove to be the most promising targets for interventions intended to ameliorate the provider contribution to disparities in care., (C) 2002 Lippincott Williams &amp; Wilkins, Inc.","call-number":"00005650-200201001-00015","container-title":"Medical Care","ISSN":"0025-7079","issue":"1","language":"English.","source":"Journals@Ovid","title":"Research on the Provider Contribution to Race/Ethnicity Disparities in Medical Care","volume":"40","author":[{"family":"Ryn","given":"Michelle","non-dropping-particle":"van"}],"issued":{"date-parts":[["2002",1]]}}}],"schema":"https://github.com/citation-style-language/schema/raw/master/csl-citation.json"} </w:instrText>
      </w:r>
      <w:r w:rsidRPr="000F7E56">
        <w:rPr>
          <w:rFonts w:ascii="Calibri" w:eastAsia="SimSun" w:hAnsi="Calibri" w:cs="Calibri"/>
        </w:rPr>
        <w:fldChar w:fldCharType="separate"/>
      </w:r>
      <w:r w:rsidR="00496C3B" w:rsidRPr="00496C3B">
        <w:rPr>
          <w:rFonts w:ascii="Calibri" w:hAnsi="Calibri" w:cs="Calibri"/>
          <w:szCs w:val="24"/>
          <w:vertAlign w:val="superscript"/>
        </w:rPr>
        <w:t>26,61,82</w:t>
      </w:r>
      <w:r w:rsidRPr="000F7E56">
        <w:rPr>
          <w:rFonts w:ascii="Calibri" w:eastAsia="SimSun" w:hAnsi="Calibri" w:cs="Calibri"/>
        </w:rPr>
        <w:fldChar w:fldCharType="end"/>
      </w:r>
    </w:p>
    <w:p w14:paraId="36F32B47" w14:textId="77777777" w:rsidR="000F7E56" w:rsidRPr="000F7E56" w:rsidRDefault="000F7E56" w:rsidP="000F7E56">
      <w:pPr>
        <w:spacing w:before="120" w:after="0" w:line="360" w:lineRule="auto"/>
        <w:contextualSpacing/>
        <w:rPr>
          <w:rFonts w:ascii="Calibri" w:eastAsia="SimSun" w:hAnsi="Calibri" w:cs="Calibri"/>
        </w:rPr>
      </w:pPr>
    </w:p>
    <w:p w14:paraId="29D0179D" w14:textId="77777777" w:rsidR="000F7E56" w:rsidRPr="000F7E56" w:rsidRDefault="000F7E56" w:rsidP="000F7E56">
      <w:pPr>
        <w:keepNext/>
        <w:keepLines/>
        <w:spacing w:before="120" w:after="0" w:line="360" w:lineRule="auto"/>
        <w:outlineLvl w:val="1"/>
        <w:rPr>
          <w:rFonts w:asciiTheme="majorHAnsi" w:eastAsia="SimSun" w:hAnsiTheme="majorHAnsi" w:cstheme="majorHAnsi"/>
          <w:color w:val="0070C0"/>
          <w:sz w:val="24"/>
          <w:szCs w:val="24"/>
        </w:rPr>
      </w:pPr>
      <w:bookmarkStart w:id="58" w:name="_Toc89665141"/>
      <w:bookmarkStart w:id="59" w:name="_Toc89671894"/>
      <w:bookmarkStart w:id="60" w:name="_Toc89763944"/>
      <w:bookmarkStart w:id="61" w:name="_Toc106697770"/>
      <w:bookmarkStart w:id="62" w:name="_Toc87279299"/>
      <w:r w:rsidRPr="000F7E56">
        <w:rPr>
          <w:rFonts w:asciiTheme="majorHAnsi" w:eastAsia="SimSun" w:hAnsiTheme="majorHAnsi" w:cstheme="majorHAnsi"/>
          <w:color w:val="0070C0"/>
          <w:sz w:val="24"/>
          <w:szCs w:val="24"/>
        </w:rPr>
        <w:t>Considering ethnic diversity in policy</w:t>
      </w:r>
      <w:bookmarkEnd w:id="58"/>
      <w:bookmarkEnd w:id="59"/>
      <w:bookmarkEnd w:id="60"/>
      <w:bookmarkEnd w:id="61"/>
      <w:r w:rsidRPr="000F7E56">
        <w:rPr>
          <w:rFonts w:asciiTheme="majorHAnsi" w:eastAsia="SimSun" w:hAnsiTheme="majorHAnsi" w:cstheme="majorHAnsi"/>
          <w:color w:val="0070C0"/>
          <w:sz w:val="24"/>
          <w:szCs w:val="24"/>
        </w:rPr>
        <w:t xml:space="preserve"> </w:t>
      </w:r>
      <w:bookmarkEnd w:id="62"/>
    </w:p>
    <w:p w14:paraId="2F26AD31" w14:textId="263695D5" w:rsidR="000F7E56" w:rsidRPr="000F7E56" w:rsidRDefault="000F7E56" w:rsidP="000F7E56">
      <w:pPr>
        <w:autoSpaceDE w:val="0"/>
        <w:autoSpaceDN w:val="0"/>
        <w:adjustRightInd w:val="0"/>
        <w:spacing w:before="120" w:after="0" w:line="360" w:lineRule="auto"/>
        <w:rPr>
          <w:rFonts w:eastAsia="SimSun" w:cstheme="minorHAnsi"/>
        </w:rPr>
      </w:pPr>
      <w:r w:rsidRPr="000F7E56">
        <w:rPr>
          <w:rFonts w:eastAsia="SimSun" w:cstheme="minorHAnsi"/>
        </w:rPr>
        <w:t>In the UK, contemporary policy is directed at trying to increase the proportions of death that occur at home (or usual place of residence) both because this is seen by the majority of patients and the public  as their ‘ideal’ environment in which to die and because cost savings are anticipated once a shift occurs from hospital to community care.</w:t>
      </w:r>
      <w:r w:rsidRPr="000F7E56">
        <w:rPr>
          <w:rFonts w:eastAsia="SimSun" w:cstheme="minorHAnsi"/>
        </w:rPr>
        <w:fldChar w:fldCharType="begin"/>
      </w:r>
      <w:r w:rsidR="000D5597">
        <w:rPr>
          <w:rFonts w:eastAsia="SimSun" w:cstheme="minorHAnsi"/>
        </w:rPr>
        <w:instrText xml:space="preserve"> ADDIN ZOTERO_ITEM CSL_CITATION {"citationID":"84rgJU2l","properties":{"formattedCitation":"\\super 83\\nosupersub{}","plainCitation":"83","noteIndex":0},"citationItems":[{"id":"aZbwIlcN/o15zZXhX","uris":["http://zotero.org/users/6587080/items/6F6URFTT"],"itemData":{"id":296,"type":"article-journal","abstract":"This practical guide promotes the standard collection and use of ethnic group and related data on patients, service users and staff of the NHS and social services. It updates and widens previous guidance issued in 2002. It features a range of good practice examples drawn from various parts of the NHS and social care. Through using this guide, the NHS and social services will be assisted in meeting their responsibilities under the Race Relations (Amendment) Act 2000.","language":"eng","source":"webarchive.nationalarchives.gov.uk","title":"National standards for ethnic group and related matters","URL":"https://webarchive.nationalarchives.gov.uk/+/http://www.dh.gov.uk/en/Publicationsandstatistics/Publications/PublicationsPolicyAndGuidance/Browsable/DH_5319155","author":[{"family":"Department of Health","given":""}],"accessed":{"date-parts":[["2019",2,1]]},"issued":{"date-parts":[["2005",7,29]]}}}],"schema":"https://github.com/citation-style-language/schema/raw/master/csl-citation.json"} </w:instrText>
      </w:r>
      <w:r w:rsidRPr="000F7E56">
        <w:rPr>
          <w:rFonts w:eastAsia="SimSun" w:cstheme="minorHAnsi"/>
        </w:rPr>
        <w:fldChar w:fldCharType="separate"/>
      </w:r>
      <w:r w:rsidR="00496C3B" w:rsidRPr="00496C3B">
        <w:rPr>
          <w:rFonts w:ascii="Calibri" w:hAnsi="Calibri" w:cs="Calibri"/>
          <w:szCs w:val="24"/>
          <w:vertAlign w:val="superscript"/>
        </w:rPr>
        <w:t>83</w:t>
      </w:r>
      <w:r w:rsidRPr="000F7E56">
        <w:rPr>
          <w:rFonts w:eastAsia="SimSun" w:cstheme="minorHAnsi"/>
        </w:rPr>
        <w:fldChar w:fldCharType="end"/>
      </w:r>
      <w:r w:rsidRPr="000F7E56">
        <w:rPr>
          <w:rFonts w:eastAsia="SimSun" w:cstheme="minorHAnsi"/>
        </w:rPr>
        <w:t xml:space="preserve"> There is some evidence that this ‘ideal’ is not met for minority ethnic groups who die at home less often than the ethnic majority in the USA, and in Canada.</w:t>
      </w:r>
      <w:r w:rsidRPr="000F7E56">
        <w:rPr>
          <w:rFonts w:eastAsia="SimSun" w:cstheme="minorHAnsi"/>
        </w:rPr>
        <w:fldChar w:fldCharType="begin"/>
      </w:r>
      <w:r w:rsidR="000D5597">
        <w:rPr>
          <w:rFonts w:eastAsia="SimSun" w:cstheme="minorHAnsi"/>
        </w:rPr>
        <w:instrText xml:space="preserve"> ADDIN ZOTERO_ITEM CSL_CITATION {"citationID":"KXW1A7G6","properties":{"formattedCitation":"\\super 3,25,84\\uc0\\u8211{}89\\nosupersub{}","plainCitation":"3,25,84–89","noteIndex":0},"citationItems":[{"id":"aZbwIlcN/WOrttcKv","uris":["http://zotero.org/users/6587080/items/TF89Y6ZR"],"itemData":{"id":"UwE3ier4/j7nw5Qk4","type":"article-journal","language":"en","page":"171","source":"Zotero","title":"End of Life Care Strategy - Promoting high quality care of all adults at the end of life.","author":[{"family":"Department of Health","given":""}],"issued":{"date-parts":[["2008"]]}}},{"id":"aZbwIlcN/vqPrqkfi","uris":["http://zotero.org/users/6587080/items/E73EUZV4"],"itemData":{"id":"UwE3ier4/timoo93x","type":"report","language":"en","page":"79","publisher":"King’s College London, Cicely Saunders Institute","source":"Zotero","title":"Palliative and end of life for Black, Asian and Minority Ethnic groups in the UK","author":[{"family":"Calanzani","given":"Natalia"},{"family":"Koffman","given":"Dr Jonathan"},{"family":"Higginson","given":"Irene J."}],"issued":{"date-parts":[["2013",6]]}}},{"id":"aZbwIlcN/CKrlGLTb","uris":["http://zotero.org/users/6587080/items/JT35IDY8"],"itemData":{"id":"UwE3ier4/aFmD88Ja","type":"article-journal","abstract":"The technologies used to treat the millions who receive care in intensive care unit (ICUs) each year have steadily advanced. However, the quality of I…","container-title":"Contemporary Clinical Trials","DOI":"10.1016/j.cct.2021.106319","ISSN":"1551-7144","language":"en","note":"publisher: Elsevier","page":"106319","source":"www.sciencedirect.com","title":"Improving racial disparities in unmet palliative care needs among intensive care unit family members with a needs-targeted app intervention: The ICUconnect randomized clinical trial","title-short":"Improving racial disparities in unmet palliative care needs among intensive care unit family members with a needs-targeted app intervention","volume":"103","author":[{"family":"Cox","given":"Christopher E"},{"literal":"Isaretta L. Riley"},{"literal":", Deepshikha C. Ashana"},{"literal":", Krista Haines"},{"literal":", Maren"},{"literal":"K. Olsen"},{"literal":", Jessie Gu"},{"literal":", Elias H. Pratt"},{"literal":", Mashael Al-Hegelan"},{"literal":", Robert W. Harrison"},{"literal":", Allie Frear"}],"issued":{"date-parts":[["2021",4,1]]}}},{"id":1732,"uris":["http://zotero.org/users/8748280/items/NZ8L2UDD"],"itemData":{"id":1732,"type":"article-journal","abstract":"The high prevalence of pain and other symptoms throughout the HIV disease trajectory, the need for management of side effects related to antiretroviral therapy, the continuing incidence of cancers and new emerging co-morbidities as a result of extended life expectancy under new therapeutic regimes, and the ongoing need for terminal care all prove the curative versus palliative dichotomy to be inappropriate. Although there is evidence for both need and effectiveness of palliative care in HIV patient care, access is often poor and care less than optimal.\n            This review aimed to identify evidence of barriers and inequalities in HIV palliative care in order to inform policy and service development. Biomedical databases were searched using a specific strategy, and evidence extracted into the barrier and inequity categories of patient, clinician, service and disease factors. A model of the barriers and inequalities is presented from the evidence. Recommendations are made from the evidence for promoting access and outcomes through integrated palliative care from diagnosis to end-of-life, alongside antiretroviral therapy when initiated. Service responses that have attempted to increase access to palliative care are presented.","container-title":"Palliative Medicine","DOI":"10.1191/0269216305pm1005oa","ISSN":"0269-2163, 1477-030X","issue":"3","journalAbbreviation":"Palliat Med","language":"en","page":"251-258","source":"DOI.org (Crossref)","title":"Access and equity in HIV/AIDS palliative care: a review of the evidence and responses","title-short":"Access and equity in HIV/AIDS palliative care","volume":"19","author":[{"family":"Harding","given":"Richard"},{"family":"Easterbrook","given":"Philippa"},{"family":"Higginson","given":"Irene J"},{"family":"Karus","given":"Dan"},{"family":"Raveis","given":"Victoria H"},{"family":"Marconi","given":"Katherine"}],"issued":{"date-parts":[["2005",4]]}}},{"id":1733,"uris":["http://zotero.org/users/8748280/items/VWTUDIY4"],"itemData":{"id":1733,"type":"article-journal","container-title":"Journal of Palliative Medicine","DOI":"10.1089/jpm.2007.0216","ISSN":"1096-6218, 1557-7740","issue":"5","journalAbbreviation":"Journal of Palliative Medicine","language":"en","page":"763-768","source":"DOI.org (Crossref)","title":"Racial/Ethnic Disparities in Hospice Care: A Systematic Review","title-short":"Racial/Ethnic Disparities in Hospice Care","volume":"11","author":[{"family":"Cohen","given":"Lilian Liou"}],"issued":{"date-parts":[["2008",6]]}}},{"id":1740,"uris":["http://zotero.org/users/8748280/items/66YNKVEA"],"itemData":{"id":1740,"type":"report","genre":"Equality  and Human Rights Commission Research Report Series","title":"Inequalities experienced by Gypsy and Traveller communities: A review","author":[{"family":"Cemlyn, Sarah","given":""},{"family":"Greenfields, Margaret","given":""},{"family":"Burnett, Sally","given":""},{"family":"Matthews, Zoe","given":""},{"family":"Whitwell, Chris","given":""}],"issued":{"date-parts":[["2009"]],"season":"Winter"}}},{"id":1734,"uris":["http://zotero.org/users/8748280/items/ZWX88QAA"],"itemData":{"id":1734,"type":"article-journal","abstract":"OBJECTIVE\nTo understand some of the cross-cultural issues in providing palliative care to aboriginal patients.\n\nSOURCES OF INFORMATION\nMEDLINE (1966 to 2005), CINAHL, PsycINFO, Google Scholar, and the Aboriginal Health Collection at the University of Manitoba were searched. Studies were selected based on their focus on both general cross-cultural caregiving and, in particular, end-of-life decision making and treatment. Only 39 relevant articles were found, half of which were opinion pieces by experienced nonaboriginal professionals; 14 were qualitative research projects from nursing and anthropologic perspectives.\n\nMAIN MESSAGE\nAll patients are unique. Some cultural differences might arise when providing palliative care to aboriginal patients, who value individual respect along with family and community. Involvement of family and community members in decision making around end-of-life issues is common. Aboriginal cultures often have different approaches to telling bad news and maintaining hope for patients. Use of interpreters and various communication styles add to the challenge.\n\nCONCLUSION\nCultural differences exist between medical caregivers and aboriginal patients. These include different assumptions and expectations about how communication should occur, who should be involved, and the pace of decision making. Aboriginal patients might value indirect communication, use of silence, and sharing information and decision making with family and community members.","container-title":"Canadian Family Physician","ISSN":"0008-350X","issue":"9","journalAbbreviation":"Can Fam Physician","note":"PMID: 17872874\nPMCID: PMC2234625","page":"1459-1465","source":"PubMed Central","title":"End-of-life issues for aboriginal patients","volume":"53","author":[{"family":"Kelly","given":"Len"},{"family":"Minty","given":"Alana"}],"issued":{"date-parts":[["2007",9]]}}},{"id":1737,"uris":["http://zotero.org/users/8748280/items/BQF8XA27"],"itemData":{"id":1737,"type":"article-journal","container-title":"Critical Care Medicine","DOI":"10.1097/01.CCM.0000065121.62144.0D","ISSN":"0090-3493","issue":"Supplement","journalAbbreviation":"Critical Care Medicine","language":"en","page":"S373-S378","source":"DOI.org (Crossref)","title":"Race and the intensive care unit: Disparities and preferences for end-of-life care:","title-short":"Race and the intensive care unit","volume":"31","author":[{"family":"Degenholtz","given":"Howard B."},{"family":"Thomas","given":"Stephen B."},{"family":"Miller","given":"Michael J."}],"issued":{"date-parts":[["2003",5]]}}}],"schema":"https://github.com/citation-style-language/schema/raw/master/csl-citation.json"} </w:instrText>
      </w:r>
      <w:r w:rsidRPr="000F7E56">
        <w:rPr>
          <w:rFonts w:eastAsia="SimSun" w:cstheme="minorHAnsi"/>
        </w:rPr>
        <w:fldChar w:fldCharType="separate"/>
      </w:r>
      <w:r w:rsidR="00496C3B" w:rsidRPr="00496C3B">
        <w:rPr>
          <w:rFonts w:ascii="Calibri" w:hAnsi="Calibri" w:cs="Calibri"/>
          <w:szCs w:val="24"/>
          <w:vertAlign w:val="superscript"/>
        </w:rPr>
        <w:t>3,25,84–89</w:t>
      </w:r>
      <w:r w:rsidRPr="000F7E56">
        <w:rPr>
          <w:rFonts w:eastAsia="SimSun" w:cstheme="minorHAnsi"/>
        </w:rPr>
        <w:fldChar w:fldCharType="end"/>
      </w:r>
      <w:r w:rsidRPr="000F7E56">
        <w:rPr>
          <w:rFonts w:eastAsia="SimSun" w:cstheme="minorHAnsi"/>
        </w:rPr>
        <w:t xml:space="preserve"> In the UK, where it has been found those of Caribbean origin were less likely to say that care givers or patients were given sufficient choice about the location of their death.</w:t>
      </w:r>
      <w:r w:rsidRPr="000F7E56">
        <w:rPr>
          <w:rFonts w:eastAsia="SimSun" w:cstheme="minorHAnsi"/>
        </w:rPr>
        <w:fldChar w:fldCharType="begin"/>
      </w:r>
      <w:r w:rsidR="000D5597">
        <w:rPr>
          <w:rFonts w:eastAsia="SimSun" w:cstheme="minorHAnsi"/>
        </w:rPr>
        <w:instrText xml:space="preserve"> ADDIN ZOTERO_ITEM CSL_CITATION {"citationID":"7A6XlSdt","properties":{"formattedCitation":"\\super 90\\nosupersub{}","plainCitation":"90","noteIndex":0},"citationItems":[{"id":"aZbwIlcN/icUOspLc","uris":["http://zotero.org/users/6587080/items/WTFSSH7X"],"itemData":{"id":"qcOtDS7a/KgUre90U","type":"webpage","abstract":"Journal of Palliative Medicine","container-title":"https://home.liebertpub.com/jpm","genre":"research-article","language":"en","note":"archive_location: 2 Madison Avenue Larchmont, NY 10538 USA\npublisher: Mary Ann Liebert, Inc.  2 Madison Avenue Larchmont, NY 10538 USA\nDOI: 10.1089/jpm.2004.7.628","title":"Dying to be Home? Preferred Location of Death of First-Generation Black Caribbean and Native-Born White Patients in the United Kingdom","title-short":"Dying to be Home?","URL":"https://www.liebertpub.com/doi/abs/10.1089/jpm.2004.7.628","author":[{"family":"Koffman","given":"Jonathan"},{"family":"Higginson","given":"Irene J."}],"accessed":{"date-parts":[["2021",2,19]]},"issued":{"date-parts":[["2004",10,29]]}}}],"schema":"https://github.com/citation-style-language/schema/raw/master/csl-citation.json"} </w:instrText>
      </w:r>
      <w:r w:rsidRPr="000F7E56">
        <w:rPr>
          <w:rFonts w:eastAsia="SimSun" w:cstheme="minorHAnsi"/>
        </w:rPr>
        <w:fldChar w:fldCharType="separate"/>
      </w:r>
      <w:r w:rsidR="00496C3B" w:rsidRPr="00496C3B">
        <w:rPr>
          <w:rFonts w:ascii="Calibri" w:hAnsi="Calibri" w:cs="Calibri"/>
          <w:szCs w:val="24"/>
          <w:vertAlign w:val="superscript"/>
        </w:rPr>
        <w:t>90</w:t>
      </w:r>
      <w:r w:rsidRPr="000F7E56">
        <w:rPr>
          <w:rFonts w:eastAsia="SimSun" w:cstheme="minorHAnsi"/>
        </w:rPr>
        <w:fldChar w:fldCharType="end"/>
      </w:r>
      <w:r w:rsidRPr="000F7E56">
        <w:rPr>
          <w:rFonts w:eastAsia="SimSun" w:cstheme="minorHAnsi"/>
        </w:rPr>
        <w:t xml:space="preserve"> There also appears to be little support for Gypsies and Travellers to die at home (which also appears to be their wish).</w:t>
      </w:r>
      <w:r w:rsidRPr="000F7E56">
        <w:rPr>
          <w:rFonts w:eastAsia="SimSun" w:cstheme="minorHAnsi"/>
        </w:rPr>
        <w:fldChar w:fldCharType="begin"/>
      </w:r>
      <w:r w:rsidR="000D5597">
        <w:rPr>
          <w:rFonts w:eastAsia="SimSun" w:cstheme="minorHAnsi"/>
        </w:rPr>
        <w:instrText xml:space="preserve"> ADDIN ZOTERO_ITEM CSL_CITATION {"citationID":"dAROqOxg","properties":{"formattedCitation":"\\super 25,87\\nosupersub{}","plainCitation":"25,87","noteIndex":0},"citationItems":[{"id":"aZbwIlcN/vqPrqkfi","uris":["http://zotero.org/users/6587080/items/E73EUZV4"],"itemData":{"id":"UwE3ier4/timoo93x","type":"report","language":"en","page":"79","publisher":"King’s College London, Cicely Saunders Institute","source":"Zotero","title":"Palliative and end of life for Black, Asian and Minority Ethnic groups in the UK","author":[{"family":"Calanzani","given":"Natalia"},{"family":"Koffman","given":"Dr Jonathan"},{"family":"Higginson","given":"Irene J."}],"issued":{"date-parts":[["2013",6]]}}},{"id":1740,"uris":["http://zotero.org/users/8748280/items/66YNKVEA"],"itemData":{"id":1740,"type":"report","genre":"Equality  and Human Rights Commission Research Report Series","title":"Inequalities experienced by Gypsy and Traveller communities: A review","author":[{"family":"Cemlyn, Sarah","given":""},{"family":"Greenfields, Margaret","given":""},{"family":"Burnett, Sally","given":""},{"family":"Matthews, Zoe","given":""},{"family":"Whitwell, Chris","given":""}],"issued":{"date-parts":[["2009"]],"season":"Winter"}}}],"schema":"https://github.com/citation-style-language/schema/raw/master/csl-citation.json"} </w:instrText>
      </w:r>
      <w:r w:rsidRPr="000F7E56">
        <w:rPr>
          <w:rFonts w:eastAsia="SimSun" w:cstheme="minorHAnsi"/>
        </w:rPr>
        <w:fldChar w:fldCharType="separate"/>
      </w:r>
      <w:r w:rsidR="00496C3B" w:rsidRPr="00496C3B">
        <w:rPr>
          <w:rFonts w:ascii="Calibri" w:hAnsi="Calibri" w:cs="Calibri"/>
          <w:szCs w:val="24"/>
          <w:vertAlign w:val="superscript"/>
        </w:rPr>
        <w:t>25,87</w:t>
      </w:r>
      <w:r w:rsidRPr="000F7E56">
        <w:rPr>
          <w:rFonts w:eastAsia="SimSun" w:cstheme="minorHAnsi"/>
        </w:rPr>
        <w:fldChar w:fldCharType="end"/>
      </w:r>
      <w:r w:rsidRPr="000F7E56">
        <w:rPr>
          <w:rFonts w:eastAsia="SimSun" w:cstheme="minorHAnsi"/>
        </w:rPr>
        <w:t xml:space="preserve"> It is however, difficult to compare this evidence of place of death with the preferences for  place of death  since evidence of such  preferences for ED groups is not available.</w:t>
      </w:r>
      <w:r w:rsidRPr="000F7E56">
        <w:rPr>
          <w:rFonts w:eastAsia="SimSun" w:cstheme="minorHAnsi"/>
        </w:rPr>
        <w:fldChar w:fldCharType="begin"/>
      </w:r>
      <w:r w:rsidR="000D5597">
        <w:rPr>
          <w:rFonts w:eastAsia="SimSun" w:cstheme="minorHAnsi"/>
        </w:rPr>
        <w:instrText xml:space="preserve"> ADDIN ZOTERO_ITEM CSL_CITATION {"citationID":"GSR1mEa3","properties":{"formattedCitation":"\\super 25\\nosupersub{}","plainCitation":"25","noteIndex":0},"citationItems":[{"id":"aZbwIlcN/vqPrqkfi","uris":["http://zotero.org/users/6587080/items/E73EUZV4"],"itemData":{"id":"UwE3ier4/timoo93x","type":"report","language":"en","page":"79","publisher":"King’s College London, Cicely Saunders Institute","source":"Zotero","title":"Palliative and end of life for Black, Asian and Minority Ethnic groups in the UK","author":[{"family":"Calanzani","given":"Natalia"},{"family":"Koffman","given":"Dr Jonathan"},{"family":"Higginson","given":"Irene J."}],"issued":{"date-parts":[["2013",6]]}}}],"schema":"https://github.com/citation-style-language/schema/raw/master/csl-citation.json"} </w:instrText>
      </w:r>
      <w:r w:rsidRPr="000F7E56">
        <w:rPr>
          <w:rFonts w:eastAsia="SimSun" w:cstheme="minorHAnsi"/>
        </w:rPr>
        <w:fldChar w:fldCharType="separate"/>
      </w:r>
      <w:r w:rsidR="00496C3B" w:rsidRPr="00496C3B">
        <w:rPr>
          <w:rFonts w:ascii="Calibri" w:hAnsi="Calibri" w:cs="Calibri"/>
          <w:szCs w:val="24"/>
          <w:vertAlign w:val="superscript"/>
        </w:rPr>
        <w:t>25</w:t>
      </w:r>
      <w:r w:rsidRPr="000F7E56">
        <w:rPr>
          <w:rFonts w:eastAsia="SimSun" w:cstheme="minorHAnsi"/>
        </w:rPr>
        <w:fldChar w:fldCharType="end"/>
      </w:r>
    </w:p>
    <w:p w14:paraId="79CEEB64" w14:textId="677D37AF" w:rsidR="000F7E56" w:rsidRPr="000F7E56" w:rsidRDefault="000F7E56" w:rsidP="000F7E56">
      <w:pPr>
        <w:autoSpaceDE w:val="0"/>
        <w:autoSpaceDN w:val="0"/>
        <w:adjustRightInd w:val="0"/>
        <w:spacing w:before="120" w:after="0" w:line="360" w:lineRule="auto"/>
        <w:rPr>
          <w:rFonts w:eastAsia="SimSun" w:cstheme="minorHAnsi"/>
        </w:rPr>
      </w:pPr>
      <w:r w:rsidRPr="000F7E56">
        <w:rPr>
          <w:rFonts w:eastAsia="SimSun" w:cstheme="minorHAnsi"/>
        </w:rPr>
        <w:t>Seymour 2007 et al suggest that this policy is largely based on ‘ethnocentric assumptions about the preferences of dying people and their informal care givers for place of care and also for being somewhat blind to the problems (and household costs) with which older people and their informal carers may be confronted in accessing help and support during a final illness’.</w:t>
      </w:r>
      <w:r w:rsidRPr="000F7E56">
        <w:rPr>
          <w:rFonts w:eastAsia="SimSun" w:cstheme="minorHAnsi"/>
        </w:rPr>
        <w:fldChar w:fldCharType="begin"/>
      </w:r>
      <w:r w:rsidR="000D5597">
        <w:rPr>
          <w:rFonts w:eastAsia="SimSun" w:cstheme="minorHAnsi"/>
        </w:rPr>
        <w:instrText xml:space="preserve"> ADDIN ZOTERO_ITEM CSL_CITATION {"citationID":"nFOrLzt0","properties":{"formattedCitation":"\\super 91\\nosupersub{}","plainCitation":"91","noteIndex":0},"citationItems":[{"id":"aZbwIlcN/bFtuM6GG","uris":["http://zotero.org/users/6587080/items/ZJ6TBQN2"],</w:instrText>
      </w:r>
      <w:r w:rsidR="000D5597">
        <w:rPr>
          <w:rFonts w:eastAsia="SimSun" w:cstheme="minorHAnsi" w:hint="eastAsia"/>
        </w:rPr>
        <w:instrText>"itemData":{"id":1949,"type":"article-journal","abstract":"This paper presents findings from two linked studies of white (n = 77) and Chinese (n = 92) older adults living in the UK, which sought their views about end</w:instrText>
      </w:r>
      <w:r w:rsidR="000D5597">
        <w:rPr>
          <w:rFonts w:eastAsia="SimSun" w:cstheme="minorHAnsi" w:hint="eastAsia"/>
        </w:rPr>
        <w:instrText>‐</w:instrText>
      </w:r>
      <w:r w:rsidR="000D5597">
        <w:rPr>
          <w:rFonts w:eastAsia="SimSun" w:cstheme="minorHAnsi" w:hint="eastAsia"/>
        </w:rPr>
        <w:instrText>of</w:instrText>
      </w:r>
      <w:r w:rsidR="000D5597">
        <w:rPr>
          <w:rFonts w:eastAsia="SimSun" w:cstheme="minorHAnsi" w:hint="eastAsia"/>
        </w:rPr>
        <w:instrText>‐</w:instrText>
      </w:r>
      <w:r w:rsidR="000D5597">
        <w:rPr>
          <w:rFonts w:eastAsia="SimSun" w:cstheme="minorHAnsi" w:hint="eastAsia"/>
        </w:rPr>
        <w:instrText>life care. We focus particularly on</w:instrText>
      </w:r>
      <w:r w:rsidR="000D5597">
        <w:rPr>
          <w:rFonts w:eastAsia="SimSun" w:cstheme="minorHAnsi"/>
        </w:rPr>
        <w:instrText xml:space="preserve"> ex...","container-title":"Sociology of Health &amp; Illness","DOI":"10.1111/j.1467-9566.2007.01045.x","ISSN":"1467-9566","issue":"6","language":"en","note":"publisher: John Wiley &amp; Sons, Ltd","page":"872-890","source":"onlinelibrary.wiley.com","title":"Hospi</w:instrText>
      </w:r>
      <w:r w:rsidR="000D5597">
        <w:rPr>
          <w:rFonts w:eastAsia="SimSun" w:cstheme="minorHAnsi" w:hint="eastAsia"/>
        </w:rPr>
        <w:instrText>ce or home? Expectations of end</w:instrText>
      </w:r>
      <w:r w:rsidR="000D5597">
        <w:rPr>
          <w:rFonts w:eastAsia="SimSun" w:cstheme="minorHAnsi" w:hint="eastAsia"/>
        </w:rPr>
        <w:instrText>‐</w:instrText>
      </w:r>
      <w:r w:rsidR="000D5597">
        <w:rPr>
          <w:rFonts w:eastAsia="SimSun" w:cstheme="minorHAnsi" w:hint="eastAsia"/>
        </w:rPr>
        <w:instrText>of</w:instrText>
      </w:r>
      <w:r w:rsidR="000D5597">
        <w:rPr>
          <w:rFonts w:eastAsia="SimSun" w:cstheme="minorHAnsi" w:hint="eastAsia"/>
        </w:rPr>
        <w:instrText>‐</w:instrText>
      </w:r>
      <w:r w:rsidR="000D5597">
        <w:rPr>
          <w:rFonts w:eastAsia="SimSun" w:cstheme="minorHAnsi" w:hint="eastAsia"/>
        </w:rPr>
        <w:instrText>life care among white and Chinese older people in the UK","title-short":"Hospice or home?","volume":"29","author":[{"family":"Seymour","given":"Jane"},{"family":"Payne","given":"Sheila"},{"family":"Chapman","given":"Alic</w:instrText>
      </w:r>
      <w:r w:rsidR="000D5597">
        <w:rPr>
          <w:rFonts w:eastAsia="SimSun" w:cstheme="minorHAnsi"/>
        </w:rPr>
        <w:instrText xml:space="preserve">e"},{"family":"Holloway","given":"Margaret"}],"issued":{"date-parts":[["2007",9,1]]}}}],"schema":"https://github.com/citation-style-language/schema/raw/master/csl-citation.json"} </w:instrText>
      </w:r>
      <w:r w:rsidRPr="000F7E56">
        <w:rPr>
          <w:rFonts w:eastAsia="SimSun" w:cstheme="minorHAnsi"/>
        </w:rPr>
        <w:fldChar w:fldCharType="separate"/>
      </w:r>
      <w:r w:rsidR="00496C3B" w:rsidRPr="00496C3B">
        <w:rPr>
          <w:rFonts w:ascii="Calibri" w:hAnsi="Calibri" w:cs="Calibri"/>
          <w:szCs w:val="24"/>
          <w:vertAlign w:val="superscript"/>
        </w:rPr>
        <w:t>91</w:t>
      </w:r>
      <w:r w:rsidRPr="000F7E56">
        <w:rPr>
          <w:rFonts w:eastAsia="SimSun" w:cstheme="minorHAnsi"/>
        </w:rPr>
        <w:fldChar w:fldCharType="end"/>
      </w:r>
      <w:r w:rsidRPr="000F7E56">
        <w:rPr>
          <w:rFonts w:eastAsia="SimSun" w:cstheme="minorHAnsi"/>
        </w:rPr>
        <w:t xml:space="preserve"> In their research comparing findings from two linked studies of White (n = 77) and Chinese (n = 92) older adults living in the UK, in which they sought views about end-of-life care, they focused on experiences and expectations in relation to the provision of end-of-life care at home and in hospices. Concerns about dying at home were shared by both groups, and related to the demands on the family that may flow from having to manage pain, suffering and the dying body within the domestic space. Among the White elders these concerns appeared to be based on largely practical considerations but were expressed by Chinese elders in terms of explanatory cultural beliefs about ‘contamination’ of the domestic home (and, by implication, of the family) by the dying and dead body.</w:t>
      </w:r>
      <w:r w:rsidRPr="000F7E56">
        <w:rPr>
          <w:rFonts w:eastAsia="SimSun" w:cstheme="minorHAnsi"/>
        </w:rPr>
        <w:fldChar w:fldCharType="begin"/>
      </w:r>
      <w:r w:rsidR="000D5597">
        <w:rPr>
          <w:rFonts w:eastAsia="SimSun" w:cstheme="minorHAnsi"/>
        </w:rPr>
        <w:instrText xml:space="preserve"> ADDIN ZOTERO_ITEM CSL_CITATION {"citationID":"Zc7MaJjv","properties":{"formattedCitation":"\\super 91\\nosupersub{}","plainCitation":"91","noteIndex":0},"citationItems":[{"id":"aZbwIlcN/bFtuM6GG","uris":["http://zotero.org/users/6587080/items/ZJ6TBQN2"],</w:instrText>
      </w:r>
      <w:r w:rsidR="000D5597">
        <w:rPr>
          <w:rFonts w:eastAsia="SimSun" w:cstheme="minorHAnsi" w:hint="eastAsia"/>
        </w:rPr>
        <w:instrText>"itemData":{"id":1949,"type":"article-journal","abstract":"This paper presents findings from two linked studies of white (n = 77) and Chinese (n = 92) older adults living in the UK, which sought their views about end</w:instrText>
      </w:r>
      <w:r w:rsidR="000D5597">
        <w:rPr>
          <w:rFonts w:eastAsia="SimSun" w:cstheme="minorHAnsi" w:hint="eastAsia"/>
        </w:rPr>
        <w:instrText>‐</w:instrText>
      </w:r>
      <w:r w:rsidR="000D5597">
        <w:rPr>
          <w:rFonts w:eastAsia="SimSun" w:cstheme="minorHAnsi" w:hint="eastAsia"/>
        </w:rPr>
        <w:instrText>of</w:instrText>
      </w:r>
      <w:r w:rsidR="000D5597">
        <w:rPr>
          <w:rFonts w:eastAsia="SimSun" w:cstheme="minorHAnsi" w:hint="eastAsia"/>
        </w:rPr>
        <w:instrText>‐</w:instrText>
      </w:r>
      <w:r w:rsidR="000D5597">
        <w:rPr>
          <w:rFonts w:eastAsia="SimSun" w:cstheme="minorHAnsi" w:hint="eastAsia"/>
        </w:rPr>
        <w:instrText>life care. We focus particularly on</w:instrText>
      </w:r>
      <w:r w:rsidR="000D5597">
        <w:rPr>
          <w:rFonts w:eastAsia="SimSun" w:cstheme="minorHAnsi"/>
        </w:rPr>
        <w:instrText xml:space="preserve"> ex...","container-title":"Sociology of Health &amp; Illness","DOI":"10.1111/j.1467-9566.2007.01045.x","ISSN":"1467-9566","issue":"6","language":"en","note":"publisher: John Wiley &amp; Sons, Ltd","page":"872-890","source":"onlinelibrary.wiley.com","title":"Hospi</w:instrText>
      </w:r>
      <w:r w:rsidR="000D5597">
        <w:rPr>
          <w:rFonts w:eastAsia="SimSun" w:cstheme="minorHAnsi" w:hint="eastAsia"/>
        </w:rPr>
        <w:instrText>ce or home? Expectations of end</w:instrText>
      </w:r>
      <w:r w:rsidR="000D5597">
        <w:rPr>
          <w:rFonts w:eastAsia="SimSun" w:cstheme="minorHAnsi" w:hint="eastAsia"/>
        </w:rPr>
        <w:instrText>‐</w:instrText>
      </w:r>
      <w:r w:rsidR="000D5597">
        <w:rPr>
          <w:rFonts w:eastAsia="SimSun" w:cstheme="minorHAnsi" w:hint="eastAsia"/>
        </w:rPr>
        <w:instrText>of</w:instrText>
      </w:r>
      <w:r w:rsidR="000D5597">
        <w:rPr>
          <w:rFonts w:eastAsia="SimSun" w:cstheme="minorHAnsi" w:hint="eastAsia"/>
        </w:rPr>
        <w:instrText>‐</w:instrText>
      </w:r>
      <w:r w:rsidR="000D5597">
        <w:rPr>
          <w:rFonts w:eastAsia="SimSun" w:cstheme="minorHAnsi" w:hint="eastAsia"/>
        </w:rPr>
        <w:instrText>life care among white and Chinese older people in the UK","title-short":"Hospice or home?","volume":"29","author":[{"family":"Seymour","given":"Jane"},{"family":"Payne","given":"Sheila"},{"family":"Chapman","given":"Alic</w:instrText>
      </w:r>
      <w:r w:rsidR="000D5597">
        <w:rPr>
          <w:rFonts w:eastAsia="SimSun" w:cstheme="minorHAnsi"/>
        </w:rPr>
        <w:instrText xml:space="preserve">e"},{"family":"Holloway","given":"Margaret"}],"issued":{"date-parts":[["2007",9,1]]}}}],"schema":"https://github.com/citation-style-language/schema/raw/master/csl-citation.json"} </w:instrText>
      </w:r>
      <w:r w:rsidRPr="000F7E56">
        <w:rPr>
          <w:rFonts w:eastAsia="SimSun" w:cstheme="minorHAnsi"/>
        </w:rPr>
        <w:fldChar w:fldCharType="separate"/>
      </w:r>
      <w:r w:rsidR="00496C3B" w:rsidRPr="00496C3B">
        <w:rPr>
          <w:rFonts w:ascii="Calibri" w:hAnsi="Calibri" w:cs="Calibri"/>
          <w:szCs w:val="24"/>
          <w:vertAlign w:val="superscript"/>
        </w:rPr>
        <w:t>91</w:t>
      </w:r>
      <w:r w:rsidRPr="000F7E56">
        <w:rPr>
          <w:rFonts w:eastAsia="SimSun" w:cstheme="minorHAnsi"/>
        </w:rPr>
        <w:fldChar w:fldCharType="end"/>
      </w:r>
    </w:p>
    <w:p w14:paraId="12295D2F" w14:textId="442930E1" w:rsidR="000F7E56" w:rsidRPr="000F7E56" w:rsidRDefault="000F7E56" w:rsidP="000F7E56">
      <w:pPr>
        <w:autoSpaceDE w:val="0"/>
        <w:autoSpaceDN w:val="0"/>
        <w:adjustRightInd w:val="0"/>
        <w:spacing w:before="120" w:after="0" w:line="360" w:lineRule="auto"/>
        <w:rPr>
          <w:rFonts w:eastAsia="SimSun" w:cstheme="minorHAnsi"/>
        </w:rPr>
      </w:pPr>
      <w:r w:rsidRPr="000F7E56">
        <w:rPr>
          <w:rFonts w:eastAsia="SimSun" w:cstheme="minorHAnsi"/>
        </w:rPr>
        <w:t xml:space="preserve">Additionally, they found that White elders perceived hospices in idealised terms which resonate with a ‘revivalist’ discourse of the ‘good death’ and would choose this if home were not possible. In marked comparison, for those Chinese elders who had heard of them, hospices were regarded as repositories of ‘inauspicious’ care in which opportunities for achieving an appropriate or good death were limited. </w:t>
      </w:r>
      <w:r w:rsidRPr="000F7E56">
        <w:rPr>
          <w:rFonts w:eastAsia="SimSun" w:cstheme="minorHAnsi"/>
        </w:rPr>
        <w:fldChar w:fldCharType="begin"/>
      </w:r>
      <w:r w:rsidR="000D5597">
        <w:rPr>
          <w:rFonts w:eastAsia="SimSun" w:cstheme="minorHAnsi"/>
        </w:rPr>
        <w:instrText xml:space="preserve"> ADDIN ZOTERO_ITEM CSL_CITATION {"citationID":"RLEvaijy","properties":{"formattedCitation":"\\super 92\\uc0\\u8211{}94\\nosupersub{}","plainCitation":"92–94","noteIndex":0},"citationItems":[{"id":"aZbwIlcN/5iSOqXky","uris":["http://zotero.org/users/6587080/items/3AZ46U6H"],"itemData":{"id":"qcOtDS7a/sQkg0AgD","type":"book","abstract":"How, though, are people to know how to die and to grieve? Is the modern self able to make free choices here? What role do professional carers and their theories play in shaping the experiences of people who are dying or bereaved? How do such people learn from each other? To what extent are they influenced by stereotypical ideas of the good death? Is it possible for the self to be in control when the body has lost control? Can the unique personality of the deceased be incorporated into traditional funeral ritual? This is the first book comprehensively to examine the revival of death as a subject and relate it to theories of modernity and postmodernity. The book will interest not only social scientists but anyone learning to care for the dying, the dead or the bereaved.","source":"books.google.co.uk","title":"The Revival of Death","URL":"https://books.google.com/books/about/The_Revival_of_Death.html?id=yqmc6_2szz8C","author":[{"family":"Walter","given":"Julian Anthony"},{"family":"Walter,","given":"Tony"},{"family":"Walter","given":""}],"accessed":{"date-parts":[["2021",1,25]]},"issued":{"date-parts":[["1994"]]}}},{"id":"aZbwIlcN/EGts07tl","uris":["http://zotero.org/users/6587080/items/T55V5NF8"],"itemData":{"id":"qcOtDS7a/747LRszr","type":"book","abstract":"A basic motivation for social and cultural life is the problem of death. By analysing the experiences of dying and bereaved people, as well as institutional responses to death, Clive Seale shows its importance for understanding the place of embodiment in social life. He draws on a comprehensive review of sociological, anthropological and historical studies, including his own research, to demonstrate the great variability that exists in human social constructions for managing mortality. Far from living in a 'death denying' society, dying and bereaved people in contemporary culture are often able to assert membership of an imagined community, through the narrative reconstruction of personal biography, drawing on a variety of cultural scripts emanating from medicine, psychology, the media and other sources. These insights are used to argue that the maintenance of the human social bond in the face of death is a continual resurrective practice, permeating everyday life.","source":"books.google.co.uk","title":"Constructing Death, The sociology of dying and bereavement","URL":"https://books.google.com/books/about/Constructing_Death.html?id=jltSJrq2LG0C","author":[{"family":"Seale,","given":"Clive"}],"accessed":{"date-parts":[["2021",1,25]]},"issued":{"date-parts":[["1998"]]}}},{"id":"aZbwIlcN/NupFds1y","uris":["http://zotero.org/users/6587080/items/PQK8A86R"],"itemData":{"id":"qcOtDS7a/04fAsW2E","type":"article-journal","abstract":"Japan and the United States are both post-industrial societies, characterised by distinct trajectories of dying. Both contain multiple “cultural scrip…","container-title":"Social Science &amp; Medicine","DOI":"10.1016/j.socscimed.2003.10.037","ISSN":"0277-9536","issue":"5","language":"en","note":"publisher: Pergamon","page":"913-928","source":"www.sciencedirect.com","title":"Cultural scripts for a good death in Japan and the United States: similarities and differences","title-short":"Cultural scripts for a good death in Japan and the United States","volume":"58","author":[{"family":"Long","given":"Susan Orpett"}],"issued":{"date-parts":[["2004",3,1]]}}}],"schema":"https://github.com/citation-style-language/schema/raw/master/csl-citation.json"} </w:instrText>
      </w:r>
      <w:r w:rsidRPr="000F7E56">
        <w:rPr>
          <w:rFonts w:eastAsia="SimSun" w:cstheme="minorHAnsi"/>
        </w:rPr>
        <w:fldChar w:fldCharType="separate"/>
      </w:r>
      <w:r w:rsidR="00496C3B" w:rsidRPr="00496C3B">
        <w:rPr>
          <w:rFonts w:ascii="Calibri" w:hAnsi="Calibri" w:cs="Calibri"/>
          <w:szCs w:val="24"/>
          <w:vertAlign w:val="superscript"/>
        </w:rPr>
        <w:t>92–94</w:t>
      </w:r>
      <w:r w:rsidRPr="000F7E56">
        <w:rPr>
          <w:rFonts w:eastAsia="SimSun" w:cstheme="minorHAnsi"/>
        </w:rPr>
        <w:fldChar w:fldCharType="end"/>
      </w:r>
      <w:r w:rsidRPr="000F7E56">
        <w:rPr>
          <w:rFonts w:eastAsia="SimSun" w:cstheme="minorHAnsi"/>
        </w:rPr>
        <w:t xml:space="preserve"> They instead expressed preferences for the medicalised environment of the hospital and actively rejected death at home, because of the contamination and inauspiciousness this entailed.  </w:t>
      </w:r>
    </w:p>
    <w:p w14:paraId="57E87F4F" w14:textId="4CB3584C" w:rsidR="000F7E56" w:rsidRPr="000F7E56" w:rsidRDefault="000F7E56" w:rsidP="000F7E56">
      <w:pPr>
        <w:autoSpaceDE w:val="0"/>
        <w:autoSpaceDN w:val="0"/>
        <w:adjustRightInd w:val="0"/>
        <w:spacing w:before="120" w:after="0" w:line="360" w:lineRule="auto"/>
        <w:rPr>
          <w:rFonts w:eastAsia="SimSun" w:cstheme="minorHAnsi"/>
        </w:rPr>
      </w:pPr>
      <w:r w:rsidRPr="000F7E56">
        <w:rPr>
          <w:rFonts w:eastAsia="SimSun" w:cstheme="minorHAnsi"/>
        </w:rPr>
        <w:lastRenderedPageBreak/>
        <w:t>While having family present during death is perceived as a measure of good quality of end-of-life, some patients may not want to die at home to avoid imposing and burdening the family with caring responsibilities and consider family preparedness to witness deterioration and death of a loved one.</w:t>
      </w:r>
      <w:r w:rsidRPr="000F7E56">
        <w:rPr>
          <w:rFonts w:eastAsia="SimSun" w:cstheme="minorHAnsi"/>
          <w:vertAlign w:val="superscript"/>
        </w:rPr>
        <w:fldChar w:fldCharType="begin"/>
      </w:r>
      <w:r w:rsidR="000D5597">
        <w:rPr>
          <w:rFonts w:eastAsia="SimSun" w:cstheme="minorHAnsi"/>
          <w:vertAlign w:val="superscript"/>
        </w:rPr>
        <w:instrText xml:space="preserve"> ADDIN ZOTERO_ITEM CSL_CITATION {"citationID":"9tRjyt8K","properties":{"formattedCitation":"\\super 52,60,95\\nosupersub{}","plainCitation":"52,60,95","noteIndex":0},"citationItems":[{"id":"aZbwIlcN/uy5GyAUr","uris":["http://zotero.org/users/6587080/items/BWFNFKG3"],"itemData":{"id":2177,"type":"webpage","title":"Patient-Centered Care or Cultural Competence: Negotiating Palliative Care at Home for Chinese Canadian Immigrants - Lisa Seto Nielsen, Jan E. Angus, Doris Howell, Amna Husain, Denise Gastaldo, 2015","URL":"https://journals.sagepub.com/doi/abs/10.1177/1049909114527338","author":[{"family":"Nielsen","given":"Lisa Seto"},{"family":"Jan E. Angus","given":""},{"family":"Doris Howell","given":""}],"accessed":{"date-parts":[["2021",2,22]]},"issued":{"date-parts":[["2015"]]}}},{"id":"aZbwIlcN/9H6wnwJW","uris":["http://zotero.org/users/6587080/items/UMJTI3V8"],"itemData":{"id":"qcOtDS7a/LwvkZSis","type":"webpage","title":"Palliative care: the experience of informal carers within the Bangladeshi community | International Journal of Palliative Nursing","URL":"https://www.magonlinelibrary.com/doi/abs/10.12968/ijpn.2001.7.5.15893","author":[{"family":"Somerville","given":"Jacqueline"}],"accessed":{"date-parts":[["2021",2,21]]},"issued":{"date-parts":[["2001"]]}}},{"id":"aZbwIlcN/gvEp8pPU","uris":["http://zotero.org/users/6587080/items/RIB8HS58"],"itemData":{"id":"qcOtDS7a/sqSiDmnq","type":"webpage","abstract":"of death, and immediately following the patient’s death. We used content analysis to examine respondents’ accounts of the role of nursing staff in fostering and sustaining family presence in the hospital setting. We provide exemplary quotes to contextualize nursing staff behaviors that encouraged, supported, and guided families, enabling them to be present and to function adaptively before, during, and after the loved one’s death. In particular, we focus on nursing behaviors that were responsive to family members’ needs for information, privacy, intimacy, physical comfort, and emotional reassurance. Nurses’ effectiveness in optimizing family support required clinical competency in recognizing the actively dying phase of life and engaging in behaviors that facilitated the delivery EOL care, with thoughtful attention to family needs....","container-title":"LWW","language":"en-US","note":"DOI: 10.1097/NJH.0b013e31825d2af1","title":"“Wrapped in Their Arms”: Next-of-Kin’s Perceptions of How... : Journal of Hospice &amp; Palliative Nursing","title-short":"“Wrapped in Their Arms”","URL":"https://journals.lww.com/jhpn/Fulltext/2012/12000/_Wrapped_in_Their_Arms___Next_of_Kin_s_Perceptions.9.aspx","author":[{"family":"Williams","given":"Beverly Rosa"},{"family":"Lewis, Donna R","given":""},{"family":"Burgio, Kathryn L","given":""},{"family":"Goode, Patricia S","given":""}],"accessed":{"date-parts":[["2021",2,12]]},"issued":{"date-parts":[["2012"]]}}}],"schema":"https://github.com/citation-style-language/schema/raw/master/csl-citation.json"} </w:instrText>
      </w:r>
      <w:r w:rsidRPr="000F7E56">
        <w:rPr>
          <w:rFonts w:eastAsia="SimSun" w:cstheme="minorHAnsi"/>
          <w:vertAlign w:val="superscript"/>
        </w:rPr>
        <w:fldChar w:fldCharType="separate"/>
      </w:r>
      <w:r w:rsidR="00496C3B" w:rsidRPr="00496C3B">
        <w:rPr>
          <w:rFonts w:ascii="Calibri" w:hAnsi="Calibri" w:cs="Calibri"/>
          <w:szCs w:val="24"/>
          <w:vertAlign w:val="superscript"/>
        </w:rPr>
        <w:t>52,60,95</w:t>
      </w:r>
      <w:r w:rsidRPr="000F7E56">
        <w:rPr>
          <w:rFonts w:eastAsia="SimSun" w:cstheme="minorHAnsi"/>
          <w:vertAlign w:val="superscript"/>
        </w:rPr>
        <w:fldChar w:fldCharType="end"/>
      </w:r>
      <w:r w:rsidRPr="000F7E56">
        <w:rPr>
          <w:rFonts w:eastAsia="SimSun" w:cstheme="minorHAnsi"/>
          <w:vertAlign w:val="superscript"/>
        </w:rPr>
        <w:t>,</w:t>
      </w:r>
      <w:r w:rsidRPr="000F7E56">
        <w:rPr>
          <w:rFonts w:eastAsia="SimSun" w:cstheme="minorHAnsi"/>
        </w:rPr>
        <w:t xml:space="preserve"> Even where there is an expectation to receive care from family members out of familial bonding and personal sense of duty, this may sometimes be complicated by factors such as cultural beliefs that if a patient is allowed to die at home they ruin the chances of selling the house in future.</w:t>
      </w:r>
      <w:r w:rsidRPr="000F7E56">
        <w:rPr>
          <w:rFonts w:eastAsia="SimSun" w:cstheme="minorHAnsi"/>
        </w:rPr>
        <w:fldChar w:fldCharType="begin"/>
      </w:r>
      <w:r w:rsidR="000D5597">
        <w:rPr>
          <w:rFonts w:eastAsia="SimSun" w:cstheme="minorHAnsi"/>
        </w:rPr>
        <w:instrText xml:space="preserve"> ADDIN ZOTERO_ITEM CSL_CITATION {"citationID":"r1wmmNWc","properties":{"formattedCitation":"\\super 53,96,97\\nosupersub{}","plainCitation":"53,96,97","noteIndex":0},"citationItems":[{"id":"aZbwIlcN/4dn5h9gH","uris":["http://zotero.org/users/6587080/items/LKFZNIUA"],"itemData":{"id":"qcOtDS7a/200dYuYE","type":"webpage","abstract":"Explore millions of resources from scholarly journals, books, newspapers, videos and more, on the ProQuest Platform.","language":"en","title":"Exploring traditional end-of-life beliefs, values, expectations, and practices among Chinese women living in England: Informing culturally safe care","title-short":"Exploring traditional end-of-life beliefs, values, expectations, and practices among Chinese women living in England","URL":"https://search.proquest.com/openview/f96db384f6cb087a945f242c7f06c37d/1?pq-origsite=gscholar&amp;cbl=39238","author":[{"family":"Fang","given":"","suffix":"Mei Lan"},{"family":"Malcoe, Lorraine Halinka;","given":""},{"family":"Sixsmith, Judith; Wong, Louise Yuen Ming; Callender, Matthew.","given":""}],"accessed":{"date-parts":[["2021",2,22]]},"issued":{"date-parts":[["2015"]]}}},{"id":"aZbwIlcN/kg8JUMjA","uris":["http://zotero.org/users/6587080/items/GBYJUYKT"],"itemData":{"id":"qcOtDS7a/oKe9Wf8B","type":"article-journal","abstract":"The Chinese community, a heterogeneous, highly visible non-English speaking ethnic group in Australia, remains mostly hidden and underrepresented in p…","container-title":"Collegian","DOI":"10.1016/j.colegn.2013.06.002","ISSN":"1322-7696","issue":"4","language":"en","note":"publisher: Elsevier","page":"275-285","source":"www.sciencedirect.com","title":"The experience of Chinese immigrant women in caring for a terminally ill family member in Australia","volume":"21","author":[{"family":"Heidenreich","given":"Mary"},{"family":"Fung KuenKoo","given":""},{"family":"KateWhite","given":""}],"issued":{"date-parts":[["2014",12,1]]}}},{"id":"aZbwIlcN/MTDQo1JN","uris":["http://zotero.org/users/6587080/items/Y9S8TUFL"],"itemData":{"id":2169,"type":"article-journal","abstract":"&lt;h3&gt;Background&lt;/h3&gt; &lt;p&gt;A sizeable cohort of Chinese migrants in high-income non-Asian countries is reaching old age and many will develop life-limiting illnesses. They may benefit from palliative care, which is integrated into universal health coverage in many of these countries, but the uptake of this care among migrant communities remains low. Cultural differences between the Chinese and the host community, and poor language skills may be barriers to access, yet understanding the reasons hindering uptake are obscure.&lt;/p&gt;&lt;h3&gt;Aims&lt;/h3&gt; &lt;p&gt;To understand the cultural perspective of how first generation Chinese migrants and their families perceive the provision of palliative care, to identify what exists which may limit their access in high-income non-Asian countries.&lt;/p&gt;&lt;h3&gt;Design&lt;/h3&gt; &lt;p&gt;A systematic review and three-stage thematic synthesis of qualitative studies. Citations and full texts were reviewed against predefined inclusion criteria. All included studies were appraised for quality.&lt;/p&gt;&lt;h3&gt;Data source&lt;/h3&gt; &lt;p&gt;MEDLINE, EMBASE, PsycINFO, CINAHL and PubMed were searched to July 2019.&lt;/p&gt;&lt;h3&gt;Results&lt;/h3&gt; &lt;p&gt;Seven qualitative studies were identified (from USA, UK, Canada and Australia). Across the studies analytical themes that impacted on the use of palliative care services were identified: (1) migrants’ intrinsic perceptions of cultural practices, (2) their expectations of and preparation for care at the end of life, (3) perspectives and influences of family and (4) knowledge and communication with palliative care providers in the host country. Key elements found that challenge access to palliative care services in the host countries were: Chinese culture is rooted in the core values of the family as opposed to the individual; migrants’ limited experience in their place of origin in accessing healthcare; and practical issues including a lack of language skills of their host country.&lt;/p&gt;&lt;h3&gt;Conclusions&lt;/h3&gt; &lt;p&gt;Palliative care services do not always match the needs of Chinese migrants in non-Asian high-income countries. Engagement and education on multiethnic cultural awareness in both the host non-migrant and the migrant communities is needed.&lt;/p&gt;","container-title":"BMJ Global Health","DOI":"10.1136/bmjgh-2020-003232","ISSN":"2059-7908","issue":"12","language":"en","note":"publisher: BMJ Specialist Journals\nsection: Original research\nPMID: 33334902","page":"e003232","source":"gh.bmj.com","title":"Experience and perspectives on palliative or end-of-life care of Chinese people and their families as immigrants to high-income countries: a systematic review and thematic synthesis","title-short":"Experience and perspectives on palliative or end-of-life care of Chinese people and their families as immigrants to high-income countries","volume":"5","author":[{"family":"Kwok","given":"Harley H. Y."},{"family":"Low","given":"Joesph"},{"family":"Devakumar","given":"Delan"},{"family":"Candy","given":"Bridget"}],"issued":{"date-parts":[["2020",12,1]]}}}],"schema":"https://github.com/citation-style-language/schema/raw/master/csl-citation.json"} </w:instrText>
      </w:r>
      <w:r w:rsidRPr="000F7E56">
        <w:rPr>
          <w:rFonts w:eastAsia="SimSun" w:cstheme="minorHAnsi"/>
        </w:rPr>
        <w:fldChar w:fldCharType="separate"/>
      </w:r>
      <w:r w:rsidR="00496C3B" w:rsidRPr="00496C3B">
        <w:rPr>
          <w:rFonts w:ascii="Calibri" w:hAnsi="Calibri" w:cs="Calibri"/>
          <w:szCs w:val="24"/>
          <w:vertAlign w:val="superscript"/>
        </w:rPr>
        <w:t>53,96,97</w:t>
      </w:r>
      <w:r w:rsidRPr="000F7E56">
        <w:rPr>
          <w:rFonts w:eastAsia="SimSun" w:cstheme="minorHAnsi"/>
        </w:rPr>
        <w:fldChar w:fldCharType="end"/>
      </w:r>
      <w:r w:rsidRPr="000F7E56">
        <w:rPr>
          <w:rFonts w:eastAsia="SimSun" w:cstheme="minorHAnsi"/>
        </w:rPr>
        <w:t xml:space="preserve"> Evidence also suggests that some ED patients and their families may require more support with symptom management, decision-making, and communication as they may interpret palliative care specialists support as an effort to stop curative treatment and focus on end-of-life and hence continue to underutilise hospice services.</w:t>
      </w:r>
      <w:r w:rsidRPr="000F7E56">
        <w:rPr>
          <w:rFonts w:eastAsia="SimSun" w:cstheme="minorHAnsi"/>
        </w:rPr>
        <w:fldChar w:fldCharType="begin"/>
      </w:r>
      <w:r w:rsidR="000D5597">
        <w:rPr>
          <w:rFonts w:eastAsia="SimSun" w:cstheme="minorHAnsi"/>
        </w:rPr>
        <w:instrText xml:space="preserve"> ADDIN ZOTERO_ITEM CSL_CITATION {"citationID":"SDpBtWtR","properties":{"formattedCitation":"\\super 84,98,99\\nosupersub{}","plainCitation":"84,98,99","noteIndex":0},"citationItems":[{"id":"aZbwIlcN/CKrlGLTb","uris":["http://zotero.org/users/6587080/items/JT35IDY8"],"itemData":{"id":"qcOtDS7a/qMlmyZgj","type":"article-journal","abstract":"The technologies used to treat the millions who receive care in intensive care unit (ICUs) each year have steadily advanced. However, the quality of I…","container-title":"Contemporary Clinical Trials","DOI":"10.1016/j.cct.2021.106319","ISSN":"1551-7144","language":"en","note":"publisher: Elsevier","page":"106319","source":"www.sciencedirect.com","title":"Improving racial disparities in unmet palliative care needs among intensive care unit family members with a needs-targeted app intervention: The ICUconnect randomized clinical trial","title-short":"Improving racial disparities in unmet palliative care needs among intensive care unit family members with a needs-targeted app intervention","volume":"103","author":[{"family":"Cox","given":"Christopher E"},{"literal":"Isaretta L. Riley"},{"literal":", Deepshikha C. Ashana"},{"literal":", Krista Haines"},{"literal":", Maren"},{"literal":"K. Olsen"},{"literal":", Jessie Gu"},{"literal":", Elias H. Pratt"},{"literal":", Mashael Al-Hegelan"},{"literal":", Robert W. Harrison"},{"literal":", Allie Frear"}],"issued":{"date-parts":[["2021",4,1]]}}},{"id":"aZbwIlcN/4uzBTAPI","uris":["http://zotero.org/users/6587080/items/TRFVTPBR"],"itemData":{"id":"qcOtDS7a/FUNP3u9h","type":"article-journal","abstract":"Racial and ethnic disparities in health care access and quality are well documented for some minority groups. However, compared to other areas of health care, such as disease prevention, early detection, and curative care, research in disparities in palliative care is limited. Given the rapidly growing population of minority older adults, many of whom will face advanced serious illness, the availability of high-quality palliative care that meets the varied needs of older adults of all races and ethnicities is a priority. This paper reviews existing data on racial and ethnic disparities in use of and quality of palliative care and outlines priorities for future research.","container-title":"Journal of Palliative Medicine","DOI":"10.1089/jpm.2013.9468","ISSN":"1096-6218","issue":"11","journalAbbreviation":"J Palliat Med","page":"1329-1334","source":"PubMed Central","title":"Racial and Ethnic Disparities in Palliative Care","volume":"16","author":[{"family":"Johnson","given":"Kimberly S."}],"issued":{"date-parts":[["2013",11]]}}},{"id":"aZbwIlcN/hYqvbjAz","uris":["http://zotero.org/users/6587080/items/MHQW4BNQ"],"itemData":{"id":2205,"type":"webpage","title":"Evaluation of Racial Disparities in Hospice Use and End-of-Life Treatment Intensity in the REGARDS Cohort","URL":"https://jamanetwork.com/journals/jamanetworkopen/article-abstract/2769692","author":[{"family":"Ornstein,","given":"Katherine A"},{"family":"David L. Roth,","given":""},{"family":"Jin Huang,","given":""}],"accessed":{"date-parts":[["2021",2,24]]},"issued":{"date-parts":[["2020"]]}}}],"schema":"https://github.com/citation-style-language/schema/raw/master/csl-citation.json"} </w:instrText>
      </w:r>
      <w:r w:rsidRPr="000F7E56">
        <w:rPr>
          <w:rFonts w:eastAsia="SimSun" w:cstheme="minorHAnsi"/>
        </w:rPr>
        <w:fldChar w:fldCharType="separate"/>
      </w:r>
      <w:r w:rsidR="00496C3B" w:rsidRPr="00496C3B">
        <w:rPr>
          <w:rFonts w:ascii="Calibri" w:hAnsi="Calibri" w:cs="Calibri"/>
          <w:szCs w:val="24"/>
          <w:vertAlign w:val="superscript"/>
        </w:rPr>
        <w:t>84,98,99</w:t>
      </w:r>
      <w:r w:rsidRPr="000F7E56">
        <w:rPr>
          <w:rFonts w:eastAsia="SimSun" w:cstheme="minorHAnsi"/>
        </w:rPr>
        <w:fldChar w:fldCharType="end"/>
      </w:r>
    </w:p>
    <w:p w14:paraId="0D68CC20" w14:textId="38BFC99A" w:rsidR="000F7E56" w:rsidRPr="000F7E56" w:rsidRDefault="000F7E56" w:rsidP="000F7E56">
      <w:pPr>
        <w:autoSpaceDE w:val="0"/>
        <w:autoSpaceDN w:val="0"/>
        <w:adjustRightInd w:val="0"/>
        <w:spacing w:before="120" w:after="0" w:line="360" w:lineRule="auto"/>
        <w:rPr>
          <w:rFonts w:eastAsia="SimSun" w:cstheme="minorHAnsi"/>
        </w:rPr>
      </w:pPr>
      <w:r w:rsidRPr="000F7E56">
        <w:rPr>
          <w:rFonts w:eastAsia="SimSun" w:cstheme="minorHAnsi"/>
        </w:rPr>
        <w:t>Some people prefer to care for their loved ones at home especially if they doubt the competence of the doctor and their ability to make decisions and judgements that fully consider the best interests of the patient and also to avoid draining family resources in paying for nursing home charges.</w:t>
      </w:r>
      <w:r w:rsidRPr="000F7E56">
        <w:rPr>
          <w:rFonts w:eastAsia="SimSun" w:cstheme="minorHAnsi"/>
        </w:rPr>
        <w:fldChar w:fldCharType="begin"/>
      </w:r>
      <w:r w:rsidR="000D5597">
        <w:rPr>
          <w:rFonts w:eastAsia="SimSun" w:cstheme="minorHAnsi"/>
        </w:rPr>
        <w:instrText xml:space="preserve"> ADDIN ZOTERO_ITEM CSL_CITATION {"citationID":"TKyfHKYA","properties":{"formattedCitation":"\\super 75,100\\nosupersub{}","plainCitation":"75,100","noteIndex":0},"citationItems":[{"id":"aZbwIlcN/ixzzP0d4","uris":["http://zotero.org/users/6587080/items/FMPAAJBE"],"itemData":{"id":"qcOtDS7a/goGcgmER","type":"article-journal","abstract":"Background: Advance care planning (ACP) enables patients to consider, discuss and, if they wish, document their wishes and preferences for future care, including decisions to refuse treatment, in the event that they lose capacity to make decisions for themselves. ACP is a key component of UK health policy to improve the experience of death and dying for patients and their families. There is limited evidence about how patients and health professionals understand ACP, or when and how this is initiated. It is evident that many people find discussion of and planning for end of life care difficult, and tend to avoid the topic. Aim: To investigate how patients, their relatives and health professionals initiate and experience discussion of ACP and the outcomes of advance discussions in shaping care at the end of life. Design and data collection: Qualitative study with two workstreams: (1) interviews with 37 health professionals (general practitioners, specialist nurses and community nurses) about their experiences of ACP; and (2) longitudinal case studies of 21 patients with 6-month follow-up. Cases included a patient and, where possible, a nominated key relative and/or health professional as well as a review of medical records. Complete case triads were obtained for 11 patients. Four cases comprised the patient alone, where respondents were unable or unwilling to nominate either a family member or a professional carer they wished to include in the study. Patients were identified as likely to be within the last 6 months of life. Ninety-seven interviews were completed in total. Setting: General practices and community care settings in the East Midlands of England. Findings: The study found ACP to be uncommon and focused primarily on specific documented tasks involving decisions about preferred place of death and cardiopulmonary resuscitation, supporting earlier research. There was no evidence of ACP in nearly half (9 of 21) of patient cases. Professionals reported ACP discussions to be challenging. It was difficult to recognise when patients had entered the last year of life, or to identify their readiness to consider future planning. Patients often did not wish to do so before they had become gravely ill. Consequently, ACP discussions tended to be reactive, rather than pre-emptive, occurring in response to critical events or evidence of marked deterioration. ACP discussions intersected two parallel strands of planning: professional organisation and co-ordination of care; and the practical and emotional preparatory work that patients and families undertook to prepare themselves for death. Reference to ACP as a means of guiding decisions for patients who had lost capacity was rare. Conclusions: Advance care planning remains uncommon, is often limited to documentation of a few key decisions, is reported to be challenging by many health professionals, is not welcomed by a substantial number of patients and tends to be postponed until death is clearly imminent. Current implementation largely ignores the purpose of ACP as a means of extending personal autonomy in the event of lost capacity. Future work: Attention should be paid to public attitudes to death and dying (including those of culturally diverse and ethnic minority groups), place of death, resuscitation and the value of anticipatory planning. In addition the experiences and needs of two under-researched groups should be explored: the frail elderly, including those who manage complex comorbid conditions, unrecognised as vulnerable cases; and those patients affected by stigmatised conditions, such as substance abuse or serious mental illness who fail to engage constructively with services and are not recognised as suitable referrals for palliative and end of life care. Funding: The National Institute for Health Research Health Services and Delivery Research programme.","container-title":"Health Services and Delivery Research","DOI":"10.3310/hsdr03310","ISSN":"2050-4349","issue":"31","language":"eng","page":"1-138","source":"librarysearch.le.ac.uk","title":"Care and communication between health professionals and patients affected by severe or chronic illness in community care settings: a qualitative study of care at the end of life","title-short":"Care and communication between health professionals and patients affected by severe or chronic illness in community care settings","volume":"3","author":[{"family":"Pollock","given":"Kristian"},{"family":"Wilson","given":"Eleanor"}],"issued":{"date-parts":[["2015"]]}}},{"id":79,"uris":["http://zotero.org/users/8748280/items/Y8G3UV2I"],"itemData":{"id":79,"type":"article-journal","abstract":"Background Improving Advance Care Planning (ACP) and increasing its equitable access is a key UK government strategy. Evidence (mainly from the USA) suggests that there are lower levels of ACP in people from Black, Asian and Minority Ethnic (BAME) communities. People from some BAME groups also seem to be more likely to desire invasive medical interventions, regardless of prognosis and impact on quality of life. The beliefs, values and needs of BAME communities in the UK have not been explored to see if the UK model of decision making around resuscitation ‘fits’ for them. Also, healthcare professionals (HCPs) report that they do not feel confident in providing culturally appropriate care for BAME patients and families in this situation.\nAims To identify barriers and enablers to HCPs discussing deterioration and resuscitation with patients and families from BAME communities, and to identify associated HCP training needs.\nMethods Qualitative semi structured interviews with 30 HCPs.\nResults HCPs’ interviews identify key barriers and facilitators of resuscitation discussions including differing attitudes towards death; differing values amongst different generations of migrants; and the need to find a balance between the desire to act in a non-discriminatory way whilst respecting cultural differences. Analysis of interviews informed a set of statements regarding decision making about resuscitation, which are being used as part of a ranking exercise (using Q methodology) with members of the public.\nConclusion There are significant barriers for HCPs when discussing resuscitation decisions with people from BAME communities. This increases the complexity of navigating ACP and achieving patients‘ preferences.View this table:View inline View popup","container-title":"BMJ Supportive &amp; Palliative Care","DOI":"10.1136/bmjspcare-2017-00133.94","ISSN":"2045-435X, 2045-4368","issue":"Suppl 1","language":"en","page":"A35-A35","source":"spcare.bmj.com","title":"P-95 Thinking ahead: discussing resuscitation decisions with diverse communities","title-short":"P-95 Thinking ahead","volume":"7","author":[{"family":"Taylor","given":"Lucy"},{"family":"Islam","given":"Zoebia"},{"family":"Eborall","given":"Helen"},{"family":"Miodrag","given":"David"},{"family":"Gamble","given":"Wendy"},{"family":"Faull","given":"Christina"}],"issued":{"date-parts":[["2017",3,1]]}}}],"schema":"https://github.com/citation-style-language/schema/raw/master/csl-citation.json"} </w:instrText>
      </w:r>
      <w:r w:rsidRPr="000F7E56">
        <w:rPr>
          <w:rFonts w:eastAsia="SimSun" w:cstheme="minorHAnsi"/>
        </w:rPr>
        <w:fldChar w:fldCharType="separate"/>
      </w:r>
      <w:r w:rsidR="00496C3B" w:rsidRPr="00496C3B">
        <w:rPr>
          <w:rFonts w:ascii="Calibri" w:hAnsi="Calibri" w:cs="Calibri"/>
          <w:szCs w:val="24"/>
          <w:vertAlign w:val="superscript"/>
        </w:rPr>
        <w:t>75,100</w:t>
      </w:r>
      <w:r w:rsidRPr="000F7E56">
        <w:rPr>
          <w:rFonts w:eastAsia="SimSun" w:cstheme="minorHAnsi"/>
        </w:rPr>
        <w:fldChar w:fldCharType="end"/>
      </w:r>
      <w:r w:rsidRPr="000F7E56">
        <w:rPr>
          <w:rFonts w:eastAsia="SimSun" w:cstheme="minorHAnsi"/>
        </w:rPr>
        <w:t xml:space="preserve"> Other studies have found that certain ED groups express a strong ‘preference’ for death at home.</w:t>
      </w:r>
      <w:r w:rsidRPr="000F7E56">
        <w:rPr>
          <w:rFonts w:eastAsia="SimSun" w:cstheme="minorHAnsi"/>
        </w:rPr>
        <w:fldChar w:fldCharType="begin"/>
      </w:r>
      <w:r w:rsidR="000D5597">
        <w:rPr>
          <w:rFonts w:eastAsia="SimSun" w:cstheme="minorHAnsi"/>
        </w:rPr>
        <w:instrText xml:space="preserve"> ADDIN ZOTERO_ITEM CSL_CITATION {"citationID":"7J3gAVAk","properties":{"formattedCitation":"\\super 101,102\\nosupersub{}","plainCitation":"101,102","noteIndex":0},"citationItems":[{"id":"aZbwIlcN/EYR1xe5H","uris":["http://zotero.org/users/6587080/items/ZHG6W2HA"],"itemData":{"id":390,"type":"article-journal","abstract":"Background Ageing is a growing issue for people from UK black, Asian and minority ethnic (BAME) groups. The health experiences of these groups are recognised as a ‘tracer’ to measure succ</w:instrText>
      </w:r>
      <w:r w:rsidR="000D5597">
        <w:rPr>
          <w:rFonts w:eastAsia="SimSun" w:cstheme="minorHAnsi" w:hint="eastAsia"/>
        </w:rPr>
        <w:instrText xml:space="preserve">ess in end of life patient-preferred outcomes that includes place of death (PoD). Aim To examine patterns in PoD among BAME groups who died of cancer. Material and Methods Mortality data for 93,375 cancer deaths of those aged </w:instrText>
      </w:r>
      <w:r w:rsidR="000D5597">
        <w:rPr>
          <w:rFonts w:eastAsia="SimSun" w:cstheme="minorHAnsi" w:hint="eastAsia"/>
        </w:rPr>
        <w:instrText>≥</w:instrText>
      </w:r>
      <w:r w:rsidR="000D5597">
        <w:rPr>
          <w:rFonts w:eastAsia="SimSun" w:cstheme="minorHAnsi" w:hint="eastAsia"/>
        </w:rPr>
        <w:instrText>65 years in London from 2001</w:instrText>
      </w:r>
      <w:r w:rsidR="000D5597">
        <w:rPr>
          <w:rFonts w:eastAsia="SimSun" w:cstheme="minorHAnsi"/>
        </w:rPr>
        <w:instrText xml:space="preserve">–2010 were obtained from the UK Office for National Statistics (ONS). Decedent's country of birth was used as a proxy for ethnicity. Linear regression examined trends in place of death across the eight ethnic groups and Poisson regression examined the association between country of birth and place of death. Results 76% decedents were born in the UK, followed by Ireland (5.9%), Europe(5.4%) and Caribbean(4.3%). Most deaths(52.5%) occurred in hospital, followed by home(18.7%). During the study period, deaths in hospital declined with an increase in home deaths; trend for time analysis for those born in UK(0.50%/yr[0.36–0.64%]p&lt;0.001), Europe (1.00%/yr[0.64–1.30%]p&lt;0.001), Asia(1.09%/yr[0.94–1.20%]p&lt;0.001) and Caribbean(1.03%/yr[0.72–1.30%]p&lt;0.001). However, time consistent gaps across the geographical groups remained. Following adjustment hospital deaths were more likely for those born in Asia(Proportion ratio(PR)1.12[95%CI1.08–1.15]p&lt;0.001) and Africa(PR 1.11[95%CI1.07–1.16]p&lt;0.001). Hospice deaths were less likely for those born in Asia(PR 0.73 [0.68–0.80] p&lt;0.001), Africa (PR 0.83[95%CI0.74–0.93]p&lt;0.001), and ‘other’ geographical regions (PR0.90[95% 0.82–0.98]p&lt;0.001). Home deaths were less likely for those born in the Caribbean(PR0.91[95%CI 0.85–0.98]p&lt;0.001). Conclusions Location of death varies by country of birth. BAME groups are more likely to die in a hospital and less likely to die at home or in a hospice. Further investigation is needed to determine whether these differences result from patient-centred preferences, or other environment or service-related factors. This knowledge will enable strategies to be developed to improve access to relevant palliative care and related services, where necessary.","container-title":"PLOS ONE","DOI":"10.1371/journal.pone.0095052","ISSN":"1932-6203","issue":"4","journalAbbreviation":"PLOS ONE","language":"en","page":"e95052","source":"PLoS Journals","title":"Does Ethnicity Affect Where People with Cancer Die? A Population-Based 10 Year Study","title-short":"Does Ethnicity Affect Where People with Cancer Die?","volume":"9","author":[{"family":"Koffman","given":"Jonathan"},{"family":"Ho","given":"Yuen King"},{"family":"Davies","given":"Joanna"},{"family":"Gao","given":"Wei"},{"family":"Higginson","given":"Irene J."}],"issued":{"date-parts":[["2014",4,21]]}}},{"id":"aZbwIlcN/jQeKRtim","uris":["http://zotero.org/users/6587080/items/YDAWXKCK"],"itemData":{"id":"AMorj3u4/V0Pw1DEj","type":"webpage","title":"END-OF-LIFE CARE FOR THE BRITISH ASIAN HINDU COMMUNITY: PREFERENCES AND SOLUTIONS.","URL":"https://web.b.ebscohost.com/abstract?direct=true&amp;profile=ehost&amp;scope=site&amp;authtype=crawler&amp;jrnl=20476361&amp;AN=90453994&amp;h=ZCo1Cg%2b5ElgLg9HaL%2bSgavZSaAHjntjmZkas0HE8O6FIjRiR5ODZllRYH0xv8pTufCJqSCooEJdr4i%2fjjz3T6A%3d%3d&amp;crl=c&amp;resultNs=AdminWebAuth&amp;resultLocal=ErrCrlNotAuth&amp;crlhashurl=login.aspx%3fdirect%3dtrue%26profile%3dehost%26scope%3dsite%26authtype%3dcrawler%26jrnl%3d20476361%26AN%3d90453994","author":[{"family":"Frearson","given":"Sarah"},{"family":"Henderson, Jane","given":""},{"family":"Raval, Bharti","given":""},{"family":"Daniels, Charles","given":""},{"family":"Burke, Geraldine","given":""},{"family":"Koffman, Jonathan","given":""}],"accessed":{"date-parts":[["2021",2,19]]},"issued":{"date-parts":[["2013"]]}}}],"schema":"https://github.com/citation-style-language/schema/raw/master/csl-citation.json"} </w:instrText>
      </w:r>
      <w:r w:rsidRPr="000F7E56">
        <w:rPr>
          <w:rFonts w:eastAsia="SimSun" w:cstheme="minorHAnsi"/>
        </w:rPr>
        <w:fldChar w:fldCharType="separate"/>
      </w:r>
      <w:r w:rsidR="00496C3B" w:rsidRPr="00496C3B">
        <w:rPr>
          <w:rFonts w:ascii="Calibri" w:hAnsi="Calibri" w:cs="Calibri"/>
          <w:szCs w:val="24"/>
          <w:vertAlign w:val="superscript"/>
        </w:rPr>
        <w:t>101,102</w:t>
      </w:r>
      <w:r w:rsidRPr="000F7E56">
        <w:rPr>
          <w:rFonts w:eastAsia="SimSun" w:cstheme="minorHAnsi"/>
        </w:rPr>
        <w:fldChar w:fldCharType="end"/>
      </w:r>
      <w:r w:rsidRPr="000F7E56">
        <w:rPr>
          <w:rFonts w:eastAsia="SimSun" w:cstheme="minorHAnsi"/>
        </w:rPr>
        <w:t xml:space="preserve"> Yet  this preference is often unmet for all patients but even more so for ED patients. </w:t>
      </w:r>
      <w:proofErr w:type="spellStart"/>
      <w:r w:rsidRPr="000F7E56">
        <w:rPr>
          <w:rFonts w:eastAsia="SimSun" w:cstheme="minorHAnsi"/>
        </w:rPr>
        <w:t>Koffman</w:t>
      </w:r>
      <w:proofErr w:type="spellEnd"/>
      <w:r w:rsidRPr="000F7E56">
        <w:rPr>
          <w:rFonts w:eastAsia="SimSun" w:cstheme="minorHAnsi"/>
        </w:rPr>
        <w:t xml:space="preserve"> and Higginson’s survey of </w:t>
      </w:r>
      <w:r w:rsidRPr="000F7E56">
        <w:rPr>
          <w:rFonts w:eastAsia="SimSun" w:cstheme="minorHAnsi"/>
          <w:bCs/>
        </w:rPr>
        <w:t>the family and friends of deceased first-generation Black Caribbean and UK-born White patients with advanced disease found t</w:t>
      </w:r>
      <w:r w:rsidRPr="000F7E56">
        <w:rPr>
          <w:rFonts w:eastAsia="SimSun" w:cstheme="minorHAnsi"/>
        </w:rPr>
        <w:t>he greatest single preference for location of death was at home and that  twice as many Caribbean than White patients sought this location.</w:t>
      </w:r>
      <w:r w:rsidRPr="000F7E56">
        <w:rPr>
          <w:rFonts w:eastAsia="SimSun" w:cstheme="minorHAnsi"/>
        </w:rPr>
        <w:fldChar w:fldCharType="begin"/>
      </w:r>
      <w:r w:rsidR="000D5597">
        <w:rPr>
          <w:rFonts w:eastAsia="SimSun" w:cstheme="minorHAnsi"/>
        </w:rPr>
        <w:instrText xml:space="preserve"> ADDIN ZOTERO_ITEM CSL_CITATION {"citationID":"CsN3OAwA","properties":{"formattedCitation":"\\super 90\\nosupersub{}","plainCitation":"90","noteIndex":0},"citationItems":[{"id":"aZbwIlcN/icUOspLc","uris":["http://zotero.org/users/6587080/items/WTFSSH7X"],"itemData":{"id":"qcOtDS7a/KgUre90U","type":"webpage","abstract":"Journal of Palliative Medicine","container-title":"https://home.liebertpub.com/jpm","genre":"research-article","language":"en","note":"archive_location: 2 Madison Avenue Larchmont, NY 10538 USA\npublisher: Mary Ann Liebert, Inc.  2 Madison Avenue Larchmont, NY 10538 USA\nDOI: 10.1089/jpm.2004.7.628","title":"Dying to be Home? Preferred Location of Death of First-Generation Black Caribbean and Native-Born White Patients in the United Kingdom","title-short":"Dying to be Home?","URL":"https://www.liebertpub.com/doi/abs/10.1089/jpm.2004.7.628","author":[{"family":"Koffman","given":"Jonathan"},{"family":"Higginson","given":"Irene J."}],"accessed":{"date-parts":[["2021",2,19]]},"issued":{"date-parts":[["2004",10,29]]}}}],"schema":"https://github.com/citation-style-language/schema/raw/master/csl-citation.json"} </w:instrText>
      </w:r>
      <w:r w:rsidRPr="000F7E56">
        <w:rPr>
          <w:rFonts w:eastAsia="SimSun" w:cstheme="minorHAnsi"/>
        </w:rPr>
        <w:fldChar w:fldCharType="separate"/>
      </w:r>
      <w:r w:rsidR="00496C3B" w:rsidRPr="00496C3B">
        <w:rPr>
          <w:rFonts w:ascii="Calibri" w:hAnsi="Calibri" w:cs="Calibri"/>
          <w:szCs w:val="24"/>
          <w:vertAlign w:val="superscript"/>
        </w:rPr>
        <w:t>90</w:t>
      </w:r>
      <w:r w:rsidRPr="000F7E56">
        <w:rPr>
          <w:rFonts w:eastAsia="SimSun" w:cstheme="minorHAnsi"/>
        </w:rPr>
        <w:fldChar w:fldCharType="end"/>
      </w:r>
      <w:r w:rsidRPr="000F7E56">
        <w:rPr>
          <w:rFonts w:eastAsia="SimSun" w:cstheme="minorHAnsi"/>
        </w:rPr>
        <w:t xml:space="preserve"> </w:t>
      </w:r>
    </w:p>
    <w:p w14:paraId="086B939D" w14:textId="3DB4364F" w:rsidR="000F7E56" w:rsidRPr="000F7E56" w:rsidRDefault="000F7E56" w:rsidP="000F7E56">
      <w:pPr>
        <w:autoSpaceDE w:val="0"/>
        <w:autoSpaceDN w:val="0"/>
        <w:adjustRightInd w:val="0"/>
        <w:spacing w:before="120" w:after="0" w:line="360" w:lineRule="auto"/>
        <w:rPr>
          <w:rFonts w:eastAsia="SimSun" w:cstheme="minorHAnsi"/>
          <w:bCs/>
          <w:color w:val="231F20"/>
        </w:rPr>
      </w:pPr>
      <w:r w:rsidRPr="000F7E56">
        <w:rPr>
          <w:rFonts w:eastAsia="SimSun" w:cstheme="minorHAnsi"/>
        </w:rPr>
        <w:t xml:space="preserve">Only one fifth of all these patients had died in their own home with 61% dying in hospital, 12% in a hospice, and 6% in a residential/nursing home. While similar proportions of patients in both ethnic groups who wanted to die at home did so the family members and friends of deceased Black Caribbean patients felt that more could have been done to involve both the patient and themselves in decision-making about location of death. This points to a </w:t>
      </w:r>
      <w:r w:rsidRPr="000F7E56">
        <w:rPr>
          <w:rFonts w:eastAsia="SimSun" w:cstheme="minorHAnsi"/>
          <w:bCs/>
          <w:color w:val="231F20"/>
        </w:rPr>
        <w:t>need to improve training in discussing care and treatment choices, including location of death, and a deeper qualitative understanding of the cultural and other factors that may facilitate or prevent home deaths including the intersectionality of socio-economic and cultural factors.</w:t>
      </w:r>
      <w:r w:rsidRPr="000F7E56">
        <w:rPr>
          <w:rFonts w:eastAsia="SimSun" w:cstheme="minorHAnsi"/>
          <w:bCs/>
          <w:color w:val="231F20"/>
        </w:rPr>
        <w:fldChar w:fldCharType="begin"/>
      </w:r>
      <w:r w:rsidR="000D5597">
        <w:rPr>
          <w:rFonts w:eastAsia="SimSun" w:cstheme="minorHAnsi"/>
          <w:bCs/>
          <w:color w:val="231F20"/>
        </w:rPr>
        <w:instrText xml:space="preserve"> ADDIN ZOTERO_ITEM CSL_CITATION {"citationID":"Yy4Cs681","properties":{"formattedCitation":"\\super 90\\nosupersub{}","plainCitation":"90","noteIndex":0},"citationItems":[{"id":"aZbwIlcN/icUOspLc","uris":["http://zotero.org/users/6587080/items/WTFSSH7X"],"itemData":{"id":"AMorj3u4/6lmme9iF","type":"webpage","abstract":"Journal of Palliative Medicine","container-title":"https://home.liebertpub.com/jpm","genre":"research-article","language":"en","note":"archive_location: 2 Madison Avenue Larchmont, NY 10538 USA\npublisher: Mary Ann Liebert, Inc.  2 Madison Avenue Larchmont, NY 10538 USA\nDOI: 10.1089/jpm.2004.7.628","title":"Dying to be Home? Preferred Location of Death of First-Generation Black Caribbean and Native-Born White Patients in the United Kingdom","title-short":"Dying to be Home?","URL":"https://www.liebertpub.com/doi/abs/10.1089/jpm.2004.7.628","author":[{"family":"Koffman","given":"Jonathan"},{"family":"Higginson","given":"Irene J."}],"accessed":{"date-parts":[["2021",2,19]]},"issued":{"date-parts":[["2004",10,29]]}}}],"schema":"https://github.com/citation-style-language/schema/raw/master/csl-citation.json"} </w:instrText>
      </w:r>
      <w:r w:rsidRPr="000F7E56">
        <w:rPr>
          <w:rFonts w:eastAsia="SimSun" w:cstheme="minorHAnsi"/>
          <w:bCs/>
          <w:color w:val="231F20"/>
        </w:rPr>
        <w:fldChar w:fldCharType="separate"/>
      </w:r>
      <w:r w:rsidR="00496C3B" w:rsidRPr="00496C3B">
        <w:rPr>
          <w:rFonts w:ascii="Calibri" w:hAnsi="Calibri" w:cs="Calibri"/>
          <w:szCs w:val="24"/>
          <w:vertAlign w:val="superscript"/>
        </w:rPr>
        <w:t>90</w:t>
      </w:r>
      <w:r w:rsidRPr="000F7E56">
        <w:rPr>
          <w:rFonts w:eastAsia="SimSun" w:cstheme="minorHAnsi"/>
          <w:bCs/>
          <w:color w:val="231F20"/>
        </w:rPr>
        <w:fldChar w:fldCharType="end"/>
      </w:r>
    </w:p>
    <w:p w14:paraId="220A930D" w14:textId="43C86DC7" w:rsidR="000F7E56" w:rsidRPr="000F7E56" w:rsidRDefault="000F7E56" w:rsidP="000F7E56">
      <w:pPr>
        <w:autoSpaceDE w:val="0"/>
        <w:autoSpaceDN w:val="0"/>
        <w:adjustRightInd w:val="0"/>
        <w:spacing w:before="120" w:after="0" w:line="360" w:lineRule="auto"/>
        <w:rPr>
          <w:rFonts w:eastAsia="SimSun" w:cstheme="minorHAnsi"/>
        </w:rPr>
      </w:pPr>
      <w:r w:rsidRPr="000F7E56">
        <w:rPr>
          <w:rFonts w:eastAsia="SimSun" w:cstheme="minorHAnsi"/>
        </w:rPr>
        <w:t xml:space="preserve">In </w:t>
      </w:r>
      <w:proofErr w:type="spellStart"/>
      <w:r w:rsidRPr="000F7E56">
        <w:rPr>
          <w:rFonts w:eastAsia="SimSun" w:cstheme="minorHAnsi"/>
        </w:rPr>
        <w:t>Frearson</w:t>
      </w:r>
      <w:proofErr w:type="spellEnd"/>
      <w:r w:rsidRPr="000F7E56">
        <w:rPr>
          <w:rFonts w:eastAsia="SimSun" w:cstheme="minorHAnsi"/>
        </w:rPr>
        <w:t xml:space="preserve"> et </w:t>
      </w:r>
      <w:proofErr w:type="spellStart"/>
      <w:r w:rsidRPr="000F7E56">
        <w:rPr>
          <w:rFonts w:eastAsia="SimSun" w:cstheme="minorHAnsi"/>
        </w:rPr>
        <w:t>al’s</w:t>
      </w:r>
      <w:proofErr w:type="spellEnd"/>
      <w:r w:rsidRPr="000F7E56">
        <w:rPr>
          <w:rFonts w:eastAsia="SimSun" w:cstheme="minorHAnsi"/>
        </w:rPr>
        <w:t xml:space="preserve"> study, exploring preferences for place of care and death amongst the British Hindu community, participants expressed an overwhelming wish to die at home.</w:t>
      </w:r>
      <w:r w:rsidRPr="000F7E56">
        <w:rPr>
          <w:rFonts w:eastAsia="SimSun" w:cstheme="minorHAnsi"/>
        </w:rPr>
        <w:fldChar w:fldCharType="begin"/>
      </w:r>
      <w:r w:rsidR="000D5597">
        <w:rPr>
          <w:rFonts w:eastAsia="SimSun" w:cstheme="minorHAnsi"/>
        </w:rPr>
        <w:instrText xml:space="preserve"> ADDIN ZOTERO_ITEM CSL_CITATION {"citationID":"OIxK8jqt","properties":{"formattedCitation":"\\super 102\\nosupersub{}","plainCitation":"102","noteIndex":0},"citationItems":[{"id":"aZbwIlcN/jQeKRtim","uris":["http://zotero.org/users/6587080/items/YDAWXKCK"],"itemData":{"id":"qcOtDS7a/Nsn7NxIT","type":"webpage","title":"END-OF-LIFE CARE FOR THE BRITISH ASIAN HINDU COMMUNITY: PREFERENCES AND SOLUTIONS.","URL":"https://web.b.ebscohost.com/abstract?direct=true&amp;profile=ehost&amp;scope=site&amp;authtype=crawler&amp;jrnl=20476361&amp;AN=90453994&amp;h=ZCo1Cg%2b5ElgLg9HaL%2bSgavZSaAHjntjmZkas0HE8O6FIjRiR5ODZllRYH0xv8pTufCJqSCooEJdr4i%2fjjz3T6A%3d%3d&amp;crl=c&amp;resultNs=AdminWebAuth&amp;resultLocal=ErrCrlNotAuth&amp;crlhashurl=login.aspx%3fdirect%3dtrue%26profile%3dehost%26scope%3dsite%26authtype%3dcrawler%26jrnl%3d20476361%26AN%3d90453994","author":[{"family":"Frearson","given":"Sarah"},{"family":"Henderson, Jane","given":""},{"family":"Raval, Bharti","given":""},{"family":"Daniels, Charles","given":""},{"family":"Burke, Geraldine","given":""},{"family":"Koffman, Jonathan","given":""}],"accessed":{"date-parts":[["2021",2,19]]},"issued":{"date-parts":[["2013"]]}}}],"schema":"https://github.com/citation-style-language/schema/raw/master/csl-citation.json"} </w:instrText>
      </w:r>
      <w:r w:rsidRPr="000F7E56">
        <w:rPr>
          <w:rFonts w:eastAsia="SimSun" w:cstheme="minorHAnsi"/>
        </w:rPr>
        <w:fldChar w:fldCharType="separate"/>
      </w:r>
      <w:r w:rsidR="00496C3B" w:rsidRPr="00496C3B">
        <w:rPr>
          <w:rFonts w:ascii="Calibri" w:hAnsi="Calibri" w:cs="Calibri"/>
          <w:szCs w:val="24"/>
          <w:vertAlign w:val="superscript"/>
        </w:rPr>
        <w:t>102</w:t>
      </w:r>
      <w:r w:rsidRPr="000F7E56">
        <w:rPr>
          <w:rFonts w:eastAsia="SimSun" w:cstheme="minorHAnsi"/>
        </w:rPr>
        <w:fldChar w:fldCharType="end"/>
      </w:r>
      <w:r w:rsidRPr="000F7E56">
        <w:rPr>
          <w:rFonts w:eastAsia="SimSun" w:cstheme="minorHAnsi"/>
        </w:rPr>
        <w:t xml:space="preserve"> One reason for the preference for home was the central role of family members in providing care and sense of filial responsibility ‘with the wish to care being accompanied by a need to be seen to do so’. This view also influences decision–making by professionals for instance, Karim et al highlight, the doctors in their study believed that Black/minority ethnic families prefer to provide palliative care for ill members themselves.</w:t>
      </w:r>
      <w:r w:rsidRPr="000F7E56">
        <w:rPr>
          <w:rFonts w:eastAsia="SimSun" w:cstheme="minorHAnsi"/>
        </w:rPr>
        <w:fldChar w:fldCharType="begin"/>
      </w:r>
      <w:r w:rsidR="000D5597">
        <w:rPr>
          <w:rFonts w:eastAsia="SimSun" w:cstheme="minorHAnsi"/>
        </w:rPr>
        <w:instrText xml:space="preserve"> ADDIN ZOTERO_ITEM CSL_CITATION {"citationID":"Bid8TyVT","properties":{"formattedCitation":"\\super 58\\nosupersub{}","plainCitation":"58","noteIndex":0},"citationItems":[{"id":"aZbwIlcN/q31eXqpY","uris":["http://zotero.org/users/6587080/items/NVWQKUCS"],"itemData":{"id":"qcOtDS7a/DvlYXXAJ","type":"webpage","title":"Nonwhite ethnicity and the provision of specialist palliative care services: factors affecting doctors' referral patterns","URL":"https://journals.sagepub.com/doi/abs/10.1191/026921600701536390","author":[{"family":"Karim","given":"Kevin"},{"family":"Maria Bailey","given":""},{"family":"Kate Tunna","given":""}],"accessed":{"date-parts":[["2021",2,19]]},"issued":{"date-parts":[["2000"]]}}}],"schema":"https://github.com/citation-style-language/schema/raw/master/csl-citation.json"} </w:instrText>
      </w:r>
      <w:r w:rsidRPr="000F7E56">
        <w:rPr>
          <w:rFonts w:eastAsia="SimSun" w:cstheme="minorHAnsi"/>
        </w:rPr>
        <w:fldChar w:fldCharType="separate"/>
      </w:r>
      <w:r w:rsidR="00496C3B" w:rsidRPr="00496C3B">
        <w:rPr>
          <w:rFonts w:ascii="Calibri" w:hAnsi="Calibri" w:cs="Calibri"/>
          <w:szCs w:val="24"/>
          <w:vertAlign w:val="superscript"/>
        </w:rPr>
        <w:t>58</w:t>
      </w:r>
      <w:r w:rsidRPr="000F7E56">
        <w:rPr>
          <w:rFonts w:eastAsia="SimSun" w:cstheme="minorHAnsi"/>
        </w:rPr>
        <w:fldChar w:fldCharType="end"/>
      </w:r>
      <w:r w:rsidRPr="000F7E56">
        <w:rPr>
          <w:rFonts w:eastAsia="SimSun" w:cstheme="minorHAnsi"/>
        </w:rPr>
        <w:t xml:space="preserve"> Despite having no empirical basis doctors believed that </w:t>
      </w:r>
      <w:r w:rsidR="007B769D">
        <w:rPr>
          <w:rFonts w:eastAsia="SimSun" w:cstheme="minorHAnsi"/>
        </w:rPr>
        <w:t xml:space="preserve">sending elders to die in </w:t>
      </w:r>
      <w:r w:rsidRPr="000F7E56">
        <w:rPr>
          <w:rFonts w:eastAsia="SimSun" w:cstheme="minorHAnsi"/>
        </w:rPr>
        <w:t xml:space="preserve"> </w:t>
      </w:r>
      <w:r w:rsidR="007B769D">
        <w:rPr>
          <w:rFonts w:eastAsia="SimSun" w:cstheme="minorHAnsi"/>
        </w:rPr>
        <w:t xml:space="preserve">an unknown place and  in the </w:t>
      </w:r>
      <w:r w:rsidRPr="000F7E56">
        <w:rPr>
          <w:rFonts w:eastAsia="SimSun" w:cstheme="minorHAnsi"/>
        </w:rPr>
        <w:t xml:space="preserve"> hands of </w:t>
      </w:r>
      <w:r w:rsidR="007B769D">
        <w:rPr>
          <w:rFonts w:eastAsia="SimSun" w:cstheme="minorHAnsi"/>
        </w:rPr>
        <w:t xml:space="preserve">unknown </w:t>
      </w:r>
      <w:r w:rsidRPr="000F7E56">
        <w:rPr>
          <w:rFonts w:eastAsia="SimSun" w:cstheme="minorHAnsi"/>
        </w:rPr>
        <w:t xml:space="preserve">people  </w:t>
      </w:r>
      <w:r w:rsidR="007B769D">
        <w:rPr>
          <w:rFonts w:eastAsia="SimSun" w:cstheme="minorHAnsi"/>
        </w:rPr>
        <w:t>‘</w:t>
      </w:r>
      <w:r w:rsidRPr="000F7E56">
        <w:rPr>
          <w:rFonts w:eastAsia="SimSun" w:cstheme="minorHAnsi"/>
        </w:rPr>
        <w:t xml:space="preserve">would be indicative of failure on the family’s part and a decision worthy of shame from within the particular ethnic community’. Doctors in this study also believed that the extended family of patients from </w:t>
      </w:r>
      <w:r w:rsidRPr="000F7E56">
        <w:rPr>
          <w:rFonts w:eastAsia="SimSun" w:cstheme="minorHAnsi"/>
        </w:rPr>
        <w:lastRenderedPageBreak/>
        <w:t>ethnic minority communities had the ‘resources to cope with this kind of demand</w:t>
      </w:r>
      <w:r w:rsidR="007B769D">
        <w:rPr>
          <w:rFonts w:eastAsia="SimSun" w:cstheme="minorHAnsi"/>
        </w:rPr>
        <w:t xml:space="preserve">’ </w:t>
      </w:r>
      <w:r w:rsidRPr="000F7E56">
        <w:rPr>
          <w:rFonts w:eastAsia="SimSun" w:cstheme="minorHAnsi"/>
        </w:rPr>
        <w:t xml:space="preserve"> more </w:t>
      </w:r>
      <w:r w:rsidR="00AF42A6">
        <w:rPr>
          <w:rFonts w:eastAsia="SimSun" w:cstheme="minorHAnsi"/>
        </w:rPr>
        <w:t xml:space="preserve">adequately </w:t>
      </w:r>
      <w:r w:rsidRPr="000F7E56">
        <w:rPr>
          <w:rFonts w:eastAsia="SimSun" w:cstheme="minorHAnsi"/>
        </w:rPr>
        <w:t xml:space="preserve"> than  the</w:t>
      </w:r>
      <w:r w:rsidR="00AF42A6">
        <w:rPr>
          <w:rFonts w:eastAsia="SimSun" w:cstheme="minorHAnsi"/>
        </w:rPr>
        <w:t xml:space="preserve"> ‘</w:t>
      </w:r>
      <w:r w:rsidRPr="000F7E56">
        <w:rPr>
          <w:rFonts w:eastAsia="SimSun" w:cstheme="minorHAnsi"/>
        </w:rPr>
        <w:t xml:space="preserve"> White community for whom the extended family is close to becoming a thing of the past’.</w:t>
      </w:r>
      <w:r w:rsidRPr="000F7E56">
        <w:rPr>
          <w:rFonts w:eastAsia="SimSun" w:cstheme="minorHAnsi"/>
        </w:rPr>
        <w:fldChar w:fldCharType="begin"/>
      </w:r>
      <w:r w:rsidR="000D5597">
        <w:rPr>
          <w:rFonts w:eastAsia="SimSun" w:cstheme="minorHAnsi"/>
        </w:rPr>
        <w:instrText xml:space="preserve"> ADDIN ZOTERO_ITEM CSL_CITATION {"citationID":"WjsqE4KA","properties":{"formattedCitation":"\\super 58\\nosupersub{}","plainCitation":"58","noteIndex":0},"citationItems":[{"id":"aZbwIlcN/q31eXqpY","uris":["http://zotero.org/users/6587080/items/NVWQKUCS"],"itemData":{"id":2111,"type":"webpage","title":"Nonwhite ethnicity and the provision of specialist palliative care services: factors affecting doctors' referral patterns","URL":"https://journals.sagepub.com/doi/abs/10.1191/026921600701536390","author":[{"family":"Karim","given":"Kevin"},{"family":"Maria Bailey","given":""},{"family":"Kate Tunna","given":""}],"accessed":{"date-parts":[["2021",2,19]]},"issued":{"date-parts":[["2000"]]}}}],"schema":"https://github.com/citation-style-language/schema/raw/master/csl-citation.json"} </w:instrText>
      </w:r>
      <w:r w:rsidRPr="000F7E56">
        <w:rPr>
          <w:rFonts w:eastAsia="SimSun" w:cstheme="minorHAnsi"/>
        </w:rPr>
        <w:fldChar w:fldCharType="separate"/>
      </w:r>
      <w:r w:rsidR="00496C3B" w:rsidRPr="00496C3B">
        <w:rPr>
          <w:rFonts w:ascii="Calibri" w:hAnsi="Calibri" w:cs="Calibri"/>
          <w:szCs w:val="24"/>
          <w:vertAlign w:val="superscript"/>
        </w:rPr>
        <w:t>58</w:t>
      </w:r>
      <w:r w:rsidRPr="000F7E56">
        <w:rPr>
          <w:rFonts w:eastAsia="SimSun" w:cstheme="minorHAnsi"/>
        </w:rPr>
        <w:fldChar w:fldCharType="end"/>
      </w:r>
    </w:p>
    <w:p w14:paraId="0AB8293A" w14:textId="344B219D" w:rsidR="000F7E56" w:rsidRPr="000F7E56" w:rsidRDefault="000F7E56" w:rsidP="000F7E56">
      <w:pPr>
        <w:autoSpaceDE w:val="0"/>
        <w:autoSpaceDN w:val="0"/>
        <w:adjustRightInd w:val="0"/>
        <w:spacing w:before="120" w:after="0" w:line="360" w:lineRule="auto"/>
        <w:rPr>
          <w:rFonts w:eastAsia="SimSun" w:cstheme="minorHAnsi"/>
        </w:rPr>
      </w:pPr>
      <w:r w:rsidRPr="000F7E56">
        <w:rPr>
          <w:rFonts w:eastAsia="SimSun" w:cstheme="minorHAnsi"/>
        </w:rPr>
        <w:t xml:space="preserve">However, although home death was indicated as the ‘ideal’ in </w:t>
      </w:r>
      <w:proofErr w:type="spellStart"/>
      <w:r w:rsidRPr="000F7E56">
        <w:rPr>
          <w:rFonts w:eastAsia="SimSun" w:cstheme="minorHAnsi"/>
        </w:rPr>
        <w:t>Frearson</w:t>
      </w:r>
      <w:proofErr w:type="spellEnd"/>
      <w:r w:rsidRPr="000F7E56">
        <w:rPr>
          <w:rFonts w:eastAsia="SimSun" w:cstheme="minorHAnsi"/>
        </w:rPr>
        <w:t xml:space="preserve"> et al study it was also recognised by participants as not feasible for all and that care should ‘only be at home if the family was able to cope’.  This study  went on to consider the practicalities and the true reality of caring for a relative at home.</w:t>
      </w:r>
      <w:r w:rsidRPr="000F7E56">
        <w:rPr>
          <w:rFonts w:eastAsia="SimSun" w:cstheme="minorHAnsi"/>
        </w:rPr>
        <w:fldChar w:fldCharType="begin"/>
      </w:r>
      <w:r w:rsidR="000D5597">
        <w:rPr>
          <w:rFonts w:eastAsia="SimSun" w:cstheme="minorHAnsi"/>
        </w:rPr>
        <w:instrText xml:space="preserve"> ADDIN ZOTERO_ITEM CSL_CITATION {"citationID":"NhszTOri","properties":{"formattedCitation":"\\super 102\\nosupersub{}","plainCitation":"102","noteIndex":0},"citationItems":[{"id":"aZbwIlcN/jQeKRtim","uris":["http://zotero.org/users/6587080/items/YDAWXKCK"],"itemData":{"id":2107,"type":"webpage","title":"END-OF-LIFE CARE FOR THE BRITISH ASIAN HINDU COMMUNITY: PREFERENCES AND SOLUTIONS.","URL":"https://web.b.ebscohost.com/abstract?direct=true&amp;profile=ehost&amp;scope=site&amp;authtype=crawler&amp;jrnl=20476361&amp;AN=90453994&amp;h=ZCo1Cg%2b5ElgLg9HaL%2bSgavZSaAHjntjmZkas0HE8O6FIjRiR5ODZllRYH0xv8pTufCJqSCooEJdr4i%2fjjz3T6A%3d%3d&amp;crl=c&amp;resultNs=AdminWebAuth&amp;resultLocal=ErrCrlNotAuth&amp;crlhashurl=login.aspx%3fdirect%3dtrue%26profile%3dehost%26scope%3dsite%26authtype%3dcrawler%26jrnl%3d20476361%26AN%3d90453994","author":[{"family":"Frearson","given":"Sarah"},{"family":"Henderson, Jane","given":""},{"family":"Raval, Bharti","given":""},{"family":"Daniels, Charles","given":""},{"family":"Burke, Geraldine","given":""},{"family":"Koffman, Jonathan","given":""}],"accessed":{"date-parts":[["2021",2,19]]},"issued":{"date-parts":[["2013"]]}}}],"schema":"https://github.com/citation-style-language/schema/raw/master/csl-citation.json"} </w:instrText>
      </w:r>
      <w:r w:rsidRPr="000F7E56">
        <w:rPr>
          <w:rFonts w:eastAsia="SimSun" w:cstheme="minorHAnsi"/>
        </w:rPr>
        <w:fldChar w:fldCharType="separate"/>
      </w:r>
      <w:r w:rsidR="00496C3B" w:rsidRPr="00496C3B">
        <w:rPr>
          <w:rFonts w:ascii="Calibri" w:hAnsi="Calibri" w:cs="Calibri"/>
          <w:szCs w:val="24"/>
          <w:vertAlign w:val="superscript"/>
        </w:rPr>
        <w:t>102</w:t>
      </w:r>
      <w:r w:rsidRPr="000F7E56">
        <w:rPr>
          <w:rFonts w:eastAsia="SimSun" w:cstheme="minorHAnsi"/>
        </w:rPr>
        <w:fldChar w:fldCharType="end"/>
      </w:r>
      <w:r w:rsidRPr="000F7E56">
        <w:rPr>
          <w:rFonts w:eastAsia="SimSun" w:cstheme="minorHAnsi"/>
        </w:rPr>
        <w:t xml:space="preserve"> Similarly, Somerville’s study exploring Bangladeshi bereaved carers experiences highlights the numerous challenges faced by carers including, the demands and stresses of caring which can leave carers isolated.</w:t>
      </w:r>
      <w:r w:rsidRPr="000F7E56">
        <w:rPr>
          <w:rFonts w:eastAsia="SimSun" w:cstheme="minorHAnsi"/>
        </w:rPr>
        <w:fldChar w:fldCharType="begin"/>
      </w:r>
      <w:r w:rsidR="000D5597">
        <w:rPr>
          <w:rFonts w:eastAsia="SimSun" w:cstheme="minorHAnsi"/>
        </w:rPr>
        <w:instrText xml:space="preserve"> ADDIN ZOTERO_ITEM CSL_CITATION {"citationID":"Op5tgX9D","properties":{"formattedCitation":"\\super 60\\nosupersub{}","plainCitation":"60","noteIndex":0},"citationItems":[{"id":"aZbwIlcN/9H6wnwJW","uris":["http://zotero.org/users/6587080/items/UMJTI3V8"],"itemData":{"id":"qcOtDS7a/LwvkZSis","type":"webpage","title":"Palliative care: the experience of informal carers within the Bangladeshi community | International Journal of Palliative Nursing","URL":"https://www.magonlinelibrary.com/doi/abs/10.12968/ijpn.2001.7.5.15893","author":[{"family":"Somerville","given":"Jacqueline"}],"accessed":{"date-parts":[["2021",2,21]]},"issued":{"date-parts":[["2001"]]}}}],"schema":"https://github.com/citation-style-language/schema/raw/master/csl-citation.json"} </w:instrText>
      </w:r>
      <w:r w:rsidRPr="000F7E56">
        <w:rPr>
          <w:rFonts w:eastAsia="SimSun" w:cstheme="minorHAnsi"/>
        </w:rPr>
        <w:fldChar w:fldCharType="separate"/>
      </w:r>
      <w:r w:rsidR="00496C3B" w:rsidRPr="00496C3B">
        <w:rPr>
          <w:rFonts w:ascii="Calibri" w:hAnsi="Calibri" w:cs="Calibri"/>
          <w:szCs w:val="24"/>
          <w:vertAlign w:val="superscript"/>
        </w:rPr>
        <w:t>60</w:t>
      </w:r>
      <w:r w:rsidRPr="000F7E56">
        <w:rPr>
          <w:rFonts w:eastAsia="SimSun" w:cstheme="minorHAnsi"/>
        </w:rPr>
        <w:fldChar w:fldCharType="end"/>
      </w:r>
      <w:r w:rsidRPr="000F7E56">
        <w:rPr>
          <w:rFonts w:eastAsia="SimSun" w:cstheme="minorHAnsi"/>
        </w:rPr>
        <w:t xml:space="preserve"> These practical concerns are similar to  those expressed by White elders in Seymour et </w:t>
      </w:r>
      <w:proofErr w:type="spellStart"/>
      <w:r w:rsidRPr="000F7E56">
        <w:rPr>
          <w:rFonts w:eastAsia="SimSun" w:cstheme="minorHAnsi"/>
        </w:rPr>
        <w:t>al’s</w:t>
      </w:r>
      <w:proofErr w:type="spellEnd"/>
      <w:r w:rsidRPr="000F7E56">
        <w:rPr>
          <w:rFonts w:eastAsia="SimSun" w:cstheme="minorHAnsi"/>
        </w:rPr>
        <w:t xml:space="preserve"> study discussed above. All of which highlight the shift between the ‘ideal’ place of death and the pragmatic choices which impact on the actual place of death.</w:t>
      </w:r>
      <w:r w:rsidRPr="000F7E56">
        <w:rPr>
          <w:rFonts w:eastAsia="SimSun" w:cstheme="minorHAnsi"/>
        </w:rPr>
        <w:fldChar w:fldCharType="begin"/>
      </w:r>
      <w:r w:rsidR="000D5597">
        <w:rPr>
          <w:rFonts w:eastAsia="SimSun" w:cstheme="minorHAnsi"/>
        </w:rPr>
        <w:instrText xml:space="preserve"> ADDIN ZOTERO_ITEM CSL_CITATION {"citationID":"s3STQZ4h","properties":{"formattedCitation":"\\super 91\\nosupersub{}","plainCitation":"91","noteIndex":0},"citationItems":[{"id":"aZbwIlcN/bFtuM6GG","uris":["http://zotero.org/users/6587080/items/ZJ6TBQN2"],</w:instrText>
      </w:r>
      <w:r w:rsidR="000D5597">
        <w:rPr>
          <w:rFonts w:eastAsia="SimSun" w:cstheme="minorHAnsi" w:hint="eastAsia"/>
        </w:rPr>
        <w:instrText>"itemData":{"id":"qcOtDS7a/x4BkkSx8","type":"article-journal","abstract":"This paper presents findings from two linked studies of white (n = 77) and Chinese (n = 92) older adults living in the UK, which sought their views about end</w:instrText>
      </w:r>
      <w:r w:rsidR="000D5597">
        <w:rPr>
          <w:rFonts w:eastAsia="SimSun" w:cstheme="minorHAnsi" w:hint="eastAsia"/>
        </w:rPr>
        <w:instrText>‐</w:instrText>
      </w:r>
      <w:r w:rsidR="000D5597">
        <w:rPr>
          <w:rFonts w:eastAsia="SimSun" w:cstheme="minorHAnsi" w:hint="eastAsia"/>
        </w:rPr>
        <w:instrText>of</w:instrText>
      </w:r>
      <w:r w:rsidR="000D5597">
        <w:rPr>
          <w:rFonts w:eastAsia="SimSun" w:cstheme="minorHAnsi" w:hint="eastAsia"/>
        </w:rPr>
        <w:instrText>‐</w:instrText>
      </w:r>
      <w:r w:rsidR="000D5597">
        <w:rPr>
          <w:rFonts w:eastAsia="SimSun" w:cstheme="minorHAnsi" w:hint="eastAsia"/>
        </w:rPr>
        <w:instrText xml:space="preserve">life care. We focus </w:instrText>
      </w:r>
      <w:r w:rsidR="000D5597">
        <w:rPr>
          <w:rFonts w:eastAsia="SimSun" w:cstheme="minorHAnsi"/>
        </w:rPr>
        <w:instrText>particularly on ex...","container-title":"Sociology of Health &amp; Illness","DOI":"10.1111/j.1467-9566.2007.01045.x","ISSN":"1467-9566","issue":"6","language":"en","note":"publisher: John Wiley &amp; Sons, Ltd","page":"872-890","source":"onlinelibrary.wiley.com"</w:instrText>
      </w:r>
      <w:r w:rsidR="000D5597">
        <w:rPr>
          <w:rFonts w:eastAsia="SimSun" w:cstheme="minorHAnsi" w:hint="eastAsia"/>
        </w:rPr>
        <w:instrText>,"title":"Hospice or home? Expectations of end</w:instrText>
      </w:r>
      <w:r w:rsidR="000D5597">
        <w:rPr>
          <w:rFonts w:eastAsia="SimSun" w:cstheme="minorHAnsi" w:hint="eastAsia"/>
        </w:rPr>
        <w:instrText>‐</w:instrText>
      </w:r>
      <w:r w:rsidR="000D5597">
        <w:rPr>
          <w:rFonts w:eastAsia="SimSun" w:cstheme="minorHAnsi" w:hint="eastAsia"/>
        </w:rPr>
        <w:instrText>of</w:instrText>
      </w:r>
      <w:r w:rsidR="000D5597">
        <w:rPr>
          <w:rFonts w:eastAsia="SimSun" w:cstheme="minorHAnsi" w:hint="eastAsia"/>
        </w:rPr>
        <w:instrText>‐</w:instrText>
      </w:r>
      <w:r w:rsidR="000D5597">
        <w:rPr>
          <w:rFonts w:eastAsia="SimSun" w:cstheme="minorHAnsi" w:hint="eastAsia"/>
        </w:rPr>
        <w:instrText>life care among white and Chinese older people in the UK","title-short":"Hospice or home?","volume":"29","author":[{"family":"Seymour","given":"Jane"},{"family":"Payne","given":"Sheila"},{"family":"Chapman</w:instrText>
      </w:r>
      <w:r w:rsidR="000D5597">
        <w:rPr>
          <w:rFonts w:eastAsia="SimSun" w:cstheme="minorHAnsi"/>
        </w:rPr>
        <w:instrText xml:space="preserve">","given":"Alice"},{"family":"Holloway","given":"Margaret"}],"issued":{"date-parts":[["2007",9,1]]}}}],"schema":"https://github.com/citation-style-language/schema/raw/master/csl-citation.json"} </w:instrText>
      </w:r>
      <w:r w:rsidRPr="000F7E56">
        <w:rPr>
          <w:rFonts w:eastAsia="SimSun" w:cstheme="minorHAnsi"/>
        </w:rPr>
        <w:fldChar w:fldCharType="separate"/>
      </w:r>
      <w:r w:rsidR="00496C3B" w:rsidRPr="00496C3B">
        <w:rPr>
          <w:rFonts w:ascii="Calibri" w:hAnsi="Calibri" w:cs="Calibri"/>
          <w:szCs w:val="24"/>
          <w:vertAlign w:val="superscript"/>
        </w:rPr>
        <w:t>91</w:t>
      </w:r>
      <w:r w:rsidRPr="000F7E56">
        <w:rPr>
          <w:rFonts w:eastAsia="SimSun" w:cstheme="minorHAnsi"/>
        </w:rPr>
        <w:fldChar w:fldCharType="end"/>
      </w:r>
    </w:p>
    <w:p w14:paraId="56123ED5" w14:textId="77777777" w:rsidR="000F7E56" w:rsidRPr="000F7E56" w:rsidRDefault="000F7E56" w:rsidP="000F7E56">
      <w:pPr>
        <w:autoSpaceDE w:val="0"/>
        <w:autoSpaceDN w:val="0"/>
        <w:adjustRightInd w:val="0"/>
        <w:spacing w:before="120" w:after="0" w:line="360" w:lineRule="auto"/>
        <w:rPr>
          <w:rFonts w:asciiTheme="majorHAnsi" w:eastAsia="SimSun" w:hAnsiTheme="majorHAnsi" w:cstheme="majorHAnsi"/>
        </w:rPr>
      </w:pPr>
    </w:p>
    <w:p w14:paraId="15014407" w14:textId="77777777" w:rsidR="000F7E56" w:rsidRPr="000F7E56" w:rsidRDefault="000F7E56" w:rsidP="000F7E56">
      <w:pPr>
        <w:keepNext/>
        <w:keepLines/>
        <w:spacing w:before="120" w:after="0" w:line="360" w:lineRule="auto"/>
        <w:outlineLvl w:val="1"/>
        <w:rPr>
          <w:rFonts w:ascii="Calibri Light" w:eastAsia="SimSun" w:hAnsi="Calibri Light" w:cs="Calibri Light"/>
          <w:color w:val="0070C0"/>
          <w:sz w:val="24"/>
          <w:szCs w:val="24"/>
        </w:rPr>
      </w:pPr>
      <w:bookmarkStart w:id="63" w:name="_Toc106697771"/>
      <w:bookmarkStart w:id="64" w:name="_Toc87279300"/>
      <w:bookmarkStart w:id="65" w:name="_Toc89665142"/>
      <w:bookmarkStart w:id="66" w:name="_Toc89671895"/>
      <w:bookmarkStart w:id="67" w:name="_Toc89763945"/>
      <w:r w:rsidRPr="000F7E56">
        <w:rPr>
          <w:rFonts w:ascii="Calibri Light" w:eastAsia="SimSun" w:hAnsi="Calibri Light" w:cs="Calibri Light"/>
          <w:color w:val="0070C0"/>
          <w:sz w:val="24"/>
          <w:szCs w:val="24"/>
        </w:rPr>
        <w:t xml:space="preserve">Embracing diversity in </w:t>
      </w:r>
      <w:r w:rsidR="00137BB7">
        <w:rPr>
          <w:rFonts w:ascii="Calibri Light" w:eastAsia="SimSun" w:hAnsi="Calibri Light" w:cs="Calibri Light"/>
          <w:color w:val="0070C0"/>
          <w:sz w:val="24"/>
          <w:szCs w:val="24"/>
        </w:rPr>
        <w:t>e</w:t>
      </w:r>
      <w:r w:rsidR="000954DC">
        <w:rPr>
          <w:rFonts w:ascii="Calibri Light" w:eastAsia="SimSun" w:hAnsi="Calibri Light" w:cs="Calibri Light"/>
          <w:color w:val="0070C0"/>
          <w:sz w:val="24"/>
          <w:szCs w:val="24"/>
        </w:rPr>
        <w:t>nd-o</w:t>
      </w:r>
      <w:r w:rsidR="00137BB7">
        <w:rPr>
          <w:rFonts w:ascii="Calibri Light" w:eastAsia="SimSun" w:hAnsi="Calibri Light" w:cs="Calibri Light"/>
          <w:color w:val="0070C0"/>
          <w:sz w:val="24"/>
          <w:szCs w:val="24"/>
        </w:rPr>
        <w:t>f life care planning</w:t>
      </w:r>
      <w:bookmarkEnd w:id="63"/>
      <w:r w:rsidR="00137BB7">
        <w:rPr>
          <w:rFonts w:ascii="Calibri Light" w:eastAsia="SimSun" w:hAnsi="Calibri Light" w:cs="Calibri Light"/>
          <w:color w:val="0070C0"/>
          <w:sz w:val="24"/>
          <w:szCs w:val="24"/>
        </w:rPr>
        <w:t xml:space="preserve"> </w:t>
      </w:r>
      <w:bookmarkEnd w:id="64"/>
      <w:bookmarkEnd w:id="65"/>
      <w:bookmarkEnd w:id="66"/>
      <w:bookmarkEnd w:id="67"/>
    </w:p>
    <w:p w14:paraId="6C9B816E" w14:textId="2650CE35" w:rsidR="000F7E56" w:rsidRPr="000F7E56" w:rsidRDefault="000F7E56" w:rsidP="000F7E56">
      <w:pPr>
        <w:autoSpaceDE w:val="0"/>
        <w:autoSpaceDN w:val="0"/>
        <w:adjustRightInd w:val="0"/>
        <w:spacing w:after="120" w:line="360" w:lineRule="auto"/>
        <w:rPr>
          <w:rFonts w:ascii="Calibri" w:eastAsia="SimSun" w:hAnsi="Calibri" w:cs="Calibri"/>
        </w:rPr>
      </w:pPr>
      <w:r w:rsidRPr="000F7E56">
        <w:rPr>
          <w:rFonts w:ascii="Calibri" w:eastAsia="SimSun" w:hAnsi="Calibri" w:cs="Calibri"/>
        </w:rPr>
        <w:t>The research considered throughout this chapter has highlighted the complexity of undertaking EOLCP in general and the additional complexity of navigating such discussions with ED patients and their families when HCPs have limited understanding of the impact cultural mores and religious beliefs have on thinking ahead, deterioration and dying.</w:t>
      </w:r>
      <w:r w:rsidRPr="000F7E56">
        <w:rPr>
          <w:rFonts w:ascii="Calibri" w:eastAsia="SimSun" w:hAnsi="Calibri" w:cs="Calibri"/>
        </w:rPr>
        <w:fldChar w:fldCharType="begin"/>
      </w:r>
      <w:r w:rsidR="000D5597">
        <w:rPr>
          <w:rFonts w:ascii="Calibri" w:eastAsia="SimSun" w:hAnsi="Calibri" w:cs="Calibri"/>
        </w:rPr>
        <w:instrText xml:space="preserve"> ADDIN ZOTERO_ITEM CSL_CITATION {"citationID":"0I4X6Oan","properties":{"formattedCitation":"\\super 26,46,72\\nosupersub{}","plainCitation":"26,46,72","noteIndex":0},"citationItems":[{"id":"aZbwIlcN/wakglVR0","uris":["http://zotero.org/users/6587080/items/TLXFQBFS"],"itemData":{"id":"UwE3ier4/Qh2x0UDd","type":"article-journal","abstract":"Background\nEvidence of low end-of-life (EoL) care service use by minority ethnic groups in the UK has given rise to a body of research and a number of reviews of the literature. This article aims to review and evaluate literature reviews on minority ethnic groups and EoL care in the UK and assess their suitability as an evidence base for policy.\n\nMethods\nSystematic review. Searches were carried out in thirteen electronic databases, eight journals, reference lists, and grey literature. Reviews were included if they concerned minority ethnic groups and EoL care in the UK. Reviews were graded for quality and key themes identified.\n\nResults\nThirteen reviews (2001-2009) met inclusion criteria. Seven took a systematic approach, of which four scored highly for methodological quality (a mean score of six, median seven). The majority of systematic reviews were therefore of a reasonable methodological quality. Most reviews were restricted by ethnic group, aspect of EoL care, or were broader reviews which reported relevant findings. Six key themes were identified.\n\nConclusions\nA number of reviews were systematic and scored highly for methodological quality. These reviews provide a good reflection of the primary evidence and could be used to inform policy. The complexity and inter-relatedness of factors leading to low service use was recognised and reflected in reviews' recommendations for service improvement. Recommendations made in the UK End-of-Life Care Strategy were limited in comparison, and the Strategy's evidence base concerning minority ethnic groups was found to be narrow. Future policy should be embedded strongly in the evidence base to reflect the current literature and minimise bias.","container-title":"BMC Health Services Research","DOI":"10.1186/1472-6963-11-141","ISSN":"1472-6963","journalAbbreviation":"BMC Health Serv Res","page":"141","source":"PubMed Central","title":"Appraisal of literature reviews on end-of-life care for minority ethnic groups in the UK and a critical comparison with policy recommendations from the UK end-of-life care strategy","volume":"11","author":[{"family":"Evans","given":"Natalie"},{"family":"Meñaca","given":"Arantza"},{"family":"Andrew","given":"Erin VW"},{"family":"Koffman","given":"Jonathan"},{"family":"Harding","given":"Richard"},{"family":"Higginson","given":"Irene J."},{"family":"Pool","given":"Robert"},{"family":"Gysels","given":"Marjolein"}],"issued":{"date-parts":[["2011",6,2]]}}},{"id":"aZbwIlcN/rUSWuhsZ","uris":["http://zotero.org/users/6587080/items/C39DZDFE"],"itemData":{"id":"UwE3ier4/MRnJSUop","type":"article-journal","abstract":"Background While ethnic disparities in health and health care are increasing, evidence on how to enhance quality of care and reduce inequalities remains limited. Despite growth in the scope and application of guidelines on “cultural competence,” remarkably little is known about how practising health professionals experience and perceive their work with patients from diverse ethnic communities. Using cancer care as a clinical context, we aimed to explore this with a range of health professionals to inform interventions to enhance quality of care. Methods and Findings We conducted a qualitative study involving 18 focus groups with a purposeful sample of 106 health professionals of differing disciplines, in primary and secondary care settings, working with patient populations of varying ethnic diversity in the Midlands of the UK. Data were analysed by constant comparison and we undertook processes for validation of analysis. We found that, as they sought to offer appropriate care, health professionals wrestled with considerable uncertainty and apprehension in responding to the needs of patients of ethnicities different from their own. They emphasised their perceived ignorance about cultural difference and were anxious about being culturally inappropriate, causing affront, or appearing discriminatory or racist. Professionals' ability to think and act flexibly or creatively faltered. Although trying to do their best, professionals' uncertainty was disempowering, creating a disabling hesitancy and inertia in their practice. Most professionals sought and applied a knowledge-based cultural expertise approach to patients, though some identified the risk of engendering stereotypical expectations of patients. Professionals' uncertainty and disempowerment had the potential to perpetuate each other, to the detriment of patient care. Conclusions This study suggests potential mechanisms by which health professionals may inadvertently contribute to ethnic disparities in health care. It identifies critical opportunities to empower health professionals to respond more effectively. Interventions should help professionals acknowledge their uncertainty and its potential to create inertia in their practice. A shift away from a cultural expertise model toward a greater focus on each patient as an individual may help.","container-title":"PLOS Medicine","DOI":"10.1371/journal.pmed.0040323","ISSN":"1549-1676","issue":"11","journalAbbreviation":"PLOS Medicine","language":"en","page":"e323","source":"PLoS Journals","title":"Professional Uncertainty and Disempowerment Responding to Ethnic Diversity in Health Care: A Qualitative Study","title-short":"Professional Uncertainty and Disempowerment Responding to Ethnic Diversity in Health Care","volume":"4","author":[{"family":"Kai","given":"Joe"},{"family":"Beavan","given":"Jackie"},{"family":"Faull","given":"Christina"},{"family":"Dodson","given":"Lynne"},{"family":"Gill","given":"Paramjit"},{"family":"Beighton","given":"Angela"}],"issued":{"date-parts":[["2007",11,13]]}}},{"id":1754,"uris":["http://zotero.org/users/8748280/items/A2J52N9I"],"itemData":{"id":1754,"type":"report","page":"2-24","publisher":"Woolf Institute","title":"Advance  care  planning   and  Muslim  communities A report commissioned by   Compassion in Dying as part of   the  My Life, My Decision  programme","URL":"http://www. faithaction.net/portal/wp-content/uploads/cidplanning-muslim-1.pdf","author":[{"family":"Ahmed","given":"Sughra"},{"family":"Siddiqi, Naved","given":""}],"issued":{"date-parts":[["2016",10]]}}}],"schema":"https://github.com/citation-style-language/schema/raw/master/csl-citation.json"} </w:instrText>
      </w:r>
      <w:r w:rsidRPr="000F7E56">
        <w:rPr>
          <w:rFonts w:ascii="Calibri" w:eastAsia="SimSun" w:hAnsi="Calibri" w:cs="Calibri"/>
        </w:rPr>
        <w:fldChar w:fldCharType="separate"/>
      </w:r>
      <w:r w:rsidR="00496C3B" w:rsidRPr="00496C3B">
        <w:rPr>
          <w:rFonts w:ascii="Calibri" w:hAnsi="Calibri" w:cs="Calibri"/>
          <w:szCs w:val="24"/>
          <w:vertAlign w:val="superscript"/>
        </w:rPr>
        <w:t>26,46,72</w:t>
      </w:r>
      <w:r w:rsidRPr="000F7E56">
        <w:rPr>
          <w:rFonts w:ascii="Calibri" w:eastAsia="SimSun" w:hAnsi="Calibri" w:cs="Calibri"/>
        </w:rPr>
        <w:fldChar w:fldCharType="end"/>
      </w:r>
      <w:r w:rsidRPr="000F7E56">
        <w:rPr>
          <w:rFonts w:ascii="Calibri" w:eastAsia="SimSun" w:hAnsi="Calibri" w:cs="Calibri"/>
        </w:rPr>
        <w:t xml:space="preserve"> Evidence presented in the sections above can be summarised: </w:t>
      </w:r>
      <w:r w:rsidRPr="000F7E56">
        <w:rPr>
          <w:rFonts w:ascii="Calibri" w:eastAsia="SimSun" w:hAnsi="Calibri" w:cs="Calibri"/>
          <w:i/>
        </w:rPr>
        <w:t xml:space="preserve"> ‘Professionals should be sensitive to individual variations in perspectives and avoid stereotyping patients and their families, for example, by assuming a patient would or would not want to be told bad news, or have particular styles of coping or use of denia</w:t>
      </w:r>
      <w:r w:rsidR="00A44087">
        <w:rPr>
          <w:rFonts w:ascii="Calibri" w:eastAsia="SimSun" w:hAnsi="Calibri" w:cs="Calibri"/>
          <w:i/>
        </w:rPr>
        <w:t>l</w:t>
      </w:r>
      <w:r w:rsidRPr="000F7E56">
        <w:rPr>
          <w:rFonts w:ascii="Calibri" w:eastAsia="SimSun" w:hAnsi="Calibri" w:cs="Calibri"/>
          <w:i/>
        </w:rPr>
        <w:t>.</w:t>
      </w:r>
      <w:r w:rsidRPr="000F7E56">
        <w:rPr>
          <w:rFonts w:ascii="Calibri" w:eastAsia="SimSun" w:hAnsi="Calibri" w:cs="Calibri"/>
          <w:i/>
        </w:rPr>
        <w:fldChar w:fldCharType="begin"/>
      </w:r>
      <w:r w:rsidR="000D5597">
        <w:rPr>
          <w:rFonts w:ascii="Calibri" w:eastAsia="SimSun" w:hAnsi="Calibri" w:cs="Calibri"/>
          <w:i/>
        </w:rPr>
        <w:instrText xml:space="preserve"> ADDIN ZOTERO_ITEM CSL_CITATION {"citationID":"k5VdKt96","properties":{"formattedCitation":"\\super 103,104\\nosupersub{}","plainCitation":"103,104","noteIndex":0},"citationItems":[{"id":"aZbwIlcN/nQTrWqPo","uris":["http://zotero.org/users/6587080/items/UCG76QEW"],"itemData":{"id":"qcOtDS7a/awwNSEl1","type":"webpage","abstract":"This study examined coping and distress in African American (n=8), Hispanic (n=53), and non-Hispanic White (n=70) women with early stage breast cancer. The participants were studied prospectively across a year beginning at the time of surgery. African American women reported the lowest levels of dis …","container-title":"Psycho-oncology","language":"en","note":"ISSN: 1057-9249\nissue: 6\npublisher: Psychooncology\nvolume: 11\nPMID: 12476431\nDOI: 10.1002/pon.615","title":"Coping and distress among women under treatment for early stage breast cancer: comparing African Americans, Hispanics and non-Hispanic Whites","title-short":"Coping and distress among women under treatment for early stage breast cancer","URL":"https://pubmed.ncbi.nlm.nih.gov/12476431/","author":[{"family":"Culver","given":"Jenifer"},{"family":"Pl","given":"Arena"},{"family":"Mh","given":"Antoni"},{"family":"Cs","given":"Carver"}],"accessed":{"date-parts":[["2021",3,4]]},"issued":{"date-parts":[["2002",12]]}}},{"id":"aZbwIlcN/erinUczd","uris":["http://zotero.org/users/6587080/items/MV4D7Z9K"],"itemData":{"id":2350,"type":"article-journal","abstract":"A total of 82 Asian and 117 randomly selected white Caucasian patients at the Leicestershire Cancer Centre were assessed using measures of coping and adaption to cancer. On the Mental Adjustment to Cancer (MAC) scale, Asian patients were more fatalistic (P&lt;0.0001) and had more significant hopeless/helpless scores (P=0.007). The two ethnic groups answered the three questions thought to assess denial differently. Caucasians were more likely not to dwell on their illness (73 vs 55.5%, P&lt;0.0001) and agree with the statement ‘I have difficulty believing this is happening to me’ (73 vs 60.5%, P&lt;0.0001). However, Asian patients were more likely to agree with the statement ‘I don't really believe I have cancer’ (48.2 vs 31.3%, P=0.019). Within both groups there was an association with denial and anxious preoccupation (P&lt;0.001). On the Hospital Anxiety and Depression (HAD) scale, there was no difference in anxiety scores between either sexes or between the Asian and Caucasian groups. However, Asian patients were more depressed (P=0.001). Although denial was significantly related to the presence of both depression (P&lt;0.0001) and anxiety (P=0.001) in the entire patient population, there were different predictors of denial in each subgroup. On multiple regression analysis depression was linked with denial in Caucasians, whereas Fighting Spirit (minus helplessness/hopelessness) was linked with denial in Asian patients. There are definite differences in coping styles in British cancer patients according to ethnicity. While significant numbers in both groups employ denial in some form, Caucasian patients appear to adapt to the psychological pressures of cancer more successfully than Asian patients at a particular point in time. Further work is required to elucidate longitudinal relationships between denial and adaption to cancer.","container-title":"British Journal of Cancer","DOI":"10.1038/sj.bjc.6602523","ISSN":"1532-1827","issue":"8","journalAbbreviation":"Br J Cancer","language":"en","note":"number: 8\npublisher: Nature Publishing Group","page":"1393-1397","source":"www.nature.com","title":"The use of denial in an ethnically diverse British cancer population: a cross-sectional study","title-short":"The use of denial in an ethnically diverse British cancer population","volume":"92","author":[{"family":"Roy","given":"R."},{"family":"Symonds","given":"R. P."},{"family":"Kumar","given":"D. M."},{"family":"Ibrahim","given":"K."},{"family":"Mitchell","given":"A."},{"family":"Fallowfield","given":"L."}],"issued":{"date-parts":[["2005",4]]}}}],"schema":"https://github.com/citation-style-language/schema/raw/master/csl-citation.json"} </w:instrText>
      </w:r>
      <w:r w:rsidRPr="000F7E56">
        <w:rPr>
          <w:rFonts w:ascii="Calibri" w:eastAsia="SimSun" w:hAnsi="Calibri" w:cs="Calibri"/>
          <w:i/>
        </w:rPr>
        <w:fldChar w:fldCharType="separate"/>
      </w:r>
      <w:r w:rsidR="00496C3B" w:rsidRPr="00496C3B">
        <w:rPr>
          <w:rFonts w:ascii="Calibri" w:hAnsi="Calibri" w:cs="Calibri"/>
          <w:szCs w:val="24"/>
          <w:vertAlign w:val="superscript"/>
        </w:rPr>
        <w:t>103,104</w:t>
      </w:r>
      <w:r w:rsidRPr="000F7E56">
        <w:rPr>
          <w:rFonts w:ascii="Calibri" w:eastAsia="SimSun" w:hAnsi="Calibri" w:cs="Calibri"/>
          <w:i/>
        </w:rPr>
        <w:fldChar w:fldCharType="end"/>
      </w:r>
      <w:r w:rsidRPr="000F7E56">
        <w:rPr>
          <w:rFonts w:ascii="Calibri" w:eastAsia="SimSun" w:hAnsi="Calibri" w:cs="Calibri"/>
          <w:i/>
        </w:rPr>
        <w:t xml:space="preserve"> They should seek, as far as possible, to explore each patient and family’s wishes and attitudes to sharing of information and decision-making as a generic principle....</w:t>
      </w:r>
      <w:r w:rsidRPr="000F7E56">
        <w:rPr>
          <w:rFonts w:ascii="Calibri" w:eastAsia="SimSun" w:hAnsi="Calibri" w:cs="Calibri"/>
        </w:rPr>
        <w:t>’</w:t>
      </w:r>
      <w:r w:rsidRPr="000F7E56">
        <w:rPr>
          <w:rFonts w:ascii="Calibri" w:eastAsia="SimSun" w:hAnsi="Calibri" w:cs="Calibri"/>
        </w:rPr>
        <w:fldChar w:fldCharType="begin"/>
      </w:r>
      <w:r w:rsidR="000D5597">
        <w:rPr>
          <w:rFonts w:ascii="Calibri" w:eastAsia="SimSun" w:hAnsi="Calibri" w:cs="Calibri"/>
        </w:rPr>
        <w:instrText xml:space="preserve"> ADDIN ZOTERO_ITEM CSL_CITATION {"citationID":"YcFYdCGX","properties":{"formattedCitation":"\\super 61\\nosupersub{}","plainCitation":"61","noteIndex":0},"citationItems":[{"id":"aZbwIlcN/k7UW2NRj","uris":["http://zotero.org/users/6587080/items/8K6MCWH6"],"itemData":{"id":162,"type":"article-journal","abstract":"Background:\nEvidence concerning the influence of ethnic diversity on clinical encounters in cancer care is sparse. We explored health providers' experiences in this context.\n\nMethods:\nFocus groups were conducted with a purposeful sample of 106 health professionals of differing disciplines, in 18 UK primary and secondary care settings. Qualitative data were analysed using constant comparison and processes for validation.\n\nResults:\nCommunication and the quality of information exchanged with patients about cancer and their treatment was commonly frustrated within interpreter-mediated consultations, particularly those involving a family member. Relatives' approach to ownership of information and decision making could hinder assessment, informed consent and discussion of care with patients. This magnified the complexity of disclosing information sensitively and appropriately at the end of life. Professionals' concern to be patient-centred, and regard for patient choice and autonomy, were tested in these circumstances.\n\nConclusion:\nHealth professionals require better preparation to work effectively not only with trained interpreters, but also with the common reality of patients' families interpreting for patients, to improve quality of cancer care. Greater understanding of cultural and individual variations in concepts of disclosure, patient autonomy and patient-centredness is needed. The extent to which these concepts may be ethnocentric and lack universality deserves wider consideration.","container-title":"British Journal of Cancer","DOI":"10.1038/bjc.2011.318","ISSN":"0007-0920","issue":"7","journalAbbreviation":"Br J Cancer","page":"918-924","source":"PubMed Central","title":"Challenges of mediated communication, disclosure and patient autonomy in cross-cultural cancer care","volume":"105","author":[{"family":"Kai","given":"J."},{"family":"Beavan","given":"J."},{"family":"Faull","given":"C."}],"issued":{"date-parts":[["2011",9,27]]}}}],"schema":"https://github.com/citation-style-language/schema/raw/master/csl-citation.json"} </w:instrText>
      </w:r>
      <w:r w:rsidRPr="000F7E56">
        <w:rPr>
          <w:rFonts w:ascii="Calibri" w:eastAsia="SimSun" w:hAnsi="Calibri" w:cs="Calibri"/>
        </w:rPr>
        <w:fldChar w:fldCharType="separate"/>
      </w:r>
      <w:r w:rsidR="00496C3B" w:rsidRPr="00496C3B">
        <w:rPr>
          <w:rFonts w:ascii="Calibri" w:hAnsi="Calibri" w:cs="Calibri"/>
          <w:szCs w:val="24"/>
          <w:vertAlign w:val="superscript"/>
        </w:rPr>
        <w:t>61</w:t>
      </w:r>
      <w:r w:rsidRPr="000F7E56">
        <w:rPr>
          <w:rFonts w:ascii="Calibri" w:eastAsia="SimSun" w:hAnsi="Calibri" w:cs="Calibri"/>
        </w:rPr>
        <w:fldChar w:fldCharType="end"/>
      </w:r>
      <w:r w:rsidRPr="000F7E56">
        <w:rPr>
          <w:rFonts w:ascii="Calibri" w:eastAsia="SimSun" w:hAnsi="Calibri" w:cs="Calibri"/>
        </w:rPr>
        <w:t>.</w:t>
      </w:r>
      <w:r w:rsidRPr="000F7E56">
        <w:rPr>
          <w:rFonts w:ascii="Calibri" w:eastAsia="SimSun" w:hAnsi="Calibri" w:cs="Calibri"/>
          <w:bCs/>
        </w:rPr>
        <w:t xml:space="preserve"> The need for consideration of individual needs, providing ‘person-centred’ holistic care and the avoidance of cultural assumptions when coupled with the anxieties about cultural competence amongst HCPs and its consequences are of great significance in providing EOLC to patients and families from ED communities.</w:t>
      </w:r>
    </w:p>
    <w:p w14:paraId="24C13E57" w14:textId="7E2FC4BB" w:rsidR="000F7E56" w:rsidRPr="000F7E56" w:rsidRDefault="000F7E56" w:rsidP="000F7E56">
      <w:pPr>
        <w:spacing w:after="120" w:line="360" w:lineRule="auto"/>
        <w:rPr>
          <w:rFonts w:ascii="Calibri" w:eastAsia="SimSun" w:hAnsi="Calibri" w:cs="Calibri"/>
        </w:rPr>
      </w:pPr>
      <w:r w:rsidRPr="000F7E56">
        <w:rPr>
          <w:rFonts w:ascii="Calibri" w:eastAsia="SimSun" w:hAnsi="Calibri" w:cs="Calibri"/>
        </w:rPr>
        <w:t>An appreciation  of general cultural influences, as well as the diversity of individual preferences is essential for sensitive and effective EOLCP and to enable patients and families to understand and appraise the options open to them.</w:t>
      </w:r>
      <w:r w:rsidRPr="000F7E56">
        <w:rPr>
          <w:rFonts w:ascii="Calibri" w:eastAsia="SimSun" w:hAnsi="Calibri" w:cs="Calibri"/>
        </w:rPr>
        <w:fldChar w:fldCharType="begin"/>
      </w:r>
      <w:r w:rsidR="000D5597">
        <w:rPr>
          <w:rFonts w:ascii="Calibri" w:eastAsia="SimSun" w:hAnsi="Calibri" w:cs="Calibri"/>
        </w:rPr>
        <w:instrText xml:space="preserve"> ADDIN ZOTERO_ITEM CSL_CITATION {"citationID":"hXgbh7Oy","properties":{"formattedCitation":"\\super 105,106\\nosupersub{}","plainCitation":"105,106","noteIndex":0},"citationItems":[{"id":"aZbwIlcN/Zo751Ae0","uris":["http://zotero.org/users/6587080/items/T5X2ERFD"],"itemData":{"id":186,"type":"book","abstract":"Culture, Health and Illness is the leading international textbook on the role of cultural and social factors in health, illness, and medical care. Since first published in 1984, it has been used in over 40 countries within universities, medical schools and nursing colleges. This new edition meets the ever-growing need for a clear starting point in understanding the clinical significance of cultural and social factors. The book addresses the complex interactions between health, illness and culture by setting out anthropological theory in a highly readable, jargon-free style and integrating this with the practice of health care using real-life examples and case histories.Fully revised throughout, the fifth edition has expanded its coverage of topics that are challenging both the patient and the carer's understanding of health and illness: poverty and inequality of healthcare, genetics, biotechnology, the internet and health, chronic diseases, drug-resistant infections, changes in nutrition and body image, medical care of migrants, medical technology, global pandemics such as AIDS and malaria, drug and alcohol dependence, and patients' 'languages of distress', a complex topic central to the doctor-patient relationship.In today's world of increasing cultural, religious and ethnic diversity of populations, Culture, Health and Illness is essential reading for students of medicine, nursing, psychiatry, public health, health education, international health and medical anthropology, across the globe.","edition":"5 edition","event-place":"London : New York, NY","ISBN":"978-0-340-91450-2","language":"English","number-of-pages":"512","publisher":"CRC Press","publisher-place":"London : New York, NY","source":"Amazon","title":"Culture, Health and Illness, Fifth edition","author":[{"family":"Helman","given":"Cecil G."}],"issued":{"date-parts":[["2007",1,26]]}}},{"id":"aZbwIlcN/gXCBsory","uris":["http://zotero.org/users/6587080/items/4T29DZ7J"],"itemData":{"id":188,"type":"article-journal","container-title":"Social Science &amp; Medicine. Part B: Medical Anthropology","page":"85–93","source":"Google Scholar","title":"Concepts and a model for the comparison of medical systems as cultural systems","volume":"12","author":[{"family":"Kleinman","given":"Arthur"}],"issued":{"date-parts":[["1978"]]}}}],"schema":"https://github.com/citation-style-language/schema/raw/master/csl-citation.json"} </w:instrText>
      </w:r>
      <w:r w:rsidRPr="000F7E56">
        <w:rPr>
          <w:rFonts w:ascii="Calibri" w:eastAsia="SimSun" w:hAnsi="Calibri" w:cs="Calibri"/>
        </w:rPr>
        <w:fldChar w:fldCharType="separate"/>
      </w:r>
      <w:r w:rsidR="00496C3B" w:rsidRPr="00496C3B">
        <w:rPr>
          <w:rFonts w:ascii="Calibri" w:hAnsi="Calibri" w:cs="Calibri"/>
          <w:szCs w:val="24"/>
          <w:vertAlign w:val="superscript"/>
        </w:rPr>
        <w:t>105,106</w:t>
      </w:r>
      <w:r w:rsidRPr="000F7E56">
        <w:rPr>
          <w:rFonts w:ascii="Calibri" w:eastAsia="SimSun" w:hAnsi="Calibri" w:cs="Calibri"/>
        </w:rPr>
        <w:fldChar w:fldCharType="end"/>
      </w:r>
      <w:r w:rsidRPr="000F7E56">
        <w:rPr>
          <w:rFonts w:ascii="Calibri" w:eastAsia="SimSun" w:hAnsi="Calibri" w:cs="Calibri"/>
        </w:rPr>
        <w:t xml:space="preserve"> The importance of such an understanding is articulated most in formally derived international consensus recommendations from the European Association for Palliative Care.</w:t>
      </w:r>
      <w:r w:rsidRPr="000F7E56">
        <w:rPr>
          <w:rFonts w:ascii="Calibri" w:eastAsia="SimSun" w:hAnsi="Calibri" w:cs="Calibri"/>
        </w:rPr>
        <w:fldChar w:fldCharType="begin"/>
      </w:r>
      <w:r w:rsidR="000D5597">
        <w:rPr>
          <w:rFonts w:ascii="Calibri" w:eastAsia="SimSun" w:hAnsi="Calibri" w:cs="Calibri"/>
        </w:rPr>
        <w:instrText xml:space="preserve"> ADDIN ZOTERO_ITEM CSL_CITATION {"citationID":"kjLDNJNP","properties":{"formattedCitation":"\\super 9\\nosupersub{}","plainCitation":"9","noteIndex":0},"citationItems":[{"id":"aZbwIlcN/QmqdvhZo","uris":["http://zotero.org/users/6587080/items/6UQPEYDK"],"itemData":{"id":758,"type":"article-journal","abstract":"Summary\nAdvance care planning (ACP) is increasingly implemented in oncology and beyond, but a definition of ACP and recommendations concerning its use are lacking. We used a formal Delphi consensus process to help develop a definition of ACP and provide recommendations for its application. Of the 109 experts (82 from Europe, 16 from North America, and 11 from Australia) who rated the ACP definitions and its 41 recommendations, agreement for each definition or recommendation was between 68–100%. ACP was defined as the ability to enable individuals to define goals and preferences for future medical treatment and care, to discuss these goals and preferences with family and health-care providers, and to record and review these preferences if appropriate. Recommendations included the adaptation of ACP based on the readiness of the individual; targeting ACP content as the individual's health condition worsens; and, using trained non-physician facilitators to support the ACP process. We present a list of outcome measures to enable the pooling and comparison of results of ACP studies. We believe that our recommendations can provide guidance for clinical practice, ACP policy, and research.","container-title":"The Lancet Oncology","DOI":"10.1016/S1470-2045(17)30582-X","ISSN":"1470-2045","issue":"9","journalAbbreviation":"The Lancet Oncology","page":"e543-e551","source":"ScienceDirect","title":"Definition and recommendations for advance care planning: an international consensus supported by the European Association for Palliative Care","title-short":"Definition and recommendations for advance care planning","volume":"18","author":[{"family":"Rietjens","given":"Judith A. C."},{"family":"Sudore","given":"Rebecca L."},{"family":"Connolly","given":"Michael"},{"family":"Delden","given":"Johannes J.","non-dropping-particle":"van"},{"family":"Drickamer","given":"Margaret A."},{"family":"Droger","given":"Mirjam"},{"family":"Heide","given":"Agnes","non-dropping-particle":"van der"},{"family":"Heyland","given":"Daren K."},{"family":"Houttekier","given":"Dirk"},{"family":"Janssen","given":"Daisy J. A."},{"family":"Orsi","given":"Luciano"},{"family":"Payne","given":"Sheila"},{"family":"Seymour","given":"Jane"},{"family":"Jox","given":"Ralf J."},{"family":"Korfage","given":"Ida J."}],"issued":{"date-parts":[["2017",9,1]]}}}],"schema":"https://github.com/citation-style-language/schema/raw/master/csl-citation.json"} </w:instrText>
      </w:r>
      <w:r w:rsidRPr="000F7E56">
        <w:rPr>
          <w:rFonts w:ascii="Calibri" w:eastAsia="SimSun" w:hAnsi="Calibri" w:cs="Calibri"/>
        </w:rPr>
        <w:fldChar w:fldCharType="separate"/>
      </w:r>
      <w:r w:rsidR="00496C3B" w:rsidRPr="00496C3B">
        <w:rPr>
          <w:rFonts w:ascii="Calibri" w:hAnsi="Calibri" w:cs="Calibri"/>
          <w:szCs w:val="24"/>
          <w:vertAlign w:val="superscript"/>
        </w:rPr>
        <w:t>9</w:t>
      </w:r>
      <w:r w:rsidRPr="000F7E56">
        <w:rPr>
          <w:rFonts w:ascii="Calibri" w:eastAsia="SimSun" w:hAnsi="Calibri" w:cs="Calibri"/>
        </w:rPr>
        <w:fldChar w:fldCharType="end"/>
      </w:r>
      <w:r w:rsidRPr="000F7E56">
        <w:rPr>
          <w:rFonts w:ascii="Calibri" w:eastAsia="SimSun" w:hAnsi="Calibri" w:cs="Calibri"/>
        </w:rPr>
        <w:t xml:space="preserve"> Most participants in this consensus recognised (at least within the context of ethnically ‘other’) that a diversity of preferences exist for how decisions are made and who makes them, but understanding was very limited as to how to work with this when the dominant ethic and duty of care is that of patient autonomy.   </w:t>
      </w:r>
    </w:p>
    <w:p w14:paraId="2481604E" w14:textId="631055A9" w:rsidR="000F7E56" w:rsidRPr="000F7E56" w:rsidRDefault="000F7E56" w:rsidP="000F7E56">
      <w:pPr>
        <w:spacing w:after="120" w:line="360" w:lineRule="auto"/>
        <w:rPr>
          <w:rFonts w:ascii="Calibri" w:eastAsia="SimSun" w:hAnsi="Calibri" w:cs="Calibri"/>
        </w:rPr>
      </w:pPr>
      <w:r w:rsidRPr="000F7E56">
        <w:rPr>
          <w:rFonts w:ascii="Calibri" w:eastAsia="SimSun" w:hAnsi="Calibri" w:cs="Calibri"/>
        </w:rPr>
        <w:t xml:space="preserve">Models of decision-making and how they are shared between the patient and the clinician and with a wider stakeholder group are beginning to be more widely explored in the literature. Acculturation to Western </w:t>
      </w:r>
      <w:r w:rsidRPr="000F7E56">
        <w:rPr>
          <w:rFonts w:ascii="Calibri" w:eastAsia="SimSun" w:hAnsi="Calibri" w:cs="Calibri"/>
        </w:rPr>
        <w:lastRenderedPageBreak/>
        <w:t>Christian medical-ethical frameworks appears to be a dominant factor in development of autonomous decision–making</w:t>
      </w:r>
      <w:r w:rsidRPr="000F7E56">
        <w:rPr>
          <w:rFonts w:ascii="Calibri" w:eastAsia="SimSun" w:hAnsi="Calibri" w:cs="Calibri"/>
        </w:rPr>
        <w:fldChar w:fldCharType="begin"/>
      </w:r>
      <w:r w:rsidR="000D5597">
        <w:rPr>
          <w:rFonts w:ascii="Calibri" w:eastAsia="SimSun" w:hAnsi="Calibri" w:cs="Calibri"/>
        </w:rPr>
        <w:instrText xml:space="preserve"> ADDIN ZOTERO_ITEM CSL_CITATION {"citationID":"C1eZQhIT","properties":{"formattedCitation":"\\super 107\\nosupersub{}","plainCitation":"107","noteIndex":0},"citationItems":[{"id":"aZbwIlcN/XZ5D0FWe","uris":["http://zotero.org/users/6587080/items/W2PZ87HH"],"itemData":{"id":2097,"type":"webpage","abstract":"American Journal of Public Health (AJPH) from the American Public Health Association (APHA)","container-title":"https://doi.org/10.2105/AJPH.2013.301631","genre":"research-article","language":"EN","note":"archive_location: world\npublisher: American Public Health Association\nDOI: 10.2105/AJPH.2013.301631","title":"Shared Decision-Making for Cancer Care Among Racial and Ethnic Minorities: A Systematic Review","title-short":"Shared Decision-Making for Cancer Care Among Racial and Ethnic Minorities","URL":"http://ajph.aphapublications.org/","author":[{"family":"Mead","given":"Erin L."},{"family":"Doorenbos","given":"Ardith Z."},{"family":"Javid","given":"Sara H."},{"family":"Haozous","given":"Emily A."},{"family":"Alvord","given":"Lori Arviso"},{"family":"Flum","given":"David R."},{"family":"Morris","given":"Arden M."}],"accessed":{"date-parts":[["2021",2,19]]},"issued":{"date-parts":[["2013",11,4]]}}}],"schema":"https://github.com/citation-style-language/schema/raw/master/csl-citation.json"} </w:instrText>
      </w:r>
      <w:r w:rsidRPr="000F7E56">
        <w:rPr>
          <w:rFonts w:ascii="Calibri" w:eastAsia="SimSun" w:hAnsi="Calibri" w:cs="Calibri"/>
        </w:rPr>
        <w:fldChar w:fldCharType="separate"/>
      </w:r>
      <w:r w:rsidR="00496C3B" w:rsidRPr="00496C3B">
        <w:rPr>
          <w:rFonts w:ascii="Calibri" w:hAnsi="Calibri" w:cs="Calibri"/>
          <w:szCs w:val="24"/>
          <w:vertAlign w:val="superscript"/>
        </w:rPr>
        <w:t>107</w:t>
      </w:r>
      <w:r w:rsidRPr="000F7E56">
        <w:rPr>
          <w:rFonts w:ascii="Calibri" w:eastAsia="SimSun" w:hAnsi="Calibri" w:cs="Calibri"/>
        </w:rPr>
        <w:fldChar w:fldCharType="end"/>
      </w:r>
      <w:r w:rsidRPr="000F7E56">
        <w:rPr>
          <w:rFonts w:ascii="Calibri" w:eastAsia="SimSun" w:hAnsi="Calibri" w:cs="Calibri"/>
        </w:rPr>
        <w:t xml:space="preserve"> This should however be integrated in practice with consideration of a patient’s desire for varying family involvement and their own desired level of self-involvement in decisions which has been shown to vary within cultures including White British.</w:t>
      </w:r>
      <w:r w:rsidRPr="000F7E56">
        <w:rPr>
          <w:rFonts w:ascii="Calibri" w:eastAsia="SimSun" w:hAnsi="Calibri" w:cs="Calibri"/>
        </w:rPr>
        <w:fldChar w:fldCharType="begin"/>
      </w:r>
      <w:r w:rsidR="000D5597">
        <w:rPr>
          <w:rFonts w:ascii="Calibri" w:eastAsia="SimSun" w:hAnsi="Calibri" w:cs="Calibri"/>
        </w:rPr>
        <w:instrText xml:space="preserve"> ADDIN ZOTERO_ITEM CSL_CITATION {"citationID":"I6GTPGSF","properties":{"formattedCitation":"\\super 108\\nosupersub{}","plainCitation":"108","noteIndex":0},"citationItems":[{"id":"aZbwIlcN/t6BRSA93","uris":["http://zotero.org/users/6587080/items/C79NTMXF"],"itemData":{"id":2095,"type":"article-journal","abstract":"Background. Research suggests that desired family involvement (FI) in medical decision making may depend on cultural values. Unfortunately, the field lacks cros...","archive_location":"Sage CA: Los Angeles, CA","container-title":"Medical Decision Making","DOI":"10.1177/0272989X17715628","language":"en","note":"publisher: SAGE PublicationsSage CA: Los Angeles, CA","source":"journals.sagepub.com","title":"Who Decides: Me or We? Family Involvement in Medical Decision Making in Eastern and Western Countries:","title-short":"Who Decides","URL":"https://journals.sagepub.com/doi/abs/10.1177/0272989X17715628","author":[{"family":"Alden","given":"Dana L."},{"family":"Friend","given":"John"},{"family":"Lee","given":"Ping Yein"},{"family":"Lee","given":"Yew Kong"},{"family":"Trevena","given":"Lyndal"},{"family":"Ng","given":"Chirk Jenn"},{"family":"Kiatpongsan","given":"Sorapop"},{"family":"Abdullah","given":"Khatijah Lim"},{"family":"Tanaka","given":"Miho"},{"family":"Limpongsanurak","given":"Supanida"}],"accessed":{"date-parts":[["2021",2,19]]},"issued":{"date-parts":[["2017",7,8]]}}}],"schema":"https://github.com/citation-style-language/schema/raw/master/csl-citation.json"} </w:instrText>
      </w:r>
      <w:r w:rsidRPr="000F7E56">
        <w:rPr>
          <w:rFonts w:ascii="Calibri" w:eastAsia="SimSun" w:hAnsi="Calibri" w:cs="Calibri"/>
        </w:rPr>
        <w:fldChar w:fldCharType="separate"/>
      </w:r>
      <w:r w:rsidR="00496C3B" w:rsidRPr="00496C3B">
        <w:rPr>
          <w:rFonts w:ascii="Calibri" w:hAnsi="Calibri" w:cs="Calibri"/>
          <w:szCs w:val="24"/>
          <w:vertAlign w:val="superscript"/>
        </w:rPr>
        <w:t>108</w:t>
      </w:r>
      <w:r w:rsidRPr="000F7E56">
        <w:rPr>
          <w:rFonts w:ascii="Calibri" w:eastAsia="SimSun" w:hAnsi="Calibri" w:cs="Calibri"/>
        </w:rPr>
        <w:fldChar w:fldCharType="end"/>
      </w:r>
      <w:r w:rsidRPr="000F7E56">
        <w:rPr>
          <w:rFonts w:ascii="Calibri" w:eastAsia="SimSun" w:hAnsi="Calibri" w:cs="Calibri"/>
        </w:rPr>
        <w:t xml:space="preserve"> Findings from our previous work suggest that supporting clinicians in how to assess these factors and develop skills in wider ‘stakeholder’ decision-making would be valuable.</w:t>
      </w:r>
      <w:r w:rsidRPr="000F7E56">
        <w:rPr>
          <w:rFonts w:ascii="Calibri" w:eastAsia="SimSun" w:hAnsi="Calibri" w:cs="Calibri"/>
        </w:rPr>
        <w:fldChar w:fldCharType="begin"/>
      </w:r>
      <w:r w:rsidR="000D5597">
        <w:rPr>
          <w:rFonts w:ascii="Calibri" w:eastAsia="SimSun" w:hAnsi="Calibri" w:cs="Calibri"/>
        </w:rPr>
        <w:instrText xml:space="preserve"> ADDIN ZOTERO_ITEM CSL_CITATION {"citationID":"4FnDiIyf","properties":{"formattedCitation":"\\super 44,75,100\\nosupersub{}","plainCitation":"44,75,100","noteIndex":0},"citationItems":[{"id":1541,"uris":["http://zotero.org/users/8748280/items/PT6UDE5K"],"itemData":{"id":1541,"type":"article-journal","abstract":"Background Evidence suggests that discussing resuscitation with patients and relatives from ethnic minority groups is problematic for healthcare professionals (HCPs), but there is limited evidence exploring these issues or offering guidance for HCPs in navigating these challenging discussions. This study explores the barriers and enablers to HCPs discussing deterioration and resuscitation decisions with patients and families from ethnic minority groups.\nResults Personal, cultural, religious/spiritual and health beliefs, emotions, and communication quality and skills were discussed. Participants described that the interaction between these factors as complex, impacting the way some patients and families responded to do not attempt cardiopulmonary resuscitation (DNACPR) orders and the particular challenges these pose.\nConclusion Key barriers and enablers for healthcare professionals discussing resuscitation with patients and families from Black, Asian and minority ethnic communities were identified. The findings highlight areas of improvement for training, both relating to DNACPR discussions and ‘cultural competence’.","container-title":"Future Healthcare Journal","DOI":"10.7861/fhj.2021-0012","ISSN":"2514-6645, 2514-6653","journalAbbreviation":"Future Healthc J","language":"en","page":"fhj.2021-0012","source":"DOI.org (Crossref)","title":"Thinking ahead in advanced illness: Exploring clinicians' perspectives on discussing resuscitation with patients and families from ethnic minority communities","title-short":"Thinking ahead in advanced illness","author":[{"family":"Islam","given":"Zoebia"},{"family":"Taylor","given":"Lucy"},{"family":"Faull","given":"Christina"}],"issued":{"date-parts":[["2021",8,23]]}}},{"id":"aZbwIlcN/ixzzP0d4","uris":["http://zotero.org/users/6587080/items/FMPAAJBE"],"itemData":{"id":"qcOtDS7a/goGcgmER","type":"article-journal","abstract":"Background: Advance care planning (ACP) enables patients to consider, discuss and, if they wish, document their wishes and preferences for future care, including decisions to refuse treatment, in the event that they lose capacity to make decisions for themselves. ACP is a key component of UK health policy to improve the experience of death and dying for patients and their families. There is limited evidence about how patients and health professionals understand ACP, or when and how this is initiated. It is evident that many people find discussion of and planning for end of life care difficult, and tend to avoid the topic. Aim: To investigate how patients, their relatives and health professionals initiate and experience discussion of ACP and the outcomes of advance discussions in shaping care at the end of life. Design and data collection: Qualitative study with two workstreams: (1) interviews with 37 health professionals (general practitioners, specialist nurses and community nurses) about their experiences of ACP; and (2) longitudinal case studies of 21 patients with 6-month follow-up. Cases included a patient and, where possible, a nominated key relative and/or health professional as well as a review of medical records. Complete case triads were obtained for 11 patients. Four cases comprised the patient alone, where respondents were unable or unwilling to nominate either a family member or a professional carer they wished to include in the study. Patients were identified as likely to be within the last 6 months of life. Ninety-seven interviews were completed in total. Setting: General practices and community care settings in the East Midlands of England. Findings: The study found ACP to be uncommon and focused primarily on specific documented tasks involving decisions about preferred place of death and cardiopulmonary resuscitation, supporting earlier research. There was no evidence of ACP in nearly half (9 of 21) of patient cases. Professionals reported ACP discussions to be challenging. It was difficult to recognise when patients had entered the last year of life, or to identify their readiness to consider future planning. Patients often did not wish to do so before they had become gravely ill. Consequently, ACP discussions tended to be reactive, rather than pre-emptive, occurring in response to critical events or evidence of marked deterioration. ACP discussions intersected two parallel strands of planning: professional organisation and co-ordination of care; and the practical and emotional preparatory work that patients and families undertook to prepare themselves for death. Reference to ACP as a means of guiding decisions for patients who had lost capacity was rare. Conclusions: Advance care planning remains uncommon, is often limited to documentation of a few key decisions, is reported to be challenging by many health professionals, is not welcomed by a substantial number of patients and tends to be postponed until death is clearly imminent. Current implementation largely ignores the purpose of ACP as a means of extending personal autonomy in the event of lost capacity. Future work: Attention should be paid to public attitudes to death and dying (including those of culturally diverse and ethnic minority groups), place of death, resuscitation and the value of anticipatory planning. In addition the experiences and needs of two under-researched groups should be explored: the frail elderly, including those who manage complex comorbid conditions, unrecognised as vulnerable cases; and those patients affected by stigmatised conditions, such as substance abuse or serious mental illness who fail to engage constructively with services and are not recognised as suitable referrals for palliative and end of life care. Funding: The National Institute for Health Research Health Services and Delivery Research programme.","container-title":"Health Services and Delivery Research","DOI":"10.3310/hsdr03310","ISSN":"2050-4349","issue":"31","language":"eng","page":"1-138","source":"librarysearch.le.ac.uk","title":"Care and communication between health professionals and patients affected by severe or chronic illness in community care settings: a qualitative study of care at the end of life","title-short":"Care and communication between health professionals and patients affected by severe or chronic illness in community care settings","volume":"3","author":[{"family":"Pollock","given":"Kristian"},{"family":"Wilson","given":"Eleanor"}],"issued":{"date-parts":[["2015"]]}}},{"id":79,"uris":["http://zotero.org/users/8748280/items/Y8G3UV2I"],"itemData":{"id":79,"type":"article-journal","abstract":"Background Improving Advance Care Planning (ACP) and increasing its equitable access is a key UK government strategy. Evidence (mainly from the USA) suggests that there are lower levels of ACP in people from Black, Asian and Minority Ethnic (BAME) communities. People from some BAME groups also seem to be more likely to desire invasive medical interventions, regardless of prognosis and impact on quality of life. The beliefs, values and needs of BAME communities in the UK have not been explored to see if the UK model of decision making around resuscitation ‘fits’ for them. Also, healthcare professionals (HCPs) report that they do not feel confident in providing culturally appropriate care for BAME patients and families in this situation.\nAims To identify barriers and enablers to HCPs discussing deterioration and resuscitation with patients and families from BAME communities, and to identify associated HCP training needs.\nMethods Qualitative semi structured interviews with 30 HCPs.\nResults HCPs’ interviews identify key barriers and facilitators of resuscitation discussions including differing attitudes towards death; differing values amongst different generations of migrants; and the need to find a balance between the desire to act in a non-discriminatory way whilst respecting cultural differences. Analysis of interviews informed a set of statements regarding decision making about resuscitation, which are being used as part of a ranking exercise (using Q methodology) with members of the public.\nConclusion There are significant barriers for HCPs when discussing resuscitation decisions with people from BAME communities. This increases the complexity of navigating ACP and achieving patients‘ preferences.View this table:View inline View popup","container-title":"BMJ Supportive &amp; Palliative Care","DOI":"10.1136/bmjspcare-2017-00133.94","ISSN":"2045-435X, 2045-4368","issue":"Suppl 1","language":"en","page":"A35-A35","source":"spcare.bmj.com","title":"P-95 Thinking ahead: discussing resuscitation decisions with diverse communities","title-short":"P-95 Thinking ahead","volume":"7","author":[{"family":"Taylor","given":"Lucy"},{"family":"Islam","given":"Zoebia"},{"family":"Eborall","given":"Helen"},{"family":"Miodrag","given":"David"},{"family":"Gamble","given":"Wendy"},{"family":"Faull","given":"Christina"}],"issued":{"date-parts":[["2017",3,1]]}}}],"schema":"https://github.com/citation-style-language/schema/raw/master/csl-citation.json"} </w:instrText>
      </w:r>
      <w:r w:rsidRPr="000F7E56">
        <w:rPr>
          <w:rFonts w:ascii="Calibri" w:eastAsia="SimSun" w:hAnsi="Calibri" w:cs="Calibri"/>
        </w:rPr>
        <w:fldChar w:fldCharType="separate"/>
      </w:r>
      <w:r w:rsidR="00496C3B" w:rsidRPr="00496C3B">
        <w:rPr>
          <w:rFonts w:ascii="Calibri" w:hAnsi="Calibri" w:cs="Calibri"/>
          <w:szCs w:val="24"/>
          <w:vertAlign w:val="superscript"/>
        </w:rPr>
        <w:t>44,75,100</w:t>
      </w:r>
      <w:r w:rsidRPr="000F7E56">
        <w:rPr>
          <w:rFonts w:ascii="Calibri" w:eastAsia="SimSun" w:hAnsi="Calibri" w:cs="Calibri"/>
        </w:rPr>
        <w:fldChar w:fldCharType="end"/>
      </w:r>
      <w:r w:rsidRPr="000F7E56">
        <w:rPr>
          <w:rFonts w:ascii="Calibri" w:eastAsia="SimSun" w:hAnsi="Calibri" w:cs="Calibri"/>
        </w:rPr>
        <w:t xml:space="preserve"> In this work doctors and nurses discussed the interventions they perceive have improved their confidence, knowledge and skills in these situations. It was clear that training was limited and failed to address the impact of such nuances between and within different communities. This is reiterated in </w:t>
      </w:r>
      <w:proofErr w:type="spellStart"/>
      <w:r w:rsidRPr="000F7E56">
        <w:rPr>
          <w:rFonts w:ascii="Calibri" w:eastAsia="SimSun" w:hAnsi="Calibri" w:cs="Calibri"/>
        </w:rPr>
        <w:t>Calanzani’s</w:t>
      </w:r>
      <w:proofErr w:type="spellEnd"/>
      <w:r w:rsidRPr="000F7E56">
        <w:rPr>
          <w:rFonts w:ascii="Calibri" w:eastAsia="SimSun" w:hAnsi="Calibri" w:cs="Calibri"/>
        </w:rPr>
        <w:t xml:space="preserve"> et </w:t>
      </w:r>
      <w:proofErr w:type="spellStart"/>
      <w:r w:rsidRPr="000F7E56">
        <w:rPr>
          <w:rFonts w:ascii="Calibri" w:eastAsia="SimSun" w:hAnsi="Calibri" w:cs="Calibri"/>
        </w:rPr>
        <w:t>al’s</w:t>
      </w:r>
      <w:proofErr w:type="spellEnd"/>
      <w:r w:rsidRPr="000F7E56">
        <w:rPr>
          <w:rFonts w:ascii="Calibri" w:eastAsia="SimSun" w:hAnsi="Calibri" w:cs="Calibri"/>
        </w:rPr>
        <w:t xml:space="preserve"> seminal report in which they appraise the evidence from 45 literature reviews to describe the current state of palliative and end-of-life care provision for ED populations living in the UK and in other English-speaking countries.</w:t>
      </w:r>
      <w:r w:rsidRPr="000F7E56">
        <w:rPr>
          <w:rFonts w:ascii="Calibri" w:eastAsia="SimSun" w:hAnsi="Calibri" w:cs="Calibri"/>
        </w:rPr>
        <w:fldChar w:fldCharType="begin"/>
      </w:r>
      <w:r w:rsidR="000D5597">
        <w:rPr>
          <w:rFonts w:ascii="Calibri" w:eastAsia="SimSun" w:hAnsi="Calibri" w:cs="Calibri"/>
        </w:rPr>
        <w:instrText xml:space="preserve"> ADDIN ZOTERO_ITEM CSL_CITATION {"citationID":"IqozcRta","properties":{"formattedCitation":"\\super 25\\nosupersub{}","plainCitation":"25","noteIndex":0},"citationItems":[{"id":"aZbwIlcN/vqPrqkfi","uris":["http://zotero.org/users/6587080/items/E73EUZV4"],"itemData":{"id":"qcOtDS7a/0gjKZSWz","type":"report","language":"en","page":"79","publisher":"King’s College London, Cicely Saunders Institute","source":"Zotero","title":"Palliative and end of life for Black, Asian and Minority Ethnic groups in the UK","author":[{"family":"Calanzani","given":"Natalia"},{"family":"Koffman","given":"Dr Jonathan"},{"family":"Higginson","given":"Irene J."}],"issued":{"date-parts":[["2013",6]]}}}],"schema":"https://github.com/citation-style-language/schema/raw/master/csl-citation.json"} </w:instrText>
      </w:r>
      <w:r w:rsidRPr="000F7E56">
        <w:rPr>
          <w:rFonts w:ascii="Calibri" w:eastAsia="SimSun" w:hAnsi="Calibri" w:cs="Calibri"/>
        </w:rPr>
        <w:fldChar w:fldCharType="separate"/>
      </w:r>
      <w:r w:rsidR="00496C3B" w:rsidRPr="00496C3B">
        <w:rPr>
          <w:rFonts w:ascii="Calibri" w:hAnsi="Calibri" w:cs="Calibri"/>
          <w:szCs w:val="24"/>
          <w:vertAlign w:val="superscript"/>
        </w:rPr>
        <w:t>25</w:t>
      </w:r>
      <w:r w:rsidRPr="000F7E56">
        <w:rPr>
          <w:rFonts w:ascii="Calibri" w:eastAsia="SimSun" w:hAnsi="Calibri" w:cs="Calibri"/>
        </w:rPr>
        <w:fldChar w:fldCharType="end"/>
      </w:r>
    </w:p>
    <w:p w14:paraId="12585BDE" w14:textId="6A670354" w:rsidR="000F7E56" w:rsidRPr="000F7E56" w:rsidRDefault="000F7E56" w:rsidP="000F7E56">
      <w:pPr>
        <w:spacing w:after="120" w:line="360" w:lineRule="auto"/>
        <w:rPr>
          <w:rFonts w:ascii="Calibri" w:eastAsia="SimSun" w:hAnsi="Calibri" w:cs="Calibri"/>
        </w:rPr>
      </w:pPr>
      <w:r w:rsidRPr="000F7E56">
        <w:rPr>
          <w:rFonts w:ascii="Calibri" w:eastAsia="SimSun" w:hAnsi="Calibri" w:cs="Calibri"/>
        </w:rPr>
        <w:t>Envisaged ‘solutions’ for working in such uncertainty and emotionally challenging scenarios are often to increase confidence through provision and assimilation of more factual ‘knowledge’. However, HCP participants in our previous study (which has focused on the experiences of HCPs in one aspect of EOLCP, decision-making about resuscitation with ED patients and families) sought to access reflective support, sharing of practices with colleagues and learning though simulated scenarios.</w:t>
      </w:r>
      <w:r w:rsidRPr="000F7E56">
        <w:rPr>
          <w:rFonts w:ascii="Calibri" w:eastAsia="SimSun" w:hAnsi="Calibri" w:cs="Calibri"/>
        </w:rPr>
        <w:fldChar w:fldCharType="begin"/>
      </w:r>
      <w:r w:rsidR="000D5597">
        <w:rPr>
          <w:rFonts w:ascii="Calibri" w:eastAsia="SimSun" w:hAnsi="Calibri" w:cs="Calibri"/>
        </w:rPr>
        <w:instrText xml:space="preserve"> ADDIN ZOTERO_ITEM CSL_CITATION {"citationID":"wUVUAqAs","properties":{"formattedCitation":"\\super 44\\nosupersub{}","plainCitation":"44","noteIndex":0},"citationItems":[{"id":1541,"uris":["http://zotero.org/users/8748280/items/PT6UDE5K"],"itemData":{"id":1541,"type":"article-journal","abstract":"Background Evidence suggests that discussing resuscitation with patients and relatives from ethnic minority groups is problematic for healthcare professionals (HCPs), but there is limited evidence exploring these issues or offering guidance for HCPs in navigating these challenging discussions. This study explores the barriers and enablers to HCPs discussing deterioration and resuscitation decisions with patients and families from ethnic minority groups.\nResults Personal, cultural, religious/spiritual and health beliefs, emotions, and communication quality and skills were discussed. Participants described that the interaction between these factors as complex, impacting the way some patients and families responded to do not attempt cardiopulmonary resuscitation (DNACPR) orders and the particular challenges these pose.\nConclusion Key barriers and enablers for healthcare professionals discussing resuscitation with patients and families from Black, Asian and minority ethnic communities were identified. The findings highlight areas of improvement for training, both relating to DNACPR discussions and ‘cultural competence’.","container-title":"Future Healthcare Journal","DOI":"10.7861/fhj.2021-0012","ISSN":"2514-6645, 2514-6653","journalAbbreviation":"Future Healthc J","language":"en","page":"fhj.2021-0012","source":"DOI.org (Crossref)","title":"Thinking ahead in advanced illness: Exploring clinicians' perspectives on discussing resuscitation with patients and families from ethnic minority communities","title-short":"Thinking ahead in advanced illness","author":[{"family":"Islam","given":"Zoebia"},{"family":"Taylor","given":"Lucy"},{"family":"Faull","given":"Christina"}],"issued":{"date-parts":[["2021",8,23]]}}}],"schema":"https://github.com/citation-style-language/schema/raw/master/csl-citation.json"} </w:instrText>
      </w:r>
      <w:r w:rsidRPr="000F7E56">
        <w:rPr>
          <w:rFonts w:ascii="Calibri" w:eastAsia="SimSun" w:hAnsi="Calibri" w:cs="Calibri"/>
        </w:rPr>
        <w:fldChar w:fldCharType="separate"/>
      </w:r>
      <w:r w:rsidR="00496C3B" w:rsidRPr="00496C3B">
        <w:rPr>
          <w:rFonts w:ascii="Calibri" w:hAnsi="Calibri" w:cs="Calibri"/>
          <w:szCs w:val="24"/>
          <w:vertAlign w:val="superscript"/>
        </w:rPr>
        <w:t>44</w:t>
      </w:r>
      <w:r w:rsidRPr="000F7E56">
        <w:rPr>
          <w:rFonts w:ascii="Calibri" w:eastAsia="SimSun" w:hAnsi="Calibri" w:cs="Calibri"/>
        </w:rPr>
        <w:fldChar w:fldCharType="end"/>
      </w:r>
      <w:r w:rsidRPr="000F7E56">
        <w:rPr>
          <w:rFonts w:ascii="Calibri" w:eastAsia="SimSun" w:hAnsi="Calibri" w:cs="Calibri"/>
        </w:rPr>
        <w:t xml:space="preserve"> Additionally, our work using Q methodology (a structured way of eliciting and prioritising preferences) to explore the views of ED public participants about resuscitation discussions in advanced, terminal illness, indicates both a receptiveness (in terms of both desire and acceptability) to engage in the topic of end-of- life and the enabling of value to participants of receiving information about thi</w:t>
      </w:r>
      <w:r w:rsidR="00664908">
        <w:rPr>
          <w:rFonts w:ascii="Calibri" w:eastAsia="SimSun" w:hAnsi="Calibri" w:cs="Calibri"/>
        </w:rPr>
        <w:t xml:space="preserve">s. </w:t>
      </w:r>
      <w:r w:rsidRPr="000F7E56">
        <w:rPr>
          <w:rFonts w:ascii="Calibri" w:eastAsia="SimSun" w:hAnsi="Calibri" w:cs="Calibri"/>
        </w:rPr>
        <w:t>The actions participants indicated that they would take as a result of the information and the decisions that they would make were diverse and reflective of the intersectionality of their beliefs, culture, experiences, circumstances and other factors.</w:t>
      </w:r>
      <w:r w:rsidRPr="000F7E56">
        <w:rPr>
          <w:rFonts w:ascii="Calibri" w:eastAsia="SimSun" w:hAnsi="Calibri" w:cs="Calibri"/>
          <w:vertAlign w:val="superscript"/>
        </w:rPr>
        <w:fldChar w:fldCharType="begin"/>
      </w:r>
      <w:r w:rsidR="000D5597">
        <w:rPr>
          <w:rFonts w:ascii="Calibri" w:eastAsia="SimSun" w:hAnsi="Calibri" w:cs="Calibri"/>
          <w:vertAlign w:val="superscript"/>
        </w:rPr>
        <w:instrText xml:space="preserve"> ADDIN ZOTERO_ITEM CSL_CITATION {"citationID":"ETpkr3v3","properties":{"formattedCitation":"\\super 44,100\\nosupersub{}","plainCitation":"44,100","noteIndex":0},"citationItems":[{"id":1541,"uris":["http://zotero.org/users/8748280/items/PT6UDE5K"],"itemData":{"id":1541,"type":"article-journal","abstract":"Background Evidence suggests that discussing resuscitation with patients and relatives from ethnic minority groups is problematic for healthcare professionals (HCPs), but there is limited evidence exploring these issues or offering guidance for HCPs in navigating these challenging discussions. This study explores the barriers and enablers to HCPs discussing deterioration and resuscitation decisions with patients and families from ethnic minority groups.\nResults Personal, cultural, religious/spiritual and health beliefs, emotions, and communication quality and skills were discussed. Participants described that the interaction between these factors as complex, impacting the way some patients and families responded to do not attempt cardiopulmonary resuscitation (DNACPR) orders and the particular challenges these pose.\nConclusion Key barriers and enablers for healthcare professionals discussing resuscitation with patients and families from Black, Asian and minority ethnic communities were identified. The findings highlight areas of improvement for training, both relating to DNACPR discussions and ‘cultural competence’.","container-title":"Future Healthcare Journal","DOI":"10.7861/fhj.2021-0012","ISSN":"2514-6645, 2514-6653","journalAbbreviation":"Future Healthc J","language":"en","page":"fhj.2021-0012","source":"DOI.org (Crossref)","title":"Thinking ahead in advanced illness: Exploring clinicians' perspectives on discussing resuscitation with patients and families from ethnic minority communities","title-short":"Thinking ahead in advanced illness","author":[{"family":"Islam","given":"Zoebia"},{"family":"Taylor","given":"Lucy"},{"family":"Faull","given":"Christina"}],"issued":{"date-parts":[["2021",8,23]]}}},{"id":79,"uris":["http://zotero.org/users/8748280/items/Y8G3UV2I"],"itemData":{"id":79,"type":"article-journal","abstract":"Background Improving Advance Care Planning (ACP) and increasing its equitable access is a key UK government strategy. Evidence (mainly from the USA) suggests that there are lower levels of ACP in people from Black, Asian and Minority Ethnic (BAME) communities. People from some BAME groups also seem to be more likely to desire invasive medical interventions, regardless of prognosis and impact on quality of life. The beliefs, values and needs of BAME communities in the UK have not been explored to see if the UK model of decision making around resuscitation ‘fits’ for them. Also, healthcare professionals (HCPs) report that they do not feel confident in providing culturally appropriate care for BAME patients and families in this situation.\nAims To identify barriers and enablers to HCPs discussing deterioration and resuscitation with patients and families from BAME communities, and to identify associated HCP training needs.\nMethods Qualitative semi structured interviews with 30 HCPs.\nResults HCPs’ interviews identify key barriers and facilitators of resuscitation discussions including differing attitudes towards death; differing values amongst different generations of migrants; and the need to find a balance between the desire to act in a non-discriminatory way whilst respecting cultural differences. Analysis of interviews informed a set of statements regarding decision making about resuscitation, which are being used as part of a ranking exercise (using Q methodology) with members of the public.\nConclusion There are significant barriers for HCPs when discussing resuscitation decisions with people from BAME communities. This increases the complexity of navigating ACP and achieving patients‘ preferences.View this table:View inline View popup","container-title":"BMJ Supportive &amp; Palliative Care","DOI":"10.1136/bmjspcare-2017-00133.94","ISSN":"2045-435X, 2045-4368","issue":"Suppl 1","language":"en","page":"A35-A35","source":"spcare.bmj.com","title":"P-95 Thinking ahead: discussing resuscitation decisions with diverse communities","title-short":"P-95 Thinking ahead","volume":"7","author":[{"family":"Taylor","given":"Lucy"},{"family":"Islam","given":"Zoebia"},{"family":"Eborall","given":"Helen"},{"family":"Miodrag","given":"David"},{"family":"Gamble","given":"Wendy"},{"family":"Faull","given":"Christina"}],"issued":{"date-parts":[["2017",3,1]]}}}],"schema":"https://github.com/citation-style-language/schema/raw/master/csl-citation.json"} </w:instrText>
      </w:r>
      <w:r w:rsidRPr="000F7E56">
        <w:rPr>
          <w:rFonts w:ascii="Calibri" w:eastAsia="SimSun" w:hAnsi="Calibri" w:cs="Calibri"/>
          <w:vertAlign w:val="superscript"/>
        </w:rPr>
        <w:fldChar w:fldCharType="separate"/>
      </w:r>
      <w:r w:rsidR="00496C3B" w:rsidRPr="00496C3B">
        <w:rPr>
          <w:rFonts w:ascii="Calibri" w:hAnsi="Calibri" w:cs="Calibri"/>
          <w:szCs w:val="24"/>
          <w:vertAlign w:val="superscript"/>
        </w:rPr>
        <w:t>44,100</w:t>
      </w:r>
      <w:r w:rsidRPr="000F7E56">
        <w:rPr>
          <w:rFonts w:ascii="Calibri" w:eastAsia="SimSun" w:hAnsi="Calibri" w:cs="Calibri"/>
          <w:vertAlign w:val="superscript"/>
        </w:rPr>
        <w:fldChar w:fldCharType="end"/>
      </w:r>
      <w:r w:rsidRPr="000F7E56">
        <w:rPr>
          <w:rFonts w:ascii="Calibri" w:eastAsia="SimSun" w:hAnsi="Calibri" w:cs="Calibri"/>
        </w:rPr>
        <w:t xml:space="preserve">  </w:t>
      </w:r>
    </w:p>
    <w:p w14:paraId="62C90AB8" w14:textId="3745BFD8" w:rsidR="000F7E56" w:rsidRPr="000F7E56" w:rsidRDefault="000F7E56" w:rsidP="000F7E56">
      <w:pPr>
        <w:spacing w:after="120" w:line="360" w:lineRule="auto"/>
        <w:rPr>
          <w:rFonts w:ascii="Calibri" w:eastAsia="SimSun" w:hAnsi="Calibri" w:cs="Calibri"/>
        </w:rPr>
      </w:pPr>
      <w:bookmarkStart w:id="68" w:name="_Hlk90507343"/>
      <w:r w:rsidRPr="000F7E56">
        <w:rPr>
          <w:rFonts w:ascii="Calibri" w:eastAsia="SimSun" w:hAnsi="Calibri" w:cs="Calibri"/>
        </w:rPr>
        <w:t xml:space="preserve">The evidence presented above, from our own work, and of </w:t>
      </w:r>
      <w:r w:rsidR="00073490">
        <w:rPr>
          <w:rFonts w:ascii="Calibri" w:eastAsia="SimSun" w:hAnsi="Calibri" w:cs="Calibri"/>
        </w:rPr>
        <w:t>that</w:t>
      </w:r>
      <w:r w:rsidRPr="000F7E56">
        <w:rPr>
          <w:rFonts w:ascii="Calibri" w:eastAsia="SimSun" w:hAnsi="Calibri" w:cs="Calibri"/>
        </w:rPr>
        <w:t xml:space="preserve"> presented in </w:t>
      </w:r>
      <w:proofErr w:type="spellStart"/>
      <w:r w:rsidRPr="000F7E56">
        <w:rPr>
          <w:rFonts w:ascii="Calibri" w:eastAsia="SimSun" w:hAnsi="Calibri" w:cs="Calibri"/>
        </w:rPr>
        <w:t>Calanzani</w:t>
      </w:r>
      <w:proofErr w:type="spellEnd"/>
      <w:r w:rsidRPr="000F7E56">
        <w:rPr>
          <w:rFonts w:ascii="Calibri" w:eastAsia="SimSun" w:hAnsi="Calibri" w:cs="Calibri"/>
        </w:rPr>
        <w:t xml:space="preserve"> et </w:t>
      </w:r>
      <w:proofErr w:type="spellStart"/>
      <w:r w:rsidRPr="000F7E56">
        <w:rPr>
          <w:rFonts w:ascii="Calibri" w:eastAsia="SimSun" w:hAnsi="Calibri" w:cs="Calibri"/>
        </w:rPr>
        <w:t>al’s</w:t>
      </w:r>
      <w:proofErr w:type="spellEnd"/>
      <w:r w:rsidRPr="000F7E56">
        <w:rPr>
          <w:rFonts w:ascii="Calibri" w:eastAsia="SimSun" w:hAnsi="Calibri" w:cs="Calibri"/>
        </w:rPr>
        <w:t xml:space="preserve"> report highlighted the need for further research with ED patients and families</w:t>
      </w:r>
      <w:r w:rsidR="00664908">
        <w:rPr>
          <w:rFonts w:ascii="Calibri" w:eastAsia="SimSun" w:hAnsi="Calibri" w:cs="Calibri"/>
        </w:rPr>
        <w:t>,</w:t>
      </w:r>
      <w:r w:rsidRPr="000F7E56">
        <w:rPr>
          <w:rFonts w:ascii="Calibri" w:eastAsia="SimSun" w:hAnsi="Calibri" w:cs="Calibri"/>
        </w:rPr>
        <w:t xml:space="preserve"> exploring how these factors </w:t>
      </w:r>
      <w:r w:rsidR="00664908" w:rsidRPr="000F7E56">
        <w:rPr>
          <w:rFonts w:ascii="Calibri" w:eastAsia="SimSun" w:hAnsi="Calibri" w:cs="Calibri"/>
        </w:rPr>
        <w:t>influence end</w:t>
      </w:r>
      <w:r w:rsidRPr="000F7E56">
        <w:rPr>
          <w:rFonts w:ascii="Calibri" w:eastAsia="SimSun" w:hAnsi="Calibri" w:cs="Calibri"/>
        </w:rPr>
        <w:t>-of-life decision-making to inform evidence-based training</w:t>
      </w:r>
      <w:r w:rsidR="00664908">
        <w:rPr>
          <w:rFonts w:ascii="Calibri" w:eastAsia="SimSun" w:hAnsi="Calibri" w:cs="Calibri"/>
        </w:rPr>
        <w:t>. This could</w:t>
      </w:r>
      <w:r w:rsidRPr="000F7E56">
        <w:rPr>
          <w:rFonts w:ascii="Calibri" w:eastAsia="SimSun" w:hAnsi="Calibri" w:cs="Calibri"/>
        </w:rPr>
        <w:t xml:space="preserve"> in turn support HCPs in developing ‘cultural intelligence’  when  discussing the value of medical interventions with patients who are at risk of deterioration and dying.</w:t>
      </w:r>
      <w:r w:rsidRPr="000F7E56">
        <w:rPr>
          <w:rFonts w:ascii="Calibri" w:eastAsia="SimSun" w:hAnsi="Calibri" w:cs="Calibri"/>
        </w:rPr>
        <w:fldChar w:fldCharType="begin"/>
      </w:r>
      <w:r w:rsidR="000D5597">
        <w:rPr>
          <w:rFonts w:ascii="Calibri" w:eastAsia="SimSun" w:hAnsi="Calibri" w:cs="Calibri"/>
        </w:rPr>
        <w:instrText xml:space="preserve"> ADDIN ZOTERO_ITEM CSL_CITATION {"citationID":"RUPAYDfa","properties":{"formattedCitation":"\\super 25\\nosupersub{}","plainCitation":"25","noteIndex":0},"citationItems":[{"id":"aZbwIlcN/vqPrqkfi","uris":["http://zotero.org/users/6587080/items/E73EUZV4"],"itemData":{"id":"UwE3ier4/timoo93x","type":"report","language":"en","page":"79","publisher":"King’s College London, Cicely Saunders Institute","source":"Zotero","title":"Palliative and end of life for Black, Asian and Minority Ethnic groups in the UK","author":[{"family":"Calanzani","given":"Natalia"},{"family":"Koffman","given":"Dr Jonathan"},{"family":"Higginson","given":"Irene J."}],"issued":{"date-parts":[["2013",6]]}}}],"schema":"https://github.com/citation-style-language/schema/raw/master/csl-citation.json"} </w:instrText>
      </w:r>
      <w:r w:rsidRPr="000F7E56">
        <w:rPr>
          <w:rFonts w:ascii="Calibri" w:eastAsia="SimSun" w:hAnsi="Calibri" w:cs="Calibri"/>
        </w:rPr>
        <w:fldChar w:fldCharType="separate"/>
      </w:r>
      <w:r w:rsidR="00496C3B" w:rsidRPr="00496C3B">
        <w:rPr>
          <w:rFonts w:ascii="Calibri" w:hAnsi="Calibri" w:cs="Calibri"/>
          <w:szCs w:val="24"/>
          <w:vertAlign w:val="superscript"/>
        </w:rPr>
        <w:t>25</w:t>
      </w:r>
      <w:r w:rsidRPr="000F7E56">
        <w:rPr>
          <w:rFonts w:ascii="Calibri" w:eastAsia="SimSun" w:hAnsi="Calibri" w:cs="Calibri"/>
        </w:rPr>
        <w:fldChar w:fldCharType="end"/>
      </w:r>
    </w:p>
    <w:bookmarkEnd w:id="68"/>
    <w:p w14:paraId="55AD2217" w14:textId="77777777" w:rsidR="000F7E56" w:rsidRPr="000F7E56" w:rsidRDefault="000F7E56" w:rsidP="000F7E56">
      <w:pPr>
        <w:spacing w:before="120" w:after="0" w:line="360" w:lineRule="auto"/>
        <w:rPr>
          <w:rFonts w:ascii="Calibri" w:eastAsia="SimSun" w:hAnsi="Calibri" w:cs="Calibri"/>
        </w:rPr>
      </w:pPr>
    </w:p>
    <w:p w14:paraId="6E019FC0" w14:textId="77777777" w:rsidR="000F7E56" w:rsidRPr="000F7E56" w:rsidRDefault="000F7E56" w:rsidP="000F7E56">
      <w:pPr>
        <w:keepNext/>
        <w:keepLines/>
        <w:spacing w:before="40" w:after="0" w:line="360" w:lineRule="auto"/>
        <w:outlineLvl w:val="1"/>
        <w:rPr>
          <w:rFonts w:asciiTheme="majorHAnsi" w:eastAsiaTheme="majorEastAsia" w:hAnsiTheme="majorHAnsi" w:cstheme="majorBidi"/>
          <w:color w:val="2F5496" w:themeColor="accent1" w:themeShade="BF"/>
          <w:sz w:val="24"/>
          <w:szCs w:val="24"/>
        </w:rPr>
      </w:pPr>
      <w:bookmarkStart w:id="69" w:name="_Toc87279301"/>
      <w:bookmarkStart w:id="70" w:name="_Toc89665143"/>
      <w:bookmarkStart w:id="71" w:name="_Toc89671896"/>
      <w:bookmarkStart w:id="72" w:name="_Toc89763946"/>
      <w:bookmarkStart w:id="73" w:name="_Toc106697772"/>
      <w:r w:rsidRPr="000F7E56">
        <w:rPr>
          <w:rFonts w:asciiTheme="majorHAnsi" w:eastAsiaTheme="majorEastAsia" w:hAnsiTheme="majorHAnsi" w:cstheme="majorBidi"/>
          <w:color w:val="2F5496" w:themeColor="accent1" w:themeShade="BF"/>
          <w:sz w:val="24"/>
          <w:szCs w:val="24"/>
        </w:rPr>
        <w:t>Study justification</w:t>
      </w:r>
      <w:bookmarkEnd w:id="69"/>
      <w:bookmarkEnd w:id="70"/>
      <w:bookmarkEnd w:id="71"/>
      <w:bookmarkEnd w:id="72"/>
      <w:bookmarkEnd w:id="73"/>
    </w:p>
    <w:p w14:paraId="4F5A68F5" w14:textId="0163B43F" w:rsidR="000F7E56" w:rsidRPr="000F7E56" w:rsidRDefault="00E60627" w:rsidP="000F7E56">
      <w:pPr>
        <w:spacing w:after="120" w:line="360" w:lineRule="auto"/>
        <w:rPr>
          <w:b/>
          <w:color w:val="2E74B5"/>
          <w:sz w:val="28"/>
          <w:szCs w:val="28"/>
        </w:rPr>
      </w:pPr>
      <w:r>
        <w:t xml:space="preserve">Evidence discussed above along with that presented in the work of </w:t>
      </w:r>
      <w:proofErr w:type="spellStart"/>
      <w:r w:rsidR="000F7E56" w:rsidRPr="000F7E56">
        <w:t>Calanzani</w:t>
      </w:r>
      <w:proofErr w:type="spellEnd"/>
      <w:r w:rsidR="000F7E56" w:rsidRPr="000F7E56">
        <w:t xml:space="preserve"> et </w:t>
      </w:r>
      <w:proofErr w:type="spellStart"/>
      <w:r w:rsidR="000F7E56" w:rsidRPr="000F7E56">
        <w:t>al’s</w:t>
      </w:r>
      <w:proofErr w:type="spellEnd"/>
      <w:r w:rsidR="000F7E56" w:rsidRPr="000F7E56">
        <w:t xml:space="preserve"> </w:t>
      </w:r>
      <w:r>
        <w:t>point to considerable</w:t>
      </w:r>
      <w:r w:rsidR="000F7E56" w:rsidRPr="000F7E56">
        <w:t xml:space="preserve"> gaps in </w:t>
      </w:r>
      <w:r>
        <w:t>knowledge, specifically</w:t>
      </w:r>
      <w:r w:rsidR="000F7E56" w:rsidRPr="000F7E56">
        <w:t xml:space="preserve"> the existence of micro-cultures a</w:t>
      </w:r>
      <w:r>
        <w:t>nd</w:t>
      </w:r>
      <w:r w:rsidR="000F7E56" w:rsidRPr="000F7E56">
        <w:t xml:space="preserve"> the experience, preferences and goals of care of ED patients with advanced illness and those of their families.</w:t>
      </w:r>
      <w:r w:rsidR="000F7E56" w:rsidRPr="000F7E56">
        <w:fldChar w:fldCharType="begin"/>
      </w:r>
      <w:r w:rsidR="000D5597">
        <w:instrText xml:space="preserve"> ADDIN ZOTERO_ITEM CSL_CITATION {"citationID":"sVCggn2S","properties":{"formattedCitation":"\\super 25,74\\nosupersub{}","plainCitation":"25,74","noteIndex":0},"citationItems":[{"id":"aZbwIlcN/vqPrqkfi","uris":["http://zotero.org/users/6587080/items/E73EUZV4"],"itemData":{"id":149,"type":"report","language":"en","page":"79","publisher":"King’s College London, Cicely Saunders Institute","source":"Zotero","title":"Palliative and end of life for Black, Asian and Minority Ethnic groups in the UK","author":[{"family":"Calanzani","given":"Natalia"},{"family":"Koffman","given":"Dr Jonathan"},{"family":"Higginson","given":"Irene J."}],"issued":{"date-parts":[["2013",6]]}}},{"id":"aZbwIlcN/cPMwbFYk","uris":["http://zotero.org/users/6587080/items/XYZSTQNT"],"itemData":{"id":"qcOtDS7a/S20KUets","type":"article-journal","abstract":"The aim of this study was to assess the culture-specific palliative care needs of ethnic minority patients. Qualitative semi-structured interviews were conducted using elements of phenomenology with four ethnic minority patients who were attending a day-care centre. Although the aim was to assess cultural needs, it was found that the patients expressed basic human needs rather than culture-specific ones. The theme of acculturation, where patients ‘fit in’ with the dominant culture, was predominant. This suggests that stereotypical cultural care may not always be appropriate, as micro-cultures and individual diversity within cultures exist. These should be explored in the cultural assessment of ethnic minority patients.","container-title":"International Journal of Palliative Nursing","DOI":"10.12968/ijpn.2003.9.9.11766","ISSN":"1357-6321","issue":"9","journalAbbreviation":"Int J Palliat Nurs","page":"389-396","source":"magonlinelibrary.com (Atypon)","title":"The palliative care needs of ethnic minority patients attending a day-care centre: a qualitative study","title-short":"The palliative care needs of ethnic minority patients attending a day-care centre","volume":"9","author":[{"family":"Diver","given":"Fiona"},{"family":"Molassiotis","given":"Alexander"},{"family":"Weeks","given":"Les"}],"issued":{"date-parts":[["2003",9,1]]}}}],"schema":"https://github.com/citation-style-language/schema/raw/master/csl-citation.json"} </w:instrText>
      </w:r>
      <w:r w:rsidR="000F7E56" w:rsidRPr="000F7E56">
        <w:fldChar w:fldCharType="separate"/>
      </w:r>
      <w:r w:rsidR="00496C3B" w:rsidRPr="00496C3B">
        <w:rPr>
          <w:rFonts w:ascii="Calibri" w:hAnsi="Calibri" w:cs="Calibri"/>
          <w:szCs w:val="24"/>
          <w:vertAlign w:val="superscript"/>
        </w:rPr>
        <w:t>25,74</w:t>
      </w:r>
      <w:r w:rsidR="000F7E56" w:rsidRPr="000F7E56">
        <w:fldChar w:fldCharType="end"/>
      </w:r>
      <w:r w:rsidR="000F7E56" w:rsidRPr="000F7E56">
        <w:t xml:space="preserve"> We also know that ED patients are </w:t>
      </w:r>
      <w:r w:rsidR="000F7E56" w:rsidRPr="000F7E56">
        <w:lastRenderedPageBreak/>
        <w:t>disadvantaged in terms of access to palliative care services, especially those who cannot speak English confidently.</w:t>
      </w:r>
      <w:r w:rsidR="000F7E56" w:rsidRPr="000F7E56">
        <w:fldChar w:fldCharType="begin"/>
      </w:r>
      <w:r w:rsidR="000D5597">
        <w:instrText xml:space="preserve"> ADDIN ZOTERO_ITEM CSL_CITATION {"citationID":"reOmOa5s","properties":{"formattedCitation":"\\super 109\\nosupersub{}","plainCitation":"109","noteIndex":0},"citationItems":[{"id":"aZbwIlcN/C6ai0Hpv","uris":["http://zotero.org/users/6587080/items/LCD38VDH"],"itemData":{"id":1716,"type":"article-journal","abstract":"Objectives To examine the care experiences of South Asian Sikh and Muslim patients in Scotland with life limiting illness and their families and to understand the reasons for any difficulties with access to services and how these might be overcome. Design Prospective, longitudinal, qualitative design using in-depth interviews. Setting Central Scotland. Participants 25 purposively selected South Asian Sikh and Muslim patients, 18 family carers, and 20 key health professionals.\nResults 92 interviews took place. Most services struggled to deliver responsive, culturally appropriate care. Barriers to accessing effective end of life care included resource constrained services; institutional and, occasionally, personal racial and religious discrimination; limited awareness and understanding among South Asian people of the role of hospices; and difficulty discussing death. The most vulnerable patients, including recent migrants and those with poor English language skills, with no family advocate, and dying of non-malignant diseases were at particularly high risk of inadequate care.\nConclusions Despite a robust Scottish diversity policy, services for South Asian Sikh and Muslim patients with life limiting illness were wanting in many key areas. Active case management of the most vulnerable patients and carers, and “real time” support, from where professionals can obtain advice specific to an individual patient and family, are the approaches most likely to instigate noticeable improvements in access to high quality end of life care. Improving access to palliative care for all, particularly those with non-malignant illnesses, as well as focusing on the specific needs of ethnic minority groups, is required.","container-title":"BMJ","DOI":"10.1136/bmj.b183","ISSN":"0959-8138, 1468-5833","issue":"feb03 1","journalAbbreviation":"BMJ","language":"en","page":"b183-b183","source":"DOI.org (Crossref)","title":"Vulnerability and access to care for South Asian Sikh and Muslim patients with life limiting illness in Scotland: prospective longitudinal qualitative study","title-short":"Vulnerability and access to care for South Asian Sikh and Muslim patients with life limiting illness in Scotland","volume":"338","author":[{"family":"Worth","given":"A."},{"family":"Irshad","given":"T."},{"family":"Bhopal","given":"R."},{"family":"Brown","given":"D."},{"family":"Lawton","given":"J."},{"family":"Grant","given":"E."},{"family":"Murray","given":"S."},{"family":"Kendall","given":"M."},{"family":"Adam","given":"J."},{"family":"Gardee","given":"R."},{"family":"Sheikh","given":"A."}],"issued":{"date-parts":[["2009",2,3]]}}}],"schema":"https://github.com/citation-style-language/schema/raw/master/csl-citation.json"} </w:instrText>
      </w:r>
      <w:r w:rsidR="000F7E56" w:rsidRPr="000F7E56">
        <w:fldChar w:fldCharType="separate"/>
      </w:r>
      <w:r w:rsidR="00496C3B" w:rsidRPr="00496C3B">
        <w:rPr>
          <w:rFonts w:ascii="Calibri" w:hAnsi="Calibri" w:cs="Calibri"/>
          <w:szCs w:val="24"/>
          <w:vertAlign w:val="superscript"/>
        </w:rPr>
        <w:t>109</w:t>
      </w:r>
      <w:r w:rsidR="000F7E56" w:rsidRPr="000F7E56">
        <w:fldChar w:fldCharType="end"/>
      </w:r>
    </w:p>
    <w:p w14:paraId="5A796189" w14:textId="3745FCC1" w:rsidR="000F7E56" w:rsidRPr="000F7E56" w:rsidRDefault="000F7E56" w:rsidP="000F7E56">
      <w:pPr>
        <w:spacing w:after="120" w:line="360" w:lineRule="auto"/>
      </w:pPr>
      <w:r w:rsidRPr="000F7E56">
        <w:t>Despite UK policy prioritisation of EOLCP, recent HS&amp;DR funded work by Pollock et al  (project number 10/2002/23), found that EOLCP remains generally uncommon and problematic.</w:t>
      </w:r>
      <w:r w:rsidRPr="000F7E56">
        <w:fldChar w:fldCharType="begin"/>
      </w:r>
      <w:r w:rsidR="000D5597">
        <w:instrText xml:space="preserve"> ADDIN ZOTERO_ITEM CSL_CITATION {"citationID":"GHo4kIxU","properties":{"formattedCitation":"\\super 75\\nosupersub{}","plainCitation":"75","noteIndex":0},"citationItems":[{"id":"aZbwIlcN/ixzzP0d4","uris":["http://zotero.org/users/6587080/items/FMPAAJBE"],"itemData":{"id":533,"type":"article-journal","abstract":"Background: Advance care planning (ACP) enables patients to consider, discuss and, if they wish, document their wishes and preferences for future care, including decisions to refuse treatment, in the event that they lose capacity to make decisions for themselves. ACP is a key component of UK health policy to improve the experience of death and dying for patients and their families. There is limited evidence about how patients and health professionals understand ACP, or when and how this is initiated. It is evident that many people find discussion of and planning for end of life care difficult, and tend to avoid the topic. Aim: To investigate how patients, their relatives and health professionals initiate and experience discussion of ACP and the outcomes of advance discussions in shaping care at the end of life. Design and data collection: Qualitative study with two workstreams: (1) interviews with 37 health professionals (general practitioners, specialist nurses and community nurses) about their experiences of ACP; and (2) longitudinal case studies of 21 patients with 6-month follow-up. Cases included a patient and, where possible, a nominated key relative and/or health professional as well as a review of medical records. Complete case triads were obtained for 11 patients. Four cases comprised the patient alone, where respondents were unable or unwilling to nominate either a family member or a professional carer they wished to include in the study. Patients were identified as likely to be within the last 6 months of life. Ninety-seven interviews were completed in total. Setting: General practices and community care settings in the East Midlands of England. Findings: The study found ACP to be uncommon and focused primarily on specific documented tasks involving decisions about preferred place of death and cardiopulmonary resuscitation, supporting earlier research. There was no evidence of ACP in nearly half (9 of 21) of patient cases. Professionals reported ACP discussions to be challenging. It was difficult to recognise when patients had entered the last year of life, or to identify their readiness to consider future planning. Patients often did not wish to do so before they had become gravely ill. Consequently, ACP discussions tended to be reactive, rather than pre-emptive, occurring in response to critical events or evidence of marked deterioration. ACP discussions intersected two parallel strands of planning: professional organisation and co-ordination of care; and the practical and emotional preparatory work that patients and families undertook to prepare themselves for death. Reference to ACP as a means of guiding decisions for patients who had lost capacity was rare. Conclusions: Advance care planning remains uncommon, is often limited to documentation of a few key decisions, is reported to be challenging by many health professionals, is not welcomed by a substantial number of patients and tends to be postponed until death is clearly imminent. Current implementation largely ignores the purpose of ACP as a means of extending personal autonomy in the event of lost capacity. Future work: Attention should be paid to public attitudes to death and dying (including those of culturally diverse and ethnic minority groups), place of death, resuscitation and the value of anticipatory planning. In addition the experiences and needs of two under-researched groups should be explored: the frail elderly, including those who manage complex comorbid conditions, unrecognised as vulnerable cases; and those patients affected by stigmatised conditions, such as substance abuse or serious mental illness who fail to engage constructively with services and are not recognised as suitable referrals for palliative and end of life care. Funding: The National Institute for Health Research Health Services and Delivery Research programme.","container-title":"Health Services and Delivery Research","DOI":"10.3310/hsdr03310","ISSN":"2050-4349","issue":"31","language":"eng","page":"1-138","source":"librarysearch.le.ac.uk","title":"Care and communication between health professionals and patients affected by severe or chronic illness in community care settings: a qualitative study of care at the end of life","title-short":"Care and communication between health professionals and patients affected by severe or chronic illness in community care settings","volume":"3","author":[{"family":"Pollock","given":"Kristian"},{"family":"Wilson","given":"Eleanor"}],"issued":{"date-parts":[["2015"]]}}}],"schema":"https://github.com/citation-style-language/schema/raw/master/csl-citation.json"} </w:instrText>
      </w:r>
      <w:r w:rsidRPr="000F7E56">
        <w:fldChar w:fldCharType="separate"/>
      </w:r>
      <w:r w:rsidR="00496C3B" w:rsidRPr="00496C3B">
        <w:rPr>
          <w:rFonts w:ascii="Calibri" w:hAnsi="Calibri" w:cs="Calibri"/>
          <w:szCs w:val="24"/>
          <w:vertAlign w:val="superscript"/>
        </w:rPr>
        <w:t>75</w:t>
      </w:r>
      <w:r w:rsidRPr="000F7E56">
        <w:fldChar w:fldCharType="end"/>
      </w:r>
      <w:r w:rsidRPr="000F7E56">
        <w:t xml:space="preserve"> Whilst this work added much to the body of knowledge about the real-world practice of EOLCP, it did not include patients or carers from ED backgrounds. Nonetheless, Pollock et </w:t>
      </w:r>
      <w:proofErr w:type="spellStart"/>
      <w:r w:rsidRPr="000F7E56">
        <w:t>al’s</w:t>
      </w:r>
      <w:proofErr w:type="spellEnd"/>
      <w:r w:rsidRPr="000F7E56">
        <w:t xml:space="preserve"> work alluded to the additional complexity perceived by HCPs in EOLCP with ED patients and their families.  </w:t>
      </w:r>
    </w:p>
    <w:p w14:paraId="7D9F9923" w14:textId="46B34286" w:rsidR="000F7E56" w:rsidRPr="000F7E56" w:rsidRDefault="000F7E56" w:rsidP="000F7E56">
      <w:pPr>
        <w:spacing w:before="120" w:after="0" w:line="360" w:lineRule="auto"/>
        <w:rPr>
          <w:rFonts w:ascii="Calibri" w:eastAsia="SimSun" w:hAnsi="Calibri" w:cs="Calibri"/>
          <w:lang w:val="en-US"/>
        </w:rPr>
      </w:pPr>
      <w:r w:rsidRPr="000F7E56">
        <w:rPr>
          <w:rFonts w:ascii="Calibri" w:eastAsia="SimSun" w:hAnsi="Calibri" w:cs="Calibri"/>
        </w:rPr>
        <w:t>Evidence highlighted above and in emergent findings from our previous work indicated considerable challenges in this area of practice and the desire from HCPs for evidence-based training.</w:t>
      </w:r>
      <w:r w:rsidRPr="000F7E56">
        <w:rPr>
          <w:rFonts w:ascii="Calibri" w:eastAsia="SimSun" w:hAnsi="Calibri" w:cs="Calibri"/>
        </w:rPr>
        <w:fldChar w:fldCharType="begin"/>
      </w:r>
      <w:r w:rsidR="000D5597">
        <w:rPr>
          <w:rFonts w:ascii="Calibri" w:eastAsia="SimSun" w:hAnsi="Calibri" w:cs="Calibri"/>
        </w:rPr>
        <w:instrText xml:space="preserve"> ADDIN ZOTERO_ITEM CSL_CITATION {"citationID":"aX2X01MH","properties":{"formattedCitation":"\\super 44\\nosupersub{}","plainCitation":"44","noteIndex":0},"citationItems":[{"id":1541,"uris":["http://zotero.org/users/8748280/items/PT6UDE5K"],"itemData":{"id":1541,"type":"article-journal","abstract":"Background Evidence suggests that discussing resuscitation with patients and relatives from ethnic minority groups is problematic for healthcare professionals (HCPs), but there is limited evidence exploring these issues or offering guidance for HCPs in navigating these challenging discussions. This study explores the barriers and enablers to HCPs discussing deterioration and resuscitation decisions with patients and families from ethnic minority groups.\nResults Personal, cultural, religious/spiritual and health beliefs, emotions, and communication quality and skills were discussed. Participants described that the interaction between these factors as complex, impacting the way some patients and families responded to do not attempt cardiopulmonary resuscitation (DNACPR) orders and the particular challenges these pose.\nConclusion Key barriers and enablers for healthcare professionals discussing resuscitation with patients and families from Black, Asian and minority ethnic communities were identified. The findings highlight areas of improvement for training, both relating to DNACPR discussions and ‘cultural competence’.","container-title":"Future Healthcare Journal","DOI":"10.7861/fhj.2021-0012","ISSN":"2514-6645, 2514-6653","journalAbbreviation":"Future Healthc J","language":"en","page":"fhj.2021-0012","source":"DOI.org (Crossref)","title":"Thinking ahead in advanced illness: Exploring clinicians' perspectives on discussing resuscitation with patients and families from ethnic minority communities","title-short":"Thinking ahead in advanced illness","author":[{"family":"Islam","given":"Zoebia"},{"family":"Taylor","given":"Lucy"},{"family":"Faull","given":"Christina"}],"issued":{"date-parts":[["2021",8,23]]}}}],"schema":"https://github.com/citation-style-language/schema/raw/master/csl-citation.json"} </w:instrText>
      </w:r>
      <w:r w:rsidRPr="000F7E56">
        <w:rPr>
          <w:rFonts w:ascii="Calibri" w:eastAsia="SimSun" w:hAnsi="Calibri" w:cs="Calibri"/>
        </w:rPr>
        <w:fldChar w:fldCharType="separate"/>
      </w:r>
      <w:r w:rsidR="00496C3B" w:rsidRPr="00496C3B">
        <w:rPr>
          <w:rFonts w:ascii="Calibri" w:hAnsi="Calibri" w:cs="Calibri"/>
          <w:szCs w:val="24"/>
          <w:vertAlign w:val="superscript"/>
        </w:rPr>
        <w:t>44</w:t>
      </w:r>
      <w:r w:rsidRPr="000F7E56">
        <w:rPr>
          <w:rFonts w:ascii="Calibri" w:eastAsia="SimSun" w:hAnsi="Calibri" w:cs="Calibri"/>
        </w:rPr>
        <w:fldChar w:fldCharType="end"/>
      </w:r>
      <w:r w:rsidRPr="000F7E56">
        <w:rPr>
          <w:rFonts w:ascii="Calibri" w:eastAsia="SimSun" w:hAnsi="Calibri" w:cs="Calibri"/>
        </w:rPr>
        <w:t xml:space="preserve"> The paucity of evidence about how culture impacts on the experience and anticipation of death and dying highlights the urgent need for this study. </w:t>
      </w:r>
      <w:r w:rsidRPr="000F7E56">
        <w:rPr>
          <w:rFonts w:ascii="Calibri" w:eastAsia="SimSun" w:hAnsi="Calibri" w:cs="Calibri"/>
          <w:lang w:val="en-US"/>
        </w:rPr>
        <w:t xml:space="preserve">This study contributes to the currently limited knowledge regarding how patients from ED backgrounds and their families </w:t>
      </w:r>
      <w:r w:rsidRPr="000F7E56">
        <w:rPr>
          <w:rFonts w:ascii="Calibri" w:eastAsia="SimSun" w:hAnsi="Calibri" w:cs="Calibri"/>
        </w:rPr>
        <w:t xml:space="preserve">live with an advanced illness and consider the prospect of deterioration and dying. </w:t>
      </w:r>
      <w:r w:rsidRPr="000F7E56">
        <w:rPr>
          <w:rFonts w:ascii="Calibri" w:eastAsia="SimSun" w:hAnsi="Calibri" w:cs="Calibri"/>
          <w:lang w:val="en-US"/>
        </w:rPr>
        <w:t>Using qualitative methodology this study also makes a substantial contribution to understanding the barriers and facilitators for EOLCP with ED patients. The design employed three approaches to exploring people’s experiences:</w:t>
      </w:r>
    </w:p>
    <w:p w14:paraId="6EC2C1C8" w14:textId="77777777" w:rsidR="000F7E56" w:rsidRPr="000F7E56" w:rsidRDefault="000F7E56" w:rsidP="000F7E56">
      <w:pPr>
        <w:spacing w:before="120" w:after="0" w:line="360" w:lineRule="auto"/>
        <w:rPr>
          <w:rFonts w:ascii="Calibri" w:eastAsia="SimSun" w:hAnsi="Calibri" w:cs="Calibri"/>
          <w:lang w:val="en-US"/>
        </w:rPr>
      </w:pPr>
    </w:p>
    <w:p w14:paraId="40910F6A" w14:textId="77777777" w:rsidR="000F7E56" w:rsidRPr="000F7E56" w:rsidRDefault="000F7E56" w:rsidP="000F7E56">
      <w:pPr>
        <w:numPr>
          <w:ilvl w:val="0"/>
          <w:numId w:val="1"/>
        </w:numPr>
        <w:spacing w:before="120" w:after="0" w:line="360" w:lineRule="auto"/>
        <w:contextualSpacing/>
        <w:rPr>
          <w:rFonts w:ascii="Calibri" w:eastAsia="SimSun" w:hAnsi="Calibri" w:cs="Calibri"/>
          <w:lang w:val="en-US"/>
        </w:rPr>
      </w:pPr>
      <w:r w:rsidRPr="000F7E56">
        <w:rPr>
          <w:rFonts w:ascii="Calibri" w:eastAsia="SimSun" w:hAnsi="Calibri" w:cs="Calibri"/>
          <w:lang w:val="en-US"/>
        </w:rPr>
        <w:t xml:space="preserve">Work Stream 1: Longitudinal cases studies with patients their FCGs and HCPs; </w:t>
      </w:r>
    </w:p>
    <w:p w14:paraId="180935CB" w14:textId="6197FF2B" w:rsidR="000F7E56" w:rsidRPr="000F7E56" w:rsidRDefault="000F7E56" w:rsidP="000F7E56">
      <w:pPr>
        <w:numPr>
          <w:ilvl w:val="0"/>
          <w:numId w:val="1"/>
        </w:numPr>
        <w:spacing w:before="120" w:after="0" w:line="360" w:lineRule="auto"/>
        <w:contextualSpacing/>
        <w:rPr>
          <w:rFonts w:ascii="Calibri" w:eastAsia="SimSun" w:hAnsi="Calibri" w:cs="Calibri"/>
          <w:lang w:val="en-US"/>
        </w:rPr>
      </w:pPr>
      <w:r w:rsidRPr="000F7E56">
        <w:rPr>
          <w:rFonts w:ascii="Calibri" w:eastAsia="SimSun" w:hAnsi="Calibri" w:cs="Calibri"/>
          <w:lang w:val="en-US"/>
        </w:rPr>
        <w:t xml:space="preserve">Work Stream 2: Individual interviews with </w:t>
      </w:r>
      <w:r w:rsidR="00A11180">
        <w:rPr>
          <w:rFonts w:ascii="Calibri" w:eastAsia="SimSun" w:hAnsi="Calibri" w:cs="Calibri"/>
          <w:lang w:val="en-US"/>
        </w:rPr>
        <w:t>BFCG</w:t>
      </w:r>
      <w:r w:rsidRPr="000F7E56">
        <w:rPr>
          <w:rFonts w:ascii="Calibri" w:eastAsia="SimSun" w:hAnsi="Calibri" w:cs="Calibri"/>
          <w:lang w:val="en-US"/>
        </w:rPr>
        <w:t xml:space="preserve"> who have experienced the loss of someone from an advanced illness;</w:t>
      </w:r>
    </w:p>
    <w:p w14:paraId="34616FE2" w14:textId="77777777" w:rsidR="000F7E56" w:rsidRPr="000F7E56" w:rsidRDefault="000F7E56" w:rsidP="000F7E56">
      <w:pPr>
        <w:numPr>
          <w:ilvl w:val="0"/>
          <w:numId w:val="1"/>
        </w:numPr>
        <w:spacing w:before="120" w:after="0" w:line="360" w:lineRule="auto"/>
        <w:contextualSpacing/>
        <w:rPr>
          <w:rFonts w:ascii="Calibri" w:eastAsia="SimSun" w:hAnsi="Calibri" w:cs="Calibri"/>
          <w:lang w:val="en-US"/>
        </w:rPr>
      </w:pPr>
      <w:r w:rsidRPr="000F7E56">
        <w:rPr>
          <w:rFonts w:ascii="Calibri" w:eastAsia="SimSun" w:hAnsi="Calibri" w:cs="Calibri"/>
          <w:lang w:val="en-US"/>
        </w:rPr>
        <w:t xml:space="preserve">Work Stream 3: Findings from Work Stream 1 &amp; 2 discussed with public and professionals via virtual workshops and workbooks. </w:t>
      </w:r>
    </w:p>
    <w:p w14:paraId="190E015A" w14:textId="77777777" w:rsidR="000F7E56" w:rsidRPr="000F7E56" w:rsidRDefault="000F7E56" w:rsidP="000F7E56">
      <w:pPr>
        <w:spacing w:before="120" w:after="0" w:line="360" w:lineRule="auto"/>
        <w:ind w:left="720"/>
        <w:contextualSpacing/>
        <w:rPr>
          <w:rFonts w:ascii="Calibri" w:eastAsia="SimSun" w:hAnsi="Calibri" w:cs="Calibri"/>
          <w:lang w:val="en-US"/>
        </w:rPr>
      </w:pPr>
    </w:p>
    <w:p w14:paraId="4956A1C7" w14:textId="77777777" w:rsidR="000F7E56" w:rsidRPr="000F7E56" w:rsidRDefault="000F7E56" w:rsidP="000F7E56">
      <w:pPr>
        <w:keepNext/>
        <w:keepLines/>
        <w:spacing w:before="240" w:after="120" w:line="360" w:lineRule="auto"/>
        <w:jc w:val="center"/>
        <w:outlineLvl w:val="0"/>
        <w:rPr>
          <w:rFonts w:asciiTheme="majorHAnsi" w:eastAsia="SimSun" w:hAnsiTheme="majorHAnsi" w:cstheme="majorBidi"/>
          <w:color w:val="2F5496" w:themeColor="accent1" w:themeShade="BF"/>
          <w:sz w:val="56"/>
          <w:szCs w:val="56"/>
        </w:rPr>
      </w:pPr>
      <w:bookmarkStart w:id="74" w:name="_Toc87279302"/>
      <w:bookmarkStart w:id="75" w:name="_Toc89665144"/>
      <w:bookmarkStart w:id="76" w:name="_Toc89671897"/>
      <w:bookmarkStart w:id="77" w:name="_Toc89763947"/>
    </w:p>
    <w:p w14:paraId="1B891F18" w14:textId="77777777" w:rsidR="000F7E56" w:rsidRPr="000F7E56" w:rsidRDefault="000F7E56" w:rsidP="000F7E56">
      <w:pPr>
        <w:keepNext/>
        <w:keepLines/>
        <w:spacing w:before="240" w:after="120" w:line="360" w:lineRule="auto"/>
        <w:jc w:val="center"/>
        <w:outlineLvl w:val="0"/>
        <w:rPr>
          <w:rFonts w:asciiTheme="majorHAnsi" w:eastAsia="SimSun" w:hAnsiTheme="majorHAnsi" w:cstheme="majorBidi"/>
          <w:color w:val="2F5496" w:themeColor="accent1" w:themeShade="BF"/>
          <w:sz w:val="56"/>
          <w:szCs w:val="56"/>
        </w:rPr>
      </w:pPr>
      <w:bookmarkStart w:id="78" w:name="_Toc106697773"/>
      <w:r w:rsidRPr="000F7E56">
        <w:rPr>
          <w:rFonts w:asciiTheme="majorHAnsi" w:eastAsia="SimSun" w:hAnsiTheme="majorHAnsi" w:cstheme="majorBidi"/>
          <w:color w:val="2F5496" w:themeColor="accent1" w:themeShade="BF"/>
          <w:sz w:val="56"/>
          <w:szCs w:val="56"/>
        </w:rPr>
        <w:t>Aims and research question</w:t>
      </w:r>
      <w:bookmarkEnd w:id="74"/>
      <w:bookmarkEnd w:id="75"/>
      <w:bookmarkEnd w:id="76"/>
      <w:bookmarkEnd w:id="77"/>
      <w:bookmarkEnd w:id="78"/>
    </w:p>
    <w:p w14:paraId="767AA05A" w14:textId="77777777" w:rsidR="000F7E56" w:rsidRPr="000F7E56" w:rsidRDefault="000F7E56" w:rsidP="000F7E56">
      <w:pPr>
        <w:rPr>
          <w:b/>
          <w:color w:val="2E74B5"/>
          <w:sz w:val="28"/>
          <w:szCs w:val="28"/>
        </w:rPr>
      </w:pPr>
      <w:r w:rsidRPr="000F7E56">
        <w:t xml:space="preserve">The study aims to improve the quality and experience of end-of-life care for ED patients and their families by addressing the research question: </w:t>
      </w:r>
    </w:p>
    <w:p w14:paraId="59668538" w14:textId="77777777" w:rsidR="000F7E56" w:rsidRPr="000F7E56" w:rsidRDefault="000F7E56" w:rsidP="000F7E56">
      <w:pPr>
        <w:spacing w:after="120" w:line="360" w:lineRule="auto"/>
        <w:contextualSpacing/>
        <w:rPr>
          <w:rFonts w:ascii="Calibri" w:eastAsia="SimSun" w:hAnsi="Calibri" w:cs="Calibri"/>
          <w:b/>
        </w:rPr>
      </w:pPr>
      <w:r w:rsidRPr="000F7E56">
        <w:rPr>
          <w:rFonts w:ascii="Calibri" w:eastAsia="SimSun" w:hAnsi="Calibri" w:cs="Calibri"/>
          <w:b/>
        </w:rPr>
        <w:t>What are the barriers and enablers to ED patients, family care givers and health care professionals engaging in end-of-life care planning?</w:t>
      </w:r>
    </w:p>
    <w:p w14:paraId="4D119E2B" w14:textId="77777777" w:rsidR="000F7E56" w:rsidRPr="000F7E56" w:rsidRDefault="000F7E56" w:rsidP="000F7E56">
      <w:pPr>
        <w:spacing w:before="120" w:after="0" w:line="360" w:lineRule="auto"/>
        <w:contextualSpacing/>
        <w:rPr>
          <w:rFonts w:ascii="Calibri" w:eastAsia="SimSun" w:hAnsi="Calibri" w:cs="Calibri"/>
          <w:b/>
        </w:rPr>
      </w:pPr>
    </w:p>
    <w:p w14:paraId="37EDB5E2" w14:textId="77777777" w:rsidR="000F7E56" w:rsidRPr="000F7E56" w:rsidRDefault="000F7E56" w:rsidP="000F7E56">
      <w:pPr>
        <w:keepNext/>
        <w:keepLines/>
        <w:spacing w:before="40" w:after="0" w:line="360" w:lineRule="auto"/>
        <w:outlineLvl w:val="1"/>
        <w:rPr>
          <w:rFonts w:asciiTheme="majorHAnsi" w:eastAsiaTheme="majorEastAsia" w:hAnsiTheme="majorHAnsi" w:cstheme="majorBidi"/>
          <w:color w:val="2F5496" w:themeColor="accent1" w:themeShade="BF"/>
          <w:sz w:val="24"/>
          <w:szCs w:val="24"/>
        </w:rPr>
      </w:pPr>
      <w:bookmarkStart w:id="79" w:name="_Toc87279303"/>
      <w:bookmarkStart w:id="80" w:name="_Toc89665145"/>
      <w:bookmarkStart w:id="81" w:name="_Toc89671898"/>
      <w:bookmarkStart w:id="82" w:name="_Toc89763948"/>
      <w:bookmarkStart w:id="83" w:name="_Toc106697774"/>
      <w:r w:rsidRPr="000F7E56">
        <w:rPr>
          <w:rFonts w:asciiTheme="majorHAnsi" w:eastAsiaTheme="majorEastAsia" w:hAnsiTheme="majorHAnsi" w:cstheme="majorBidi"/>
          <w:color w:val="2F5496" w:themeColor="accent1" w:themeShade="BF"/>
          <w:sz w:val="24"/>
          <w:szCs w:val="24"/>
        </w:rPr>
        <w:lastRenderedPageBreak/>
        <w:t>Objectives</w:t>
      </w:r>
      <w:bookmarkEnd w:id="79"/>
      <w:bookmarkEnd w:id="80"/>
      <w:bookmarkEnd w:id="81"/>
      <w:bookmarkEnd w:id="82"/>
      <w:bookmarkEnd w:id="83"/>
    </w:p>
    <w:p w14:paraId="356765E9" w14:textId="77777777" w:rsidR="000F7E56" w:rsidRPr="000F7E56" w:rsidRDefault="000F7E56" w:rsidP="000F7E56">
      <w:pPr>
        <w:spacing w:before="120" w:after="0" w:line="360" w:lineRule="auto"/>
        <w:ind w:left="720" w:hanging="720"/>
        <w:contextualSpacing/>
        <w:rPr>
          <w:rFonts w:ascii="Calibri" w:eastAsia="SimSun" w:hAnsi="Calibri" w:cs="Calibri"/>
        </w:rPr>
      </w:pPr>
      <w:r w:rsidRPr="000F7E56">
        <w:rPr>
          <w:rFonts w:ascii="Calibri" w:eastAsia="SimSun" w:hAnsi="Calibri" w:cs="Calibri"/>
          <w:sz w:val="20"/>
          <w:szCs w:val="20"/>
        </w:rPr>
        <w:t xml:space="preserve">1. </w:t>
      </w:r>
      <w:r w:rsidRPr="000F7E56">
        <w:rPr>
          <w:rFonts w:ascii="Calibri" w:eastAsia="SimSun" w:hAnsi="Calibri" w:cs="Calibri"/>
          <w:sz w:val="20"/>
          <w:szCs w:val="20"/>
        </w:rPr>
        <w:tab/>
      </w:r>
      <w:r w:rsidRPr="000F7E56">
        <w:rPr>
          <w:rFonts w:ascii="Calibri" w:eastAsia="SimSun" w:hAnsi="Calibri" w:cs="Calibri"/>
        </w:rPr>
        <w:t>To explore how terminally ill patients from ED backgrounds, their FCGs and the HCPs who support them, think ahead about deterioration and dying, whether and how they engage in EOLCP and identify barriers and enablers to this engagement.</w:t>
      </w:r>
    </w:p>
    <w:p w14:paraId="5ABD6812" w14:textId="77777777" w:rsidR="000F7E56" w:rsidRPr="000F7E56" w:rsidRDefault="000F7E56" w:rsidP="000F7E56">
      <w:pPr>
        <w:spacing w:before="120" w:after="0" w:line="360" w:lineRule="auto"/>
        <w:ind w:left="720" w:hanging="720"/>
        <w:contextualSpacing/>
        <w:rPr>
          <w:rFonts w:ascii="Calibri" w:eastAsia="SimSun" w:hAnsi="Calibri" w:cs="Calibri"/>
        </w:rPr>
      </w:pPr>
      <w:r w:rsidRPr="000F7E56">
        <w:rPr>
          <w:rFonts w:ascii="Calibri" w:eastAsia="SimSun" w:hAnsi="Calibri" w:cs="Calibri"/>
        </w:rPr>
        <w:t xml:space="preserve">2. </w:t>
      </w:r>
      <w:r w:rsidRPr="000F7E56">
        <w:rPr>
          <w:rFonts w:ascii="Calibri" w:eastAsia="SimSun" w:hAnsi="Calibri" w:cs="Calibri"/>
        </w:rPr>
        <w:tab/>
        <w:t>To explore the experiences and reflections of bereaved FCGs on end-of-life care, the role and value of thinking ahead and of engagement with HCPs in EOLCP.</w:t>
      </w:r>
    </w:p>
    <w:p w14:paraId="52EE8C60" w14:textId="77777777" w:rsidR="00F74B53" w:rsidRDefault="000F7E56" w:rsidP="000F7E56">
      <w:pPr>
        <w:spacing w:before="120" w:after="0" w:line="360" w:lineRule="auto"/>
        <w:ind w:left="720" w:hanging="720"/>
        <w:contextualSpacing/>
        <w:rPr>
          <w:rFonts w:ascii="Calibri" w:eastAsia="SimSun" w:hAnsi="Calibri" w:cs="Calibri"/>
        </w:rPr>
      </w:pPr>
      <w:r w:rsidRPr="000F7E56">
        <w:rPr>
          <w:rFonts w:ascii="Calibri" w:eastAsia="SimSun" w:hAnsi="Calibri" w:cs="Calibri"/>
        </w:rPr>
        <w:t xml:space="preserve">3. </w:t>
      </w:r>
      <w:r w:rsidRPr="000F7E56">
        <w:rPr>
          <w:rFonts w:ascii="Calibri" w:eastAsia="SimSun" w:hAnsi="Calibri" w:cs="Calibri"/>
        </w:rPr>
        <w:tab/>
        <w:t xml:space="preserve">To identify information and training needs to support best practices in EOLCP and to produce an </w:t>
      </w:r>
    </w:p>
    <w:p w14:paraId="2F4E5EDF" w14:textId="7BF7225F" w:rsidR="000F7E56" w:rsidRPr="000F7E56" w:rsidRDefault="000F7E56" w:rsidP="00F74B53">
      <w:pPr>
        <w:spacing w:before="120" w:after="0" w:line="360" w:lineRule="auto"/>
        <w:ind w:left="720"/>
        <w:contextualSpacing/>
        <w:rPr>
          <w:rFonts w:ascii="Calibri" w:eastAsia="SimSun" w:hAnsi="Calibri" w:cs="Calibri"/>
        </w:rPr>
      </w:pPr>
      <w:r w:rsidRPr="000F7E56">
        <w:rPr>
          <w:rFonts w:ascii="Calibri" w:eastAsia="SimSun" w:hAnsi="Calibri" w:cs="Calibri"/>
        </w:rPr>
        <w:t>e-learning module with guidance notes available free to NHS and hospice providers.</w:t>
      </w:r>
    </w:p>
    <w:p w14:paraId="6C9A4CCD" w14:textId="77777777" w:rsidR="000F7E56" w:rsidRPr="000F7E56" w:rsidRDefault="000F7E56" w:rsidP="000F7E56">
      <w:pPr>
        <w:spacing w:before="120" w:after="0" w:line="360" w:lineRule="auto"/>
        <w:ind w:left="720" w:hanging="720"/>
        <w:contextualSpacing/>
        <w:rPr>
          <w:rFonts w:ascii="Calibri" w:eastAsia="SimSun" w:hAnsi="Calibri" w:cs="Calibri"/>
        </w:rPr>
      </w:pPr>
    </w:p>
    <w:p w14:paraId="768152B9" w14:textId="77777777" w:rsidR="000F7E56" w:rsidRPr="000F7E56" w:rsidRDefault="000F7E56" w:rsidP="000F7E56">
      <w:pPr>
        <w:spacing w:before="240" w:after="200" w:line="360" w:lineRule="auto"/>
        <w:ind w:left="720" w:hanging="720"/>
        <w:contextualSpacing/>
        <w:rPr>
          <w:rFonts w:ascii="Calibri" w:eastAsia="SimSun" w:hAnsi="Calibri" w:cs="Calibri"/>
          <w:sz w:val="20"/>
          <w:szCs w:val="20"/>
        </w:rPr>
      </w:pPr>
    </w:p>
    <w:p w14:paraId="5A4F85F5" w14:textId="77777777" w:rsidR="000F7E56" w:rsidRPr="000F7E56" w:rsidRDefault="000F7E56" w:rsidP="000F7E56">
      <w:pPr>
        <w:spacing w:after="120" w:line="264" w:lineRule="auto"/>
        <w:rPr>
          <w:rFonts w:ascii="Calibri" w:eastAsia="SimSun" w:hAnsi="Calibri" w:cs="Calibri"/>
          <w:sz w:val="20"/>
          <w:szCs w:val="20"/>
        </w:rPr>
      </w:pPr>
      <w:r w:rsidRPr="000F7E56">
        <w:rPr>
          <w:rFonts w:ascii="Calibri" w:eastAsia="SimSun" w:hAnsi="Calibri" w:cs="Calibri"/>
          <w:sz w:val="20"/>
          <w:szCs w:val="20"/>
        </w:rPr>
        <w:br w:type="page"/>
      </w:r>
    </w:p>
    <w:p w14:paraId="37D2E07F" w14:textId="77777777" w:rsidR="000F7E56" w:rsidRPr="000F7E56" w:rsidRDefault="000F7E56" w:rsidP="000F7E56">
      <w:pPr>
        <w:keepNext/>
        <w:keepLines/>
        <w:spacing w:before="240" w:after="0" w:line="276" w:lineRule="auto"/>
        <w:jc w:val="center"/>
        <w:outlineLvl w:val="0"/>
        <w:rPr>
          <w:rFonts w:ascii="Calibri Light" w:eastAsia="SimSun" w:hAnsi="Calibri Light" w:cs="Calibri Light"/>
          <w:color w:val="2E74B5"/>
          <w:sz w:val="56"/>
          <w:szCs w:val="56"/>
        </w:rPr>
      </w:pPr>
      <w:bookmarkStart w:id="84" w:name="_Toc87279304"/>
      <w:bookmarkStart w:id="85" w:name="_Toc89665146"/>
      <w:bookmarkStart w:id="86" w:name="_Toc89671899"/>
      <w:bookmarkStart w:id="87" w:name="_Toc89763949"/>
      <w:bookmarkStart w:id="88" w:name="_Toc106697775"/>
      <w:r w:rsidRPr="000F7E56">
        <w:rPr>
          <w:rFonts w:ascii="Calibri Light" w:eastAsia="SimSun" w:hAnsi="Calibri Light" w:cs="Calibri Light"/>
          <w:color w:val="2E74B5"/>
          <w:sz w:val="56"/>
          <w:szCs w:val="56"/>
        </w:rPr>
        <w:lastRenderedPageBreak/>
        <w:t>Structure of the report</w:t>
      </w:r>
      <w:bookmarkEnd w:id="84"/>
      <w:bookmarkEnd w:id="85"/>
      <w:bookmarkEnd w:id="86"/>
      <w:bookmarkEnd w:id="87"/>
      <w:bookmarkEnd w:id="88"/>
    </w:p>
    <w:p w14:paraId="2FFB2F78" w14:textId="542F2F9F" w:rsidR="000F7E56" w:rsidRPr="000F7E56" w:rsidRDefault="000F7E56" w:rsidP="000F7E56">
      <w:pPr>
        <w:spacing w:before="120" w:after="0" w:line="360" w:lineRule="auto"/>
        <w:rPr>
          <w:rFonts w:ascii="Calibri" w:eastAsia="SimSun" w:hAnsi="Calibri" w:cs="Calibri"/>
        </w:rPr>
      </w:pPr>
      <w:r w:rsidRPr="000F7E56">
        <w:rPr>
          <w:rFonts w:ascii="Calibri" w:eastAsia="SimSun" w:hAnsi="Calibri" w:cs="Calibri"/>
        </w:rPr>
        <w:t>This chapter has provided a background to the study and considers the policy context in which it is set, alongside evidence available from previous studies. The next chapter outlines the design and methods of the study before subsequent chapters present a summary of patient and public involvement, followed by participant demographics. Findings are then presented and discussed for Work Streams 1 and 2. The response to these findings as introduced in Work Stream 3 are then deliberated. The conclusion provides a summary of the findings and their significance and considers their implications for the development of policy and practice. This also includes implications and recommendations of the study. The final chapter discusses outputs from the project</w:t>
      </w:r>
      <w:r w:rsidR="00E60627">
        <w:rPr>
          <w:rFonts w:ascii="Calibri" w:eastAsia="SimSun" w:hAnsi="Calibri" w:cs="Calibri"/>
        </w:rPr>
        <w:t>,</w:t>
      </w:r>
      <w:r w:rsidRPr="000F7E56">
        <w:rPr>
          <w:rFonts w:ascii="Calibri" w:eastAsia="SimSun" w:hAnsi="Calibri" w:cs="Calibri"/>
        </w:rPr>
        <w:t xml:space="preserve"> early dissemination and impact and is followed by the Appendices.</w:t>
      </w:r>
    </w:p>
    <w:p w14:paraId="5258E56F" w14:textId="77777777" w:rsidR="000F7E56" w:rsidRPr="000F7E56" w:rsidRDefault="000F7E56" w:rsidP="000F7E56">
      <w:pPr>
        <w:spacing w:after="120" w:line="360" w:lineRule="auto"/>
        <w:rPr>
          <w:rFonts w:ascii="Calibri" w:eastAsia="SimSun" w:hAnsi="Calibri" w:cs="Calibri"/>
        </w:rPr>
      </w:pPr>
      <w:r w:rsidRPr="000F7E56">
        <w:rPr>
          <w:rFonts w:ascii="Calibri" w:eastAsia="SimSun" w:hAnsi="Calibri" w:cs="Calibri"/>
        </w:rPr>
        <w:br w:type="page"/>
      </w:r>
    </w:p>
    <w:p w14:paraId="3766C12C" w14:textId="77777777" w:rsidR="000F7E56" w:rsidRPr="000F7E56" w:rsidRDefault="000F7E56" w:rsidP="000F7E56">
      <w:pPr>
        <w:keepNext/>
        <w:keepLines/>
        <w:spacing w:before="240" w:after="120" w:line="276" w:lineRule="auto"/>
        <w:jc w:val="center"/>
        <w:outlineLvl w:val="0"/>
        <w:rPr>
          <w:rFonts w:ascii="Calibri Light" w:eastAsia="Times New Roman" w:hAnsi="Calibri Light" w:cs="Times New Roman"/>
          <w:color w:val="2E74B5"/>
          <w:sz w:val="56"/>
          <w:szCs w:val="56"/>
          <w:lang w:val="en-US"/>
        </w:rPr>
      </w:pPr>
      <w:bookmarkStart w:id="89" w:name="_Toc89665147"/>
      <w:bookmarkStart w:id="90" w:name="_Toc89671900"/>
      <w:bookmarkStart w:id="91" w:name="_Toc89763950"/>
      <w:bookmarkStart w:id="92" w:name="_Toc106697776"/>
      <w:bookmarkStart w:id="93" w:name="_Hlk89350178"/>
      <w:r w:rsidRPr="000F7E56">
        <w:rPr>
          <w:rFonts w:ascii="Calibri Light" w:eastAsia="Times New Roman" w:hAnsi="Calibri Light" w:cs="Times New Roman"/>
          <w:color w:val="2E74B5"/>
          <w:sz w:val="56"/>
          <w:szCs w:val="56"/>
          <w:lang w:val="en-US"/>
        </w:rPr>
        <w:lastRenderedPageBreak/>
        <w:t>Chapter 2: Methodology</w:t>
      </w:r>
      <w:bookmarkEnd w:id="89"/>
      <w:bookmarkEnd w:id="90"/>
      <w:bookmarkEnd w:id="91"/>
      <w:bookmarkEnd w:id="92"/>
    </w:p>
    <w:p w14:paraId="7C0D7365" w14:textId="77777777" w:rsidR="000F7E56" w:rsidRPr="000F7E56" w:rsidRDefault="000F7E56" w:rsidP="000F7E56">
      <w:pPr>
        <w:keepNext/>
        <w:keepLines/>
        <w:spacing w:after="120" w:line="360" w:lineRule="auto"/>
        <w:outlineLvl w:val="1"/>
        <w:rPr>
          <w:rFonts w:ascii="Calibri Light" w:eastAsia="Times New Roman" w:hAnsi="Calibri Light" w:cs="Times New Roman"/>
          <w:color w:val="2E74B5"/>
          <w:sz w:val="24"/>
          <w:szCs w:val="24"/>
        </w:rPr>
      </w:pPr>
      <w:bookmarkStart w:id="94" w:name="_Toc89665148"/>
      <w:bookmarkStart w:id="95" w:name="_Toc89671901"/>
      <w:bookmarkStart w:id="96" w:name="_Toc89763951"/>
      <w:bookmarkStart w:id="97" w:name="_Toc106697777"/>
      <w:r w:rsidRPr="000F7E56">
        <w:rPr>
          <w:rFonts w:ascii="Calibri Light" w:eastAsia="Times New Roman" w:hAnsi="Calibri Light" w:cs="Times New Roman"/>
          <w:color w:val="2E74B5"/>
          <w:sz w:val="24"/>
          <w:szCs w:val="24"/>
        </w:rPr>
        <w:t>Study design</w:t>
      </w:r>
      <w:bookmarkEnd w:id="94"/>
      <w:bookmarkEnd w:id="95"/>
      <w:bookmarkEnd w:id="96"/>
      <w:bookmarkEnd w:id="97"/>
    </w:p>
    <w:p w14:paraId="2B10F5A9" w14:textId="3352B1AE" w:rsidR="000F7E56" w:rsidRPr="000F7E56" w:rsidRDefault="000F7E56" w:rsidP="000F7E56">
      <w:pPr>
        <w:spacing w:after="120" w:line="360" w:lineRule="auto"/>
        <w:rPr>
          <w:rFonts w:ascii="Calibri" w:eastAsia="Calibri" w:hAnsi="Calibri" w:cs="Calibri"/>
        </w:rPr>
      </w:pPr>
      <w:r w:rsidRPr="000F7E56">
        <w:rPr>
          <w:rFonts w:ascii="Calibri" w:eastAsia="Calibri" w:hAnsi="Calibri" w:cs="Calibri"/>
        </w:rPr>
        <w:t>This is an exploratory study, which has been carried out within a constructivist qualitative tradition of research. Qualitative research is concerned with eliciting how participants understand and experience the world through the cultural filters internalised through developmental processes of socialisation and through interaction with others in real world situations and contexts</w:t>
      </w:r>
      <w:r w:rsidRPr="000F7E56">
        <w:rPr>
          <w:rFonts w:ascii="Calibri" w:eastAsia="Calibri" w:hAnsi="Calibri" w:cs="Calibri"/>
        </w:rPr>
        <w:fldChar w:fldCharType="begin"/>
      </w:r>
      <w:r w:rsidR="000D5597">
        <w:rPr>
          <w:rFonts w:ascii="Calibri" w:eastAsia="Calibri" w:hAnsi="Calibri" w:cs="Calibri"/>
        </w:rPr>
        <w:instrText xml:space="preserve"> ADDIN ZOTERO_ITEM CSL_CITATION {"citationID":"8emf8lYO","properties":{"formattedCitation":"\\super 110\\nosupersub{}","plainCitation":"110","noteIndex":0},"citationItems":[{"id":"aZbwIlcN/jOFwQrJr","uris":["http://zotero.org/users/6587080/items/NDKH6W73"],"itemData":{"id":244,"type":"book","call-number":"H61.24 .C45 2006","event-place":"London ; Thousand Oaks, Calif","ISBN":"978-0-7619-7352-2","language":"en","number-of-pages":"208","publisher":"Sage Publications","publisher-place":"London ; Thousand Oaks, Calif","source":"Library of Congress ISBN","title":"Constructing grounded theory","author":[{"family":"Charmaz","given":"Kathy"}],"issued":{"date-parts":[["2006"]]}}}],"schema":"https://github.com/citation-style-language/schema/raw/master/csl-citation.json"} </w:instrText>
      </w:r>
      <w:r w:rsidRPr="000F7E56">
        <w:rPr>
          <w:rFonts w:ascii="Calibri" w:eastAsia="Calibri" w:hAnsi="Calibri" w:cs="Calibri"/>
        </w:rPr>
        <w:fldChar w:fldCharType="separate"/>
      </w:r>
      <w:r w:rsidR="00496C3B" w:rsidRPr="00496C3B">
        <w:rPr>
          <w:rFonts w:ascii="Calibri" w:hAnsi="Calibri" w:cs="Calibri"/>
          <w:szCs w:val="24"/>
          <w:vertAlign w:val="superscript"/>
        </w:rPr>
        <w:t>110</w:t>
      </w:r>
      <w:r w:rsidRPr="000F7E56">
        <w:rPr>
          <w:rFonts w:ascii="Calibri" w:eastAsia="Calibri" w:hAnsi="Calibri" w:cs="Calibri"/>
        </w:rPr>
        <w:fldChar w:fldCharType="end"/>
      </w:r>
      <w:r w:rsidRPr="000F7E56">
        <w:rPr>
          <w:rFonts w:ascii="Calibri" w:eastAsia="Calibri" w:hAnsi="Calibri" w:cs="Calibri"/>
        </w:rPr>
        <w:t xml:space="preserve">. Constructivism seeks to ‘see what happens’ in real world settings and to illuminate the relevance of social context and processes for resilience, self-reliance and the opportunities and constraints which govern access to resources for individuals and connected groups. This research approach aims to elicit and understand how research participants construct, negotiate and share meanings around the phenomenon of interest. In this study the phenomenon is deterioration, dying and medical treatments at the end-of-life. </w:t>
      </w:r>
    </w:p>
    <w:p w14:paraId="44AD138F" w14:textId="77777777" w:rsidR="000F7E56" w:rsidRPr="000F7E56" w:rsidRDefault="000F7E56" w:rsidP="000F7E56">
      <w:pPr>
        <w:spacing w:after="120" w:line="360" w:lineRule="auto"/>
        <w:rPr>
          <w:rFonts w:ascii="Calibri" w:eastAsia="Calibri" w:hAnsi="Calibri" w:cs="Calibri"/>
        </w:rPr>
      </w:pPr>
      <w:r w:rsidRPr="000F7E56">
        <w:rPr>
          <w:rFonts w:ascii="Calibri" w:eastAsia="Calibri" w:hAnsi="Calibri" w:cs="Calibri"/>
        </w:rPr>
        <w:t>The study was designed to undertake an in-depth exploration of the diversity and complexity of experience within a limited number of cases. There are three Work Streams (WS):</w:t>
      </w:r>
    </w:p>
    <w:p w14:paraId="3ED43382" w14:textId="77777777" w:rsidR="000F7E56" w:rsidRPr="000F7E56" w:rsidRDefault="000F7E56" w:rsidP="000F7E56">
      <w:pPr>
        <w:numPr>
          <w:ilvl w:val="0"/>
          <w:numId w:val="2"/>
        </w:numPr>
        <w:spacing w:after="120" w:line="360" w:lineRule="auto"/>
        <w:rPr>
          <w:rFonts w:ascii="Calibri" w:eastAsia="Calibri" w:hAnsi="Calibri" w:cs="Calibri"/>
        </w:rPr>
      </w:pPr>
      <w:r w:rsidRPr="000F7E56">
        <w:rPr>
          <w:rFonts w:ascii="Calibri" w:eastAsia="Calibri" w:hAnsi="Calibri" w:cs="Calibri"/>
        </w:rPr>
        <w:t>Work Stream 1: Longitudinal patient-centred case studies comprising an ED patient with advanced illness, one or two of their FCGs and an HCP nominated by the patient;</w:t>
      </w:r>
    </w:p>
    <w:p w14:paraId="6DC8E4E8" w14:textId="77777777" w:rsidR="000F7E56" w:rsidRPr="000F7E56" w:rsidRDefault="000F7E56" w:rsidP="000F7E56">
      <w:pPr>
        <w:numPr>
          <w:ilvl w:val="0"/>
          <w:numId w:val="2"/>
        </w:numPr>
        <w:spacing w:after="120" w:line="360" w:lineRule="auto"/>
        <w:rPr>
          <w:rFonts w:ascii="Calibri" w:eastAsia="Calibri" w:hAnsi="Calibri" w:cs="Calibri"/>
        </w:rPr>
      </w:pPr>
      <w:r w:rsidRPr="000F7E56">
        <w:rPr>
          <w:rFonts w:ascii="Calibri" w:eastAsia="Calibri" w:hAnsi="Calibri" w:cs="Calibri"/>
        </w:rPr>
        <w:t>Work Stream 2: Single interviews with bereaved FCGs who have experienced the loss of an ED family member from advanced illness;</w:t>
      </w:r>
    </w:p>
    <w:p w14:paraId="4F027A96" w14:textId="77777777" w:rsidR="000F7E56" w:rsidRPr="000F7E56" w:rsidRDefault="000F7E56" w:rsidP="000F7E56">
      <w:pPr>
        <w:numPr>
          <w:ilvl w:val="0"/>
          <w:numId w:val="2"/>
        </w:numPr>
        <w:spacing w:after="120" w:line="360" w:lineRule="auto"/>
        <w:rPr>
          <w:rFonts w:ascii="Calibri" w:eastAsia="Calibri" w:hAnsi="Calibri" w:cs="Calibri"/>
        </w:rPr>
      </w:pPr>
      <w:r w:rsidRPr="000F7E56">
        <w:rPr>
          <w:rFonts w:ascii="Calibri" w:eastAsia="Calibri" w:hAnsi="Calibri" w:cs="Calibri"/>
        </w:rPr>
        <w:t xml:space="preserve">Work Stream 3: Public and professional stakeholder virtual workshops to discuss fictionalised, EOLCP scenarios, derived from real-life experiences reported by participants. </w:t>
      </w:r>
    </w:p>
    <w:p w14:paraId="2D25B252" w14:textId="19566747" w:rsidR="000F7E56" w:rsidRPr="000F7E56" w:rsidRDefault="000F7E56" w:rsidP="000F7E56">
      <w:pPr>
        <w:pBdr>
          <w:top w:val="nil"/>
          <w:left w:val="nil"/>
          <w:bottom w:val="nil"/>
          <w:right w:val="nil"/>
          <w:between w:val="nil"/>
          <w:bar w:val="nil"/>
        </w:pBdr>
        <w:spacing w:after="120" w:line="360" w:lineRule="auto"/>
        <w:rPr>
          <w:rFonts w:ascii="Verdana" w:eastAsia="Arial Unicode MS" w:hAnsi="Verdana" w:cs="Calibri"/>
          <w:color w:val="000000"/>
          <w:sz w:val="20"/>
          <w:szCs w:val="20"/>
          <w:u w:color="000000"/>
          <w:bdr w:val="nil"/>
          <w:lang w:val="en-US" w:eastAsia="en-GB"/>
        </w:rPr>
      </w:pPr>
      <w:r w:rsidRPr="000F7E56">
        <w:rPr>
          <w:rFonts w:ascii="Calibri" w:eastAsia="Arial Unicode MS" w:hAnsi="Calibri" w:cs="Calibri"/>
          <w:color w:val="000000"/>
          <w:u w:color="000000"/>
          <w:bdr w:val="nil"/>
          <w:lang w:val="en-US" w:eastAsia="en-GB"/>
        </w:rPr>
        <w:t xml:space="preserve">Qualitative methods of data collection and analysis are particularly suitable for use where little is known about the issue and in the study of sensitive and complex topics. Semi-structured interviews </w:t>
      </w:r>
      <w:r w:rsidR="000E6484">
        <w:rPr>
          <w:rFonts w:ascii="Calibri" w:eastAsia="Arial Unicode MS" w:hAnsi="Calibri" w:cs="Calibri"/>
          <w:color w:val="000000"/>
          <w:u w:color="000000"/>
          <w:bdr w:val="nil"/>
          <w:lang w:val="en-US" w:eastAsia="en-GB"/>
        </w:rPr>
        <w:t xml:space="preserve">enable the </w:t>
      </w:r>
      <w:r w:rsidRPr="000F7E56">
        <w:rPr>
          <w:rFonts w:ascii="Calibri" w:eastAsia="Arial Unicode MS" w:hAnsi="Calibri" w:cs="Calibri"/>
          <w:color w:val="000000"/>
          <w:u w:color="000000"/>
          <w:bdr w:val="nil"/>
          <w:lang w:val="en-US" w:eastAsia="en-GB"/>
        </w:rPr>
        <w:t xml:space="preserve"> explor</w:t>
      </w:r>
      <w:r w:rsidR="000E6484">
        <w:rPr>
          <w:rFonts w:ascii="Calibri" w:eastAsia="Arial Unicode MS" w:hAnsi="Calibri" w:cs="Calibri"/>
          <w:color w:val="000000"/>
          <w:u w:color="000000"/>
          <w:bdr w:val="nil"/>
          <w:lang w:val="en-US" w:eastAsia="en-GB"/>
        </w:rPr>
        <w:t>ation of key</w:t>
      </w:r>
      <w:r w:rsidRPr="000F7E56">
        <w:rPr>
          <w:rFonts w:ascii="Calibri" w:eastAsia="Arial Unicode MS" w:hAnsi="Calibri" w:cs="Calibri"/>
          <w:color w:val="000000"/>
          <w:u w:color="000000"/>
          <w:bdr w:val="nil"/>
          <w:lang w:val="en-US" w:eastAsia="en-GB"/>
        </w:rPr>
        <w:t xml:space="preserve"> topics, while </w:t>
      </w:r>
      <w:r w:rsidR="000E6484" w:rsidRPr="000F7E56">
        <w:rPr>
          <w:rFonts w:ascii="Calibri" w:eastAsia="Arial Unicode MS" w:hAnsi="Calibri" w:cs="Calibri"/>
          <w:color w:val="000000"/>
          <w:u w:color="000000"/>
          <w:bdr w:val="nil"/>
          <w:lang w:val="en-US" w:eastAsia="en-GB"/>
        </w:rPr>
        <w:t>concurrently</w:t>
      </w:r>
      <w:r w:rsidRPr="000F7E56">
        <w:rPr>
          <w:rFonts w:ascii="Calibri" w:eastAsia="Arial Unicode MS" w:hAnsi="Calibri" w:cs="Calibri"/>
          <w:color w:val="000000"/>
          <w:u w:color="000000"/>
          <w:bdr w:val="nil"/>
          <w:lang w:val="en-US" w:eastAsia="en-GB"/>
        </w:rPr>
        <w:t xml:space="preserve"> </w:t>
      </w:r>
      <w:r w:rsidR="000E6484">
        <w:rPr>
          <w:rFonts w:ascii="Calibri" w:eastAsia="Arial Unicode MS" w:hAnsi="Calibri" w:cs="Calibri"/>
          <w:color w:val="000000"/>
          <w:u w:color="000000"/>
          <w:bdr w:val="nil"/>
          <w:lang w:val="en-US" w:eastAsia="en-GB"/>
        </w:rPr>
        <w:t>allowing the</w:t>
      </w:r>
      <w:r w:rsidRPr="000F7E56">
        <w:rPr>
          <w:rFonts w:ascii="Calibri" w:eastAsia="Arial Unicode MS" w:hAnsi="Calibri" w:cs="Calibri"/>
          <w:color w:val="000000"/>
          <w:u w:color="000000"/>
          <w:bdr w:val="nil"/>
          <w:lang w:val="en-US" w:eastAsia="en-GB"/>
        </w:rPr>
        <w:t xml:space="preserve"> flexibility to follow up on new issues of interest and importance.</w:t>
      </w:r>
      <w:r w:rsidR="006925C1">
        <w:rPr>
          <w:rFonts w:ascii="Calibri" w:eastAsia="Arial Unicode MS" w:hAnsi="Calibri" w:cs="Calibri"/>
          <w:color w:val="000000"/>
          <w:u w:color="000000"/>
          <w:bdr w:val="nil"/>
          <w:lang w:val="en-US" w:eastAsia="en-GB"/>
        </w:rPr>
        <w:fldChar w:fldCharType="begin"/>
      </w:r>
      <w:r w:rsidR="008C4C05">
        <w:rPr>
          <w:rFonts w:ascii="Calibri" w:eastAsia="Arial Unicode MS" w:hAnsi="Calibri" w:cs="Calibri"/>
          <w:color w:val="000000"/>
          <w:u w:color="000000"/>
          <w:bdr w:val="nil"/>
          <w:lang w:val="en-US" w:eastAsia="en-GB"/>
        </w:rPr>
        <w:instrText xml:space="preserve"> ADDIN ZOTERO_ITEM CSL_CITATION {"citationID":"a25bllognuj","properties":{"formattedCitation":"\\super 110\\uc0\\u8211{}112\\nosupersub{}","plainCitation":"110–112","noteIndex":0},"citationItems":[{"id":"aZbwIlcN/jOFwQrJr","uris":["http://zotero.org/users/6587080/items/NDKH6W73"],"itemData":{"id":"aZbwIlcN/jOFwQrJr","type":"book","call-number":"H61.24 .C45 2006","event-place":"London ; Thousand Oaks, Calif","ISBN":"978-0-7619-7352-2","language":"en","number-of-pages":"208","publisher":"Sage Publications","publisher-place":"London ; Thousand Oaks, Calif","source":"Library of Congress ISBN","title":"Constructing grounded theory","author":[{"family":"Charmaz","given":"Kathy"}],"issued":{"date-parts":[["2006"]]}}},{"id":114,"uris":["http://zotero.org/users/8748280/items/UH7NWHGY"],"itemData":{"id":114,"type":"book","abstract":"Lecturers/instructors only - request a free digital inspection copy here  Written by an experienced researcher in the field of qualitative methods, this dynamic new book provides a definitive introduction to analysing qualitative data.  It is a clear, accessible and practical guide to each stage of the process, including: - Designing and managing qualitative data for analysis - Working with data through interpretive, comparative, pattern and relational analyses - Developing explanatory theory and coherent conclusions, based on qualitative data.  The book pairs theoretical discussion with practical advice using a host of examples from diverse projects across the social sciences. It describes data analysis strategies in actionable steps and helpfully links to the use of computer software where relevant. This is an exciting new addition to the literature on qualitative data analysis and a must-read for anyone who has collected, or is preparing to collect, their own data.","edition":"1 edition","event-place":"London","ISBN":"978-1-84920-303-6","language":"English","number-of-pages":"472","publisher":"SAGE Publications Ltd","publisher-place":"London","source":"Amazon","title":"Qualitative Data Analysis: Practical Strategies","title-short":"Qualitative Data Analysis","author":[{"family":"Bazeley","given":"Patricia"}],"issued":{"date-parts":[["2013",2,28]]}}},{"id":100,"uris":["http://zotero.org/users/8748280/items/246LTL4I"],"itemData":{"id":100,"type":"book","abstract":"The book describes in-depth qualitative interviewing from the very beginning to last step, from its underlying philosophy and assumptions to project design, analysis and write up. In responsive interviewing, the stages of research-design, data gathering, and analysis-are intimately linked. Researchers perform analysis throughout their projects, not just at the end, so that as they learn more, they can modify both the research problem they are exploring and the questions they ask.   The book assumes no prior knowledge or experience, and the authors' tone is conversational, revealing that interviewers can make mistakes, recover from them and still obtain rich and meaningful information.","edition":"Third edition","event-place":"Thousand Oaks, Calif","ISBN":"978-1-4129-7837-8","language":"English","number-of-pages":"288","publisher":"SAGE Publications, Inc","publisher-place":"Thousand Oaks, Calif","source":"Amazon","title":"Qualitative Interviewing: The Art of Hearing Data","title-short":"Qualitative Interviewing","author":[{"family":"Rubin","given":"Herbert J."},{"family":"Rubin","given":"Irene S."}],"issued":{"date-parts":[["2011",12,7]]}}}],"schema":"https://github.com/citation-style-language/schema/raw/master/csl-citation.json"} </w:instrText>
      </w:r>
      <w:r w:rsidR="006925C1">
        <w:rPr>
          <w:rFonts w:ascii="Calibri" w:eastAsia="Arial Unicode MS" w:hAnsi="Calibri" w:cs="Calibri"/>
          <w:color w:val="000000"/>
          <w:u w:color="000000"/>
          <w:bdr w:val="nil"/>
          <w:lang w:val="en-US" w:eastAsia="en-GB"/>
        </w:rPr>
        <w:fldChar w:fldCharType="separate"/>
      </w:r>
      <w:r w:rsidR="008C4C05" w:rsidRPr="008C4C05">
        <w:rPr>
          <w:rFonts w:ascii="Calibri" w:hAnsi="Calibri" w:cs="Times New Roman"/>
          <w:szCs w:val="24"/>
          <w:vertAlign w:val="superscript"/>
        </w:rPr>
        <w:t>110–112</w:t>
      </w:r>
      <w:r w:rsidR="006925C1">
        <w:rPr>
          <w:rFonts w:ascii="Calibri" w:eastAsia="Arial Unicode MS" w:hAnsi="Calibri" w:cs="Calibri"/>
          <w:color w:val="000000"/>
          <w:u w:color="000000"/>
          <w:bdr w:val="nil"/>
          <w:lang w:val="en-US" w:eastAsia="en-GB"/>
        </w:rPr>
        <w:fldChar w:fldCharType="end"/>
      </w:r>
      <w:r w:rsidRPr="000F7E56">
        <w:rPr>
          <w:rFonts w:ascii="Calibri" w:eastAsia="Arial Unicode MS" w:hAnsi="Calibri" w:cs="Calibri"/>
          <w:color w:val="000000"/>
          <w:u w:color="000000"/>
          <w:bdr w:val="nil"/>
          <w:lang w:val="en-US" w:eastAsia="en-GB"/>
        </w:rPr>
        <w:t xml:space="preserve"> Recruiting severely ill patients to take part in research projects presents challenges, which required flexibility and sensitivity in engaging FCGs and patients in a way and at a level that they could comfortably accommodate. We adopted the case study approach because the issues are socially and culturally complex. Case studies aim to explore complexity through an intensive, holistic focus on the components of each case, rather than obtain limited data from a larger number of single types of unconnected respondents.</w:t>
      </w:r>
      <w:r w:rsidRPr="000F7E56">
        <w:rPr>
          <w:rFonts w:ascii="Calibri" w:eastAsia="Arial Unicode MS" w:hAnsi="Calibri" w:cs="Calibri"/>
          <w:color w:val="000000"/>
          <w:u w:color="000000"/>
          <w:bdr w:val="nil"/>
          <w:lang w:val="en-US" w:eastAsia="en-GB"/>
        </w:rPr>
        <w:fldChar w:fldCharType="begin"/>
      </w:r>
      <w:r w:rsidR="000D5597">
        <w:rPr>
          <w:rFonts w:ascii="Calibri" w:eastAsia="Arial Unicode MS" w:hAnsi="Calibri" w:cs="Calibri"/>
          <w:color w:val="000000"/>
          <w:u w:color="000000"/>
          <w:bdr w:val="nil"/>
          <w:lang w:val="en-US" w:eastAsia="en-GB"/>
        </w:rPr>
        <w:instrText xml:space="preserve"> ADDIN ZOTERO_ITEM CSL_CITATION {"citationID":"565vKzLP","properties":{"formattedCitation":"\\super 113\\uc0\\u8211{}115\\nosupersub{}","plainCitation":"113–115","noteIndex":0},"citationItems":[{"id":"aZbwIlcN/9qY4pob5","uris":["http://zotero.org/users/6587080/items/C9SFD3KW"],"itemData":{"id":271,"type":"article-journal","abstract":"Sample sizes must be ascertained in qualitative studies like in quantitative studies but not by the same means. The prevailing concept for sample size in qualitative studies is “saturation.” Saturation is closely tied to a specific methodology, and the term is inconsistently applied. We propose the concept “information power” to guide adequate sample size for qualitative studies. Information power indicates that the more information the sample holds, relevant for the actual study, the lower amount of participants is needed. We suggest that the size of a sample with sufficient information power depends on (a) the aim of the study, (b) sample specificity, (c) use of established theory, (d) quality of dialogue, and (e) analysis strategy. We present a model where these elements of information and their relevant dimensions are related to information power. Application of this model in the planning and during data collection of a qualitative study is discussed.","container-title":"Qualitative Health Research","DOI":"10.1177/1049732315617444","ISSN":"1049-7323","issue":"13","journalAbbreviation":"Qual Health Res","language":"en","page":"1753-1760","source":"SAGE Journals","title":"Sample Size in Qualitative Interview Studies: Guided by Information Power","title-short":"Sample Size in Qualitative Interview Studies","volume":"26","author":[{"family":"Malterud","given":"Kirsti"},{"family":"Siersma","given":"Volkert Dirk"},{"family":"Guassora","given":"Ann Dorrit"}],"issued":{"date-parts":[["2016",11,1]]}}},{"id":"aZbwIlcN/0aqfNXEM","uris":["http://zotero.org/users/6587080/items/J755U3F3"],"itemData":{"id":246,"type":"book","abstract":"The latest edition of this bestselling textbook by Miles and Huberman not only is considerably expanded in content, but is now available in paperback. Bringing the art of qualitative analysis up-to-date, this edition adds hundreds of new techniques, ideas and references developed in the past decade to the corpus contained in the first.  The increase in the use of computers in qualitative analysis is also reflected in this volume. There is an extensive appendix on criteria to choose from among the currently available analysis packages. Through examples from a host of social science and professional disciplines, Qualitative Data Analysis remains the most comprehensive and complete treatment of this topic currently available to scholars and applied researchers.","edition":"Second Edition edition","event-place":"Thousand Oaks","ISBN":"978-0-8039-5540-0","language":"English","number-of-pages":"352","publisher":"SAGE Publications, Inc","publisher-place":"Thousand Oaks","source":"Amazon","title":"Qualitative Data Analysis: An Expanded Sourcebook","title-short":"Qualitative Data Analysis","author":[{"family":"Miles","given":"Matthew"},{"family":"Huberman","given":"A. Michael"}],"issued":{"date-parts":[["1994",2,9]]}}},{"id":"aZbwIlcN/9Hij2yV8","uris":["http://zotero.org/users/6587080/items/8DF7QVNS"],"itemData":{"id":2319,"type":"article-journal","issue":"3","page":"280-4","title":"The role of sampling in qualitative research. Academic Exchange Quarterly","volume":"9","author":[{"family":"Leech","given":"Nancy L."}],"issued":{"date-parts":[["2005"]]}}}],"schema":"https://github.com/citation-style-language/schema/raw/master/csl-citation.json"} </w:instrText>
      </w:r>
      <w:r w:rsidRPr="000F7E56">
        <w:rPr>
          <w:rFonts w:ascii="Calibri" w:eastAsia="Arial Unicode MS" w:hAnsi="Calibri" w:cs="Calibri"/>
          <w:color w:val="000000"/>
          <w:u w:color="000000"/>
          <w:bdr w:val="nil"/>
          <w:lang w:val="en-US" w:eastAsia="en-GB"/>
        </w:rPr>
        <w:fldChar w:fldCharType="separate"/>
      </w:r>
      <w:r w:rsidR="000D5597" w:rsidRPr="000D5597">
        <w:rPr>
          <w:rFonts w:ascii="Calibri" w:hAnsi="Calibri" w:cs="Times New Roman"/>
          <w:szCs w:val="24"/>
          <w:vertAlign w:val="superscript"/>
        </w:rPr>
        <w:t>113–115</w:t>
      </w:r>
      <w:r w:rsidRPr="000F7E56">
        <w:rPr>
          <w:rFonts w:ascii="Calibri" w:eastAsia="Arial Unicode MS" w:hAnsi="Calibri" w:cs="Calibri"/>
          <w:color w:val="000000"/>
          <w:u w:color="000000"/>
          <w:bdr w:val="nil"/>
          <w:lang w:val="en-US" w:eastAsia="en-GB"/>
        </w:rPr>
        <w:fldChar w:fldCharType="end"/>
      </w:r>
      <w:r w:rsidRPr="000F7E56">
        <w:rPr>
          <w:rFonts w:ascii="Calibri" w:eastAsia="Arial Unicode MS" w:hAnsi="Calibri" w:cs="Calibri"/>
          <w:color w:val="000000"/>
          <w:u w:color="000000"/>
          <w:bdr w:val="nil"/>
          <w:lang w:val="en-US" w:eastAsia="en-GB"/>
        </w:rPr>
        <w:t xml:space="preserve"> Case studies are suited to the </w:t>
      </w:r>
      <w:r w:rsidR="000E6484" w:rsidRPr="000F7E56">
        <w:rPr>
          <w:rFonts w:ascii="Calibri" w:eastAsia="Arial Unicode MS" w:hAnsi="Calibri" w:cs="Calibri"/>
          <w:color w:val="000000"/>
          <w:u w:color="000000"/>
          <w:bdr w:val="nil"/>
          <w:lang w:val="en-US" w:eastAsia="en-GB"/>
        </w:rPr>
        <w:t>investigation</w:t>
      </w:r>
      <w:r w:rsidRPr="000F7E56">
        <w:rPr>
          <w:rFonts w:ascii="Calibri" w:eastAsia="Arial Unicode MS" w:hAnsi="Calibri" w:cs="Calibri"/>
          <w:color w:val="000000"/>
          <w:u w:color="000000"/>
          <w:bdr w:val="nil"/>
          <w:lang w:val="en-US" w:eastAsia="en-GB"/>
        </w:rPr>
        <w:t xml:space="preserve"> of complex real-world situations where a </w:t>
      </w:r>
      <w:r w:rsidR="000E6484" w:rsidRPr="000F7E56">
        <w:rPr>
          <w:rFonts w:ascii="Calibri" w:eastAsia="Arial Unicode MS" w:hAnsi="Calibri" w:cs="Calibri"/>
          <w:color w:val="000000"/>
          <w:u w:color="000000"/>
          <w:bdr w:val="nil"/>
          <w:lang w:val="en-US" w:eastAsia="en-GB"/>
        </w:rPr>
        <w:t>diversity</w:t>
      </w:r>
      <w:r w:rsidRPr="000F7E56">
        <w:rPr>
          <w:rFonts w:ascii="Calibri" w:eastAsia="Arial Unicode MS" w:hAnsi="Calibri" w:cs="Calibri"/>
          <w:color w:val="000000"/>
          <w:u w:color="000000"/>
          <w:bdr w:val="nil"/>
          <w:lang w:val="en-US" w:eastAsia="en-GB"/>
        </w:rPr>
        <w:t xml:space="preserve"> of perspectives are at play. </w:t>
      </w:r>
      <w:r w:rsidR="001E2C30">
        <w:rPr>
          <w:rFonts w:ascii="Calibri" w:eastAsia="Arial Unicode MS" w:hAnsi="Calibri" w:cs="Calibri"/>
          <w:color w:val="000000"/>
          <w:u w:color="000000"/>
          <w:bdr w:val="nil"/>
          <w:lang w:val="en-US" w:eastAsia="en-GB"/>
        </w:rPr>
        <w:fldChar w:fldCharType="begin"/>
      </w:r>
      <w:r w:rsidR="000D5597">
        <w:rPr>
          <w:rFonts w:ascii="Calibri" w:eastAsia="Arial Unicode MS" w:hAnsi="Calibri" w:cs="Calibri"/>
          <w:color w:val="000000"/>
          <w:u w:color="000000"/>
          <w:bdr w:val="nil"/>
          <w:lang w:val="en-US" w:eastAsia="en-GB"/>
        </w:rPr>
        <w:instrText xml:space="preserve"> ADDIN ZOTERO_ITEM CSL_CITATION {"citationID":"a1vfubds1i4","properties":{"formattedCitation":"\\super 116,117\\nosupersub{}","plainCitation":"116,117","noteIndex":0},"citationItems":[{"id":"aZbwIlcN/8xen9ifI","uris":["http://zotero.org/users/6587080/items/7YYAEGXK"],"itemData":{"id":"aZbwIlcN/8xen9ifI","type":"book","abstract":"Winner of the 2011 Special Career Award in Qualitative Inquiry from the International Congress for Qualitative Inquiry! Examining situational complexity is a vital part of social and behavioral science research. This engaging text provides an effective process for studying multiple cases - such as sets of teachers, staff development sessions, or clinics operating in different locations - within one complex program. The process also can be used to investigate broadly occurring phenomena without programmatic links, such as leadership or sibling rivalry. Readers learn to design, analyze, and report studies that balance common issues across the group of cases with the unique features and context of each case. Three actual case reports from a transnational early childhood program illustrate the author's approach, and helpful reproducible worksheets facilitate multicase recording and analysis.","edition":"1 edition","event-place":"New York","ISBN":"978-1-59385-248-1","language":"English","number-of-pages":"342","publisher":"Guilford Press","publisher-place":"New York","source":"Amazon","title":"Multiple Case Study Analysis","author":[{"family":"Stake","given":"Robert E."}],"issued":{"date-parts":[["2006"]]}}},{"id":"aZbwIlcN/mNwnLK0e","uris":["http://zotero.org/users/6587080/items/UA72JPNE"],"itemData":{"id":"aZbwIlcN/mNwnLK0e","type":"book","event-place":"London:","publisher":"SAGE.","publisher-place":"London:","title":"Case Study Research, Design and Method. 4th ed.","author":[{"family":"Yin","given":"Robert K."}],"issued":{"date-parts":[["2008"]]}}}],"schema":"https://github.com/citation-style-language/schema/raw/master/csl-citation.json"} </w:instrText>
      </w:r>
      <w:r w:rsidR="001E2C30">
        <w:rPr>
          <w:rFonts w:ascii="Calibri" w:eastAsia="Arial Unicode MS" w:hAnsi="Calibri" w:cs="Calibri"/>
          <w:color w:val="000000"/>
          <w:u w:color="000000"/>
          <w:bdr w:val="nil"/>
          <w:lang w:val="en-US" w:eastAsia="en-GB"/>
        </w:rPr>
        <w:fldChar w:fldCharType="separate"/>
      </w:r>
      <w:r w:rsidR="000D5597" w:rsidRPr="000D5597">
        <w:rPr>
          <w:rFonts w:ascii="Calibri" w:hAnsi="Calibri" w:cs="Times New Roman"/>
          <w:szCs w:val="24"/>
          <w:vertAlign w:val="superscript"/>
        </w:rPr>
        <w:t>116,117</w:t>
      </w:r>
      <w:r w:rsidR="001E2C30">
        <w:rPr>
          <w:rFonts w:ascii="Calibri" w:eastAsia="Arial Unicode MS" w:hAnsi="Calibri" w:cs="Calibri"/>
          <w:color w:val="000000"/>
          <w:u w:color="000000"/>
          <w:bdr w:val="nil"/>
          <w:lang w:val="en-US" w:eastAsia="en-GB"/>
        </w:rPr>
        <w:fldChar w:fldCharType="end"/>
      </w:r>
      <w:r w:rsidR="001E2B7E">
        <w:rPr>
          <w:rFonts w:ascii="Calibri" w:eastAsia="Arial Unicode MS" w:hAnsi="Calibri" w:cs="Calibri"/>
          <w:color w:val="000000"/>
          <w:u w:color="000000"/>
          <w:bdr w:val="nil"/>
          <w:lang w:val="en-US" w:eastAsia="en-GB"/>
        </w:rPr>
        <w:t>E</w:t>
      </w:r>
      <w:r w:rsidRPr="000F7E56">
        <w:rPr>
          <w:rFonts w:ascii="Calibri" w:eastAsia="Arial Unicode MS" w:hAnsi="Calibri" w:cs="Calibri"/>
          <w:color w:val="000000"/>
          <w:u w:color="000000"/>
          <w:bdr w:val="nil"/>
          <w:lang w:val="en-US" w:eastAsia="en-GB"/>
        </w:rPr>
        <w:t>ngag</w:t>
      </w:r>
      <w:r w:rsidR="001E2B7E">
        <w:rPr>
          <w:rFonts w:ascii="Calibri" w:eastAsia="Arial Unicode MS" w:hAnsi="Calibri" w:cs="Calibri"/>
          <w:color w:val="000000"/>
          <w:u w:color="000000"/>
          <w:bdr w:val="nil"/>
          <w:lang w:val="en-US" w:eastAsia="en-GB"/>
        </w:rPr>
        <w:t>ing</w:t>
      </w:r>
      <w:r w:rsidRPr="000F7E56">
        <w:rPr>
          <w:rFonts w:ascii="Calibri" w:eastAsia="Arial Unicode MS" w:hAnsi="Calibri" w:cs="Calibri"/>
          <w:color w:val="000000"/>
          <w:u w:color="000000"/>
          <w:bdr w:val="nil"/>
          <w:lang w:val="en-US" w:eastAsia="en-GB"/>
        </w:rPr>
        <w:t xml:space="preserve"> </w:t>
      </w:r>
      <w:r w:rsidR="001E2B7E">
        <w:rPr>
          <w:rFonts w:ascii="Calibri" w:eastAsia="Arial Unicode MS" w:hAnsi="Calibri" w:cs="Calibri"/>
          <w:color w:val="000000"/>
          <w:u w:color="000000"/>
          <w:bdr w:val="nil"/>
          <w:lang w:val="en-US" w:eastAsia="en-GB"/>
        </w:rPr>
        <w:t xml:space="preserve">different </w:t>
      </w:r>
      <w:r w:rsidRPr="000F7E56">
        <w:rPr>
          <w:rFonts w:ascii="Calibri" w:eastAsia="Arial Unicode MS" w:hAnsi="Calibri" w:cs="Calibri"/>
          <w:color w:val="000000"/>
          <w:u w:color="000000"/>
          <w:bdr w:val="nil"/>
          <w:lang w:val="en-US" w:eastAsia="en-GB"/>
        </w:rPr>
        <w:t xml:space="preserve"> participants within each case</w:t>
      </w:r>
      <w:r w:rsidR="001E2B7E">
        <w:rPr>
          <w:rFonts w:ascii="Calibri" w:eastAsia="Arial Unicode MS" w:hAnsi="Calibri" w:cs="Calibri"/>
          <w:color w:val="000000"/>
          <w:u w:color="000000"/>
          <w:bdr w:val="nil"/>
          <w:lang w:val="en-US" w:eastAsia="en-GB"/>
        </w:rPr>
        <w:t xml:space="preserve"> across longitudinal follow</w:t>
      </w:r>
      <w:r w:rsidRPr="000F7E56">
        <w:rPr>
          <w:rFonts w:ascii="Calibri" w:eastAsia="Arial Unicode MS" w:hAnsi="Calibri" w:cs="Calibri"/>
          <w:color w:val="000000"/>
          <w:u w:color="000000"/>
          <w:bdr w:val="nil"/>
          <w:lang w:val="en-US" w:eastAsia="en-GB"/>
        </w:rPr>
        <w:t xml:space="preserve"> </w:t>
      </w:r>
      <w:r w:rsidR="001E2B7E">
        <w:rPr>
          <w:rFonts w:ascii="Calibri" w:eastAsia="Arial Unicode MS" w:hAnsi="Calibri" w:cs="Calibri"/>
          <w:color w:val="000000"/>
          <w:u w:color="000000"/>
          <w:bdr w:val="nil"/>
          <w:lang w:val="en-US" w:eastAsia="en-GB"/>
        </w:rPr>
        <w:t xml:space="preserve">up enables </w:t>
      </w:r>
      <w:r w:rsidRPr="000F7E56">
        <w:rPr>
          <w:rFonts w:ascii="Calibri" w:eastAsia="Arial Unicode MS" w:hAnsi="Calibri" w:cs="Calibri"/>
          <w:color w:val="000000"/>
          <w:u w:color="000000"/>
          <w:bdr w:val="nil"/>
          <w:lang w:val="en-US" w:eastAsia="en-GB"/>
        </w:rPr>
        <w:t xml:space="preserve">the comparison of different perspectives and  exploration of processes and experiences </w:t>
      </w:r>
      <w:r w:rsidR="00EE27CE" w:rsidRPr="000F7E56">
        <w:rPr>
          <w:rFonts w:ascii="Calibri" w:eastAsia="Arial Unicode MS" w:hAnsi="Calibri" w:cs="Calibri"/>
          <w:color w:val="000000"/>
          <w:u w:color="000000"/>
          <w:bdr w:val="nil"/>
          <w:lang w:val="en-US" w:eastAsia="en-GB"/>
        </w:rPr>
        <w:t>emerging</w:t>
      </w:r>
      <w:r w:rsidRPr="000F7E56">
        <w:rPr>
          <w:rFonts w:ascii="Calibri" w:eastAsia="Arial Unicode MS" w:hAnsi="Calibri" w:cs="Calibri"/>
          <w:color w:val="000000"/>
          <w:u w:color="000000"/>
          <w:bdr w:val="nil"/>
          <w:lang w:val="en-US" w:eastAsia="en-GB"/>
        </w:rPr>
        <w:t xml:space="preserve"> over time, rather than the cross-sectional snapshot provided by one </w:t>
      </w:r>
      <w:r w:rsidRPr="000F7E56">
        <w:rPr>
          <w:rFonts w:ascii="Calibri" w:eastAsia="Arial Unicode MS" w:hAnsi="Calibri" w:cs="Calibri"/>
          <w:color w:val="000000"/>
          <w:u w:color="000000"/>
          <w:bdr w:val="nil"/>
          <w:lang w:val="en-US" w:eastAsia="en-GB"/>
        </w:rPr>
        <w:lastRenderedPageBreak/>
        <w:t>off interviews. Interview data were supplemented where possible by additional data from a focused review</w:t>
      </w:r>
      <w:r w:rsidR="007A60BC">
        <w:rPr>
          <w:rFonts w:ascii="Calibri" w:eastAsia="Arial Unicode MS" w:hAnsi="Calibri" w:cs="Calibri"/>
          <w:color w:val="000000"/>
          <w:u w:color="000000"/>
          <w:bdr w:val="nil"/>
          <w:lang w:val="en-US" w:eastAsia="en-GB"/>
        </w:rPr>
        <w:t xml:space="preserve"> of</w:t>
      </w:r>
      <w:r w:rsidRPr="000F7E56">
        <w:rPr>
          <w:rFonts w:ascii="Calibri" w:eastAsia="Arial Unicode MS" w:hAnsi="Calibri" w:cs="Calibri"/>
          <w:color w:val="000000"/>
          <w:u w:color="000000"/>
          <w:bdr w:val="nil"/>
          <w:lang w:val="en-US" w:eastAsia="en-GB"/>
        </w:rPr>
        <w:t xml:space="preserve"> medical records. Each case was followed up, where possible, for a period of approximately six months. </w:t>
      </w:r>
    </w:p>
    <w:p w14:paraId="1A36C7DC" w14:textId="77777777" w:rsidR="000F7E56" w:rsidRPr="000F7E56" w:rsidRDefault="000F7E56" w:rsidP="000F7E56">
      <w:pPr>
        <w:keepNext/>
        <w:keepLines/>
        <w:spacing w:after="120" w:line="360" w:lineRule="auto"/>
        <w:outlineLvl w:val="1"/>
        <w:rPr>
          <w:rFonts w:ascii="Calibri Light" w:eastAsia="Times New Roman" w:hAnsi="Calibri Light" w:cs="Times New Roman"/>
          <w:color w:val="2E74B5"/>
          <w:sz w:val="24"/>
          <w:szCs w:val="24"/>
          <w:lang w:val="en-US"/>
        </w:rPr>
      </w:pPr>
      <w:bookmarkStart w:id="98" w:name="_Toc89665149"/>
      <w:bookmarkStart w:id="99" w:name="_Toc89671902"/>
      <w:bookmarkStart w:id="100" w:name="_Toc89763952"/>
      <w:bookmarkStart w:id="101" w:name="_Toc106697778"/>
      <w:r w:rsidRPr="000F7E56">
        <w:rPr>
          <w:rFonts w:ascii="Calibri Light" w:eastAsia="Times New Roman" w:hAnsi="Calibri Light" w:cs="Times New Roman"/>
          <w:color w:val="2E74B5"/>
          <w:sz w:val="24"/>
          <w:szCs w:val="24"/>
          <w:lang w:val="en-US"/>
        </w:rPr>
        <w:t>Setting/context</w:t>
      </w:r>
      <w:bookmarkEnd w:id="98"/>
      <w:bookmarkEnd w:id="99"/>
      <w:bookmarkEnd w:id="100"/>
      <w:bookmarkEnd w:id="101"/>
    </w:p>
    <w:p w14:paraId="429E151E" w14:textId="392940DB" w:rsidR="000F7E56" w:rsidRPr="000F7E56" w:rsidRDefault="000F7E56" w:rsidP="000F7E56">
      <w:pPr>
        <w:spacing w:after="120" w:line="360" w:lineRule="auto"/>
        <w:rPr>
          <w:rFonts w:ascii="Calibri" w:eastAsia="Calibri" w:hAnsi="Calibri" w:cs="Calibri"/>
          <w:lang w:val="en-US"/>
        </w:rPr>
      </w:pPr>
      <w:r w:rsidRPr="000F7E56">
        <w:rPr>
          <w:rFonts w:ascii="Calibri" w:eastAsia="Calibri" w:hAnsi="Calibri" w:cs="Calibri"/>
          <w:lang w:val="en-US"/>
        </w:rPr>
        <w:t>The geographical setting for the study was the East Midlands across Leicester, Leicestershire, Nottingham and Nottinghamshire</w:t>
      </w:r>
      <w:r w:rsidR="00174B1A">
        <w:rPr>
          <w:rFonts w:ascii="Calibri" w:eastAsia="Calibri" w:hAnsi="Calibri" w:cs="Calibri"/>
          <w:lang w:val="en-US"/>
        </w:rPr>
        <w:t>. T</w:t>
      </w:r>
      <w:r w:rsidRPr="000F7E56">
        <w:rPr>
          <w:rFonts w:ascii="Calibri" w:eastAsia="Calibri" w:hAnsi="Calibri" w:cs="Calibri"/>
          <w:lang w:val="en-US"/>
        </w:rPr>
        <w:t xml:space="preserve">hroughout the report we shall refer to the setting as ‘Leicester’ and ‘Nottingham’. Patient participants were under the care of services in these areas and health professionals for WS1 and WS2 worked in these areas.  FCGs for WS1 and WS2 did not have to be resident in these areas.  Participants for WS3 were largely from these areas but some key stakeholders worked elsewhere in the Midlands or UK.  </w:t>
      </w:r>
    </w:p>
    <w:p w14:paraId="459D03B4" w14:textId="4D39B4ED" w:rsidR="000F7E56" w:rsidRPr="000F7E56" w:rsidRDefault="000F7E56" w:rsidP="000F7E56">
      <w:pPr>
        <w:spacing w:after="120" w:line="360" w:lineRule="auto"/>
        <w:rPr>
          <w:rFonts w:ascii="Calibri" w:eastAsia="Calibri" w:hAnsi="Calibri" w:cs="Calibri"/>
          <w:lang w:val="en-US"/>
        </w:rPr>
      </w:pPr>
      <w:r w:rsidRPr="000F7E56">
        <w:rPr>
          <w:rFonts w:ascii="Calibri" w:eastAsia="Calibri" w:hAnsi="Calibri" w:cs="Calibri"/>
          <w:lang w:val="en-US"/>
        </w:rPr>
        <w:t xml:space="preserve">All research activity took place in this geographical area and LOROS Hospice was the single recruiting research site. Interviews for FCGs for WS1 and WS2 who were not resident in these areas took place in a venue within a reasonable distance to LOROS or after a protocol amendment in relation to COVID, virtually as highlighted in the </w:t>
      </w:r>
      <w:r w:rsidR="00174B1A">
        <w:rPr>
          <w:rFonts w:ascii="Calibri" w:eastAsia="Calibri" w:hAnsi="Calibri" w:cs="Calibri"/>
          <w:lang w:val="en-US"/>
        </w:rPr>
        <w:t>following sectio</w:t>
      </w:r>
      <w:r w:rsidR="008072F5">
        <w:rPr>
          <w:rFonts w:ascii="Calibri" w:eastAsia="Calibri" w:hAnsi="Calibri" w:cs="Calibri"/>
          <w:lang w:val="en-US"/>
        </w:rPr>
        <w:t>n</w:t>
      </w:r>
      <w:r w:rsidRPr="000F7E56">
        <w:rPr>
          <w:rFonts w:ascii="Calibri" w:eastAsia="Calibri" w:hAnsi="Calibri" w:cs="Calibri"/>
          <w:lang w:val="en-US"/>
        </w:rPr>
        <w:t>.</w:t>
      </w:r>
    </w:p>
    <w:p w14:paraId="33A3E822" w14:textId="77777777" w:rsidR="000F7E56" w:rsidRPr="000F7E56" w:rsidRDefault="000F7E56" w:rsidP="000F7E56">
      <w:pPr>
        <w:keepNext/>
        <w:keepLines/>
        <w:spacing w:after="120" w:line="360" w:lineRule="auto"/>
        <w:outlineLvl w:val="1"/>
        <w:rPr>
          <w:rFonts w:ascii="Calibri Light" w:eastAsia="Times New Roman" w:hAnsi="Calibri Light" w:cs="Times New Roman"/>
          <w:color w:val="2E74B5"/>
          <w:sz w:val="24"/>
          <w:szCs w:val="24"/>
          <w:lang w:val="en-US"/>
        </w:rPr>
      </w:pPr>
      <w:bookmarkStart w:id="102" w:name="_Toc89665150"/>
      <w:bookmarkStart w:id="103" w:name="_Toc89671903"/>
      <w:bookmarkStart w:id="104" w:name="_Toc89763953"/>
      <w:bookmarkStart w:id="105" w:name="_Toc106697779"/>
      <w:r w:rsidRPr="000F7E56">
        <w:rPr>
          <w:rFonts w:ascii="Calibri Light" w:eastAsia="Times New Roman" w:hAnsi="Calibri Light" w:cs="Times New Roman"/>
          <w:color w:val="2E74B5"/>
          <w:sz w:val="24"/>
          <w:szCs w:val="24"/>
          <w:lang w:val="en-US"/>
        </w:rPr>
        <w:t>Ethical and governance approval</w:t>
      </w:r>
      <w:bookmarkEnd w:id="102"/>
      <w:bookmarkEnd w:id="103"/>
      <w:bookmarkEnd w:id="104"/>
      <w:bookmarkEnd w:id="105"/>
    </w:p>
    <w:p w14:paraId="02857190" w14:textId="79493623" w:rsidR="00A53338" w:rsidRDefault="000F7E56" w:rsidP="000F7E56">
      <w:pPr>
        <w:autoSpaceDE w:val="0"/>
        <w:autoSpaceDN w:val="0"/>
        <w:adjustRightInd w:val="0"/>
        <w:spacing w:after="120" w:line="360" w:lineRule="auto"/>
        <w:rPr>
          <w:rFonts w:ascii="Calibri" w:eastAsia="Calibri" w:hAnsi="Calibri" w:cs="Calibri"/>
          <w:lang w:val="en-US"/>
        </w:rPr>
      </w:pPr>
      <w:r w:rsidRPr="000F7E56">
        <w:rPr>
          <w:rFonts w:ascii="Calibri" w:eastAsia="Calibri" w:hAnsi="Calibri" w:cs="Calibri"/>
          <w:lang w:val="en-US"/>
        </w:rPr>
        <w:t>NHS Research Ethics Committee (REC) approval was obtained in December 2018 (Rec Ref: 18/WM/0310) and then two substantial amendments followed to make the following key amendments to the study. Substantial Amendment 1 (May 1</w:t>
      </w:r>
      <w:r w:rsidRPr="000F7E56">
        <w:rPr>
          <w:rFonts w:ascii="Calibri" w:eastAsia="Calibri" w:hAnsi="Calibri" w:cs="Calibri"/>
          <w:vertAlign w:val="superscript"/>
          <w:lang w:val="en-US"/>
        </w:rPr>
        <w:t>st</w:t>
      </w:r>
      <w:r w:rsidRPr="000F7E56">
        <w:rPr>
          <w:rFonts w:ascii="Calibri" w:eastAsia="Calibri" w:hAnsi="Calibri" w:cs="Calibri"/>
          <w:lang w:val="en-US"/>
        </w:rPr>
        <w:t xml:space="preserve"> 2019</w:t>
      </w:r>
      <w:bookmarkStart w:id="106" w:name="_Hlk90508825"/>
      <w:r w:rsidRPr="000F7E56">
        <w:rPr>
          <w:rFonts w:ascii="Calibri" w:eastAsia="Calibri" w:hAnsi="Calibri" w:cs="Calibri"/>
          <w:lang w:val="en-US"/>
        </w:rPr>
        <w:t xml:space="preserve">): </w:t>
      </w:r>
      <w:r w:rsidR="00A53338">
        <w:rPr>
          <w:rFonts w:ascii="Calibri" w:eastAsia="Calibri" w:hAnsi="Calibri" w:cs="Calibri"/>
          <w:lang w:val="en-US"/>
        </w:rPr>
        <w:t>w</w:t>
      </w:r>
      <w:r w:rsidR="00A53338" w:rsidRPr="00A53338">
        <w:rPr>
          <w:rFonts w:ascii="Calibri" w:eastAsia="Calibri" w:hAnsi="Calibri" w:cs="Calibri"/>
          <w:lang w:val="en-US"/>
        </w:rPr>
        <w:t xml:space="preserve">e did not give copies of audio recorded consent to the participants. This related to potential difficulties with participants having access to appropriate </w:t>
      </w:r>
      <w:r w:rsidR="008072F5">
        <w:rPr>
          <w:rFonts w:ascii="Calibri" w:eastAsia="Calibri" w:hAnsi="Calibri" w:cs="Calibri"/>
          <w:lang w:val="en-US"/>
        </w:rPr>
        <w:t>technology to listen to it</w:t>
      </w:r>
      <w:r w:rsidR="00A53338" w:rsidRPr="00A53338">
        <w:rPr>
          <w:rFonts w:ascii="Calibri" w:eastAsia="Calibri" w:hAnsi="Calibri" w:cs="Calibri"/>
          <w:lang w:val="en-US"/>
        </w:rPr>
        <w:t>. Where interpreters were used we informed participants that consent would be audio recorded. The recording was then retained as source data</w:t>
      </w:r>
      <w:r w:rsidR="000F7AD1">
        <w:rPr>
          <w:rFonts w:ascii="Calibri" w:eastAsia="Calibri" w:hAnsi="Calibri" w:cs="Calibri"/>
          <w:lang w:val="en-US"/>
        </w:rPr>
        <w:t>. P</w:t>
      </w:r>
      <w:r w:rsidR="00A53338" w:rsidRPr="00A53338">
        <w:rPr>
          <w:rFonts w:ascii="Calibri" w:eastAsia="Calibri" w:hAnsi="Calibri" w:cs="Calibri"/>
          <w:lang w:val="en-US"/>
        </w:rPr>
        <w:t xml:space="preserve">aper copies of the consent forms were filed and a copy given to the participant. For practical and resource reasons, copies of audio recordings were not distributed to participants. </w:t>
      </w:r>
      <w:r w:rsidR="000F7AD1" w:rsidRPr="000F7AD1">
        <w:rPr>
          <w:rFonts w:ascii="Calibri" w:eastAsia="Calibri" w:hAnsi="Calibri" w:cs="Calibri"/>
        </w:rPr>
        <w:t>To enable greater flexibility for patient participation, we increased the time of maximum involvement from four months to six months, to enable our engagement with them to be at a slower pace should patients need this.</w:t>
      </w:r>
    </w:p>
    <w:bookmarkEnd w:id="106"/>
    <w:p w14:paraId="3EC66F43" w14:textId="52A0CE89" w:rsidR="000F7E56" w:rsidRPr="000F7E56" w:rsidRDefault="000F7E56" w:rsidP="000F7E56">
      <w:pPr>
        <w:autoSpaceDE w:val="0"/>
        <w:autoSpaceDN w:val="0"/>
        <w:adjustRightInd w:val="0"/>
        <w:spacing w:after="120" w:line="360" w:lineRule="auto"/>
        <w:rPr>
          <w:rFonts w:ascii="Calibri" w:eastAsia="Calibri" w:hAnsi="Calibri" w:cs="Arial"/>
        </w:rPr>
      </w:pPr>
      <w:r w:rsidRPr="000F7E56">
        <w:rPr>
          <w:rFonts w:ascii="Calibri" w:eastAsia="Calibri" w:hAnsi="Calibri" w:cs="Arial"/>
        </w:rPr>
        <w:t xml:space="preserve">In light of government and NIHR guidance on COVID-19 Substantial Amendment 2 (9th March 2020) </w:t>
      </w:r>
      <w:r w:rsidR="000F7AD1">
        <w:rPr>
          <w:rFonts w:ascii="Calibri" w:eastAsia="Calibri" w:hAnsi="Calibri" w:cs="Arial"/>
        </w:rPr>
        <w:t xml:space="preserve">amendments were </w:t>
      </w:r>
      <w:r w:rsidRPr="000F7E56">
        <w:rPr>
          <w:rFonts w:ascii="Calibri" w:eastAsia="Calibri" w:hAnsi="Calibri" w:cs="Arial"/>
        </w:rPr>
        <w:t xml:space="preserve">made to the study protocol in order for us to ensure the safe delivery of the remainder of the study. Our first priority was the safety of participants, many of whom were very vulnerable to the virus. Our second consideration was to minimise </w:t>
      </w:r>
      <w:r w:rsidR="007A60BC">
        <w:rPr>
          <w:rFonts w:ascii="Calibri" w:eastAsia="Calibri" w:hAnsi="Calibri" w:cs="Arial"/>
        </w:rPr>
        <w:t xml:space="preserve">the </w:t>
      </w:r>
      <w:r w:rsidRPr="000F7E56">
        <w:rPr>
          <w:rFonts w:ascii="Calibri" w:eastAsia="Calibri" w:hAnsi="Calibri" w:cs="Arial"/>
        </w:rPr>
        <w:t xml:space="preserve">burden on health services and professionals. In WS1, we completed the remaining interviews for existing participants by telephone, also amended the timeline for these in the protocol from six months to six to nine months. We recognised that in these challenging times it was not possible for us to review all medical records as originally planned so we amended the relevant text in the protocol to capture this. In WS2, we took telephone consent for remaining participants and completed the single interview for these by telephone. In WS3, we amended the workshops to be either, face to face, via webinar or by individually completing a workbook via email. </w:t>
      </w:r>
    </w:p>
    <w:p w14:paraId="5DA72113" w14:textId="3D216EF4" w:rsidR="000F7E56" w:rsidRPr="000F7E56" w:rsidRDefault="000F7E56" w:rsidP="000F7E56">
      <w:pPr>
        <w:autoSpaceDE w:val="0"/>
        <w:autoSpaceDN w:val="0"/>
        <w:adjustRightInd w:val="0"/>
        <w:spacing w:after="120" w:line="360" w:lineRule="auto"/>
        <w:rPr>
          <w:rFonts w:ascii="Calibri" w:eastAsia="Calibri" w:hAnsi="Calibri" w:cs="Calibri"/>
        </w:rPr>
      </w:pPr>
      <w:r w:rsidRPr="000F7E56">
        <w:rPr>
          <w:rFonts w:ascii="Calibri" w:eastAsia="Calibri" w:hAnsi="Calibri" w:cs="Arial"/>
        </w:rPr>
        <w:lastRenderedPageBreak/>
        <w:t xml:space="preserve">Although COVID-19 did not unduly affect the scientific quality of the project it impacted on the progress of analysis and development of WS3. The CI was redeployed clinically for 5 months from April to </w:t>
      </w:r>
      <w:r w:rsidR="000F7AD1">
        <w:rPr>
          <w:rFonts w:ascii="Calibri" w:eastAsia="Calibri" w:hAnsi="Calibri" w:cs="Arial"/>
        </w:rPr>
        <w:t xml:space="preserve">the </w:t>
      </w:r>
      <w:r w:rsidRPr="000F7E56">
        <w:rPr>
          <w:rFonts w:ascii="Calibri" w:eastAsia="Calibri" w:hAnsi="Calibri" w:cs="Arial"/>
        </w:rPr>
        <w:t xml:space="preserve">end </w:t>
      </w:r>
      <w:r w:rsidR="000F7AD1">
        <w:rPr>
          <w:rFonts w:ascii="Calibri" w:eastAsia="Calibri" w:hAnsi="Calibri" w:cs="Arial"/>
        </w:rPr>
        <w:t>of</w:t>
      </w:r>
      <w:r w:rsidR="000339C7">
        <w:rPr>
          <w:rFonts w:ascii="Calibri" w:eastAsia="Calibri" w:hAnsi="Calibri" w:cs="Arial"/>
        </w:rPr>
        <w:t xml:space="preserve"> </w:t>
      </w:r>
      <w:r w:rsidRPr="000F7E56">
        <w:rPr>
          <w:rFonts w:ascii="Calibri" w:eastAsia="Calibri" w:hAnsi="Calibri" w:cs="Arial"/>
        </w:rPr>
        <w:t xml:space="preserve">August 2020. This in turn had a knock-on effect to the timeline for study outputs. </w:t>
      </w:r>
      <w:r w:rsidRPr="000F7E56">
        <w:rPr>
          <w:rFonts w:ascii="Calibri" w:eastAsia="Calibri" w:hAnsi="Calibri" w:cs="Calibri"/>
        </w:rPr>
        <w:t xml:space="preserve">Hence a case was put forward and subsequently granted for a five-month costed extension. </w:t>
      </w:r>
    </w:p>
    <w:p w14:paraId="25D5C8B8" w14:textId="5E739B8A" w:rsidR="0063521E" w:rsidRDefault="00E4240F" w:rsidP="000F7E56">
      <w:pPr>
        <w:spacing w:after="120" w:line="360" w:lineRule="auto"/>
        <w:rPr>
          <w:rFonts w:ascii="Calibri" w:eastAsia="Calibri" w:hAnsi="Calibri" w:cs="Calibri"/>
        </w:rPr>
      </w:pPr>
      <w:r w:rsidRPr="00E4240F">
        <w:rPr>
          <w:rFonts w:ascii="Calibri" w:eastAsia="Calibri" w:hAnsi="Calibri" w:cs="Calibri"/>
        </w:rPr>
        <w:t xml:space="preserve">As a research team we believe that not offering vulnerable people the </w:t>
      </w:r>
      <w:r w:rsidR="00435355">
        <w:rPr>
          <w:rFonts w:ascii="Calibri" w:eastAsia="Calibri" w:hAnsi="Calibri" w:cs="Calibri"/>
        </w:rPr>
        <w:t>choice t</w:t>
      </w:r>
      <w:r w:rsidRPr="00E4240F">
        <w:rPr>
          <w:rFonts w:ascii="Calibri" w:eastAsia="Calibri" w:hAnsi="Calibri" w:cs="Calibri"/>
        </w:rPr>
        <w:t xml:space="preserve">o take part in research because of assumptions made about their experiences and preferences to be </w:t>
      </w:r>
      <w:r w:rsidR="00435355">
        <w:rPr>
          <w:rFonts w:ascii="Calibri" w:eastAsia="Calibri" w:hAnsi="Calibri" w:cs="Calibri"/>
        </w:rPr>
        <w:t>inequitable</w:t>
      </w:r>
      <w:r w:rsidRPr="00E4240F">
        <w:rPr>
          <w:rFonts w:ascii="Calibri" w:eastAsia="Calibri" w:hAnsi="Calibri" w:cs="Calibri"/>
        </w:rPr>
        <w:t xml:space="preserve"> and exclusionary.114–117</w:t>
      </w:r>
      <w:r>
        <w:rPr>
          <w:rFonts w:ascii="Calibri" w:eastAsia="Calibri" w:hAnsi="Calibri" w:cs="Calibri"/>
        </w:rPr>
        <w:t xml:space="preserve"> </w:t>
      </w:r>
      <w:r w:rsidR="0063521E">
        <w:rPr>
          <w:rFonts w:ascii="Calibri" w:eastAsia="Calibri" w:hAnsi="Calibri" w:cs="Calibri"/>
        </w:rPr>
        <w:t xml:space="preserve">We also recognise that any research engaging with severely ill patients and bereaved FCGs presents challenges and needs to be broached with sensitivity and flexibility through the research process. </w:t>
      </w:r>
    </w:p>
    <w:p w14:paraId="5009D03F" w14:textId="6A9CF43F" w:rsidR="000F7E56" w:rsidRPr="000F7E56" w:rsidRDefault="00E4240F" w:rsidP="000F7E56">
      <w:pPr>
        <w:spacing w:after="120" w:line="360" w:lineRule="auto"/>
        <w:rPr>
          <w:rFonts w:ascii="Calibri" w:eastAsia="Calibri" w:hAnsi="Calibri" w:cs="Calibri"/>
        </w:rPr>
      </w:pPr>
      <w:r>
        <w:rPr>
          <w:rFonts w:ascii="Calibri" w:eastAsia="Calibri" w:hAnsi="Calibri" w:cs="Calibri"/>
        </w:rPr>
        <w:t>P</w:t>
      </w:r>
      <w:r w:rsidR="000F7E56" w:rsidRPr="000F7E56">
        <w:rPr>
          <w:rFonts w:ascii="Calibri" w:eastAsia="Calibri" w:hAnsi="Calibri" w:cs="Calibri"/>
        </w:rPr>
        <w:t xml:space="preserve">rior to the decision to take part, participants were asked to </w:t>
      </w:r>
      <w:r w:rsidR="0063521E" w:rsidRPr="000F7E56">
        <w:rPr>
          <w:rFonts w:ascii="Calibri" w:eastAsia="Calibri" w:hAnsi="Calibri" w:cs="Calibri"/>
        </w:rPr>
        <w:t>contemplate</w:t>
      </w:r>
      <w:r w:rsidR="000F7E56" w:rsidRPr="000F7E56">
        <w:rPr>
          <w:rFonts w:ascii="Calibri" w:eastAsia="Calibri" w:hAnsi="Calibri" w:cs="Calibri"/>
        </w:rPr>
        <w:t xml:space="preserve"> how they would feel about </w:t>
      </w:r>
      <w:r w:rsidR="0063521E" w:rsidRPr="000F7E56">
        <w:rPr>
          <w:rFonts w:ascii="Calibri" w:eastAsia="Calibri" w:hAnsi="Calibri" w:cs="Calibri"/>
        </w:rPr>
        <w:t>deliberating</w:t>
      </w:r>
      <w:r w:rsidR="000F7E56" w:rsidRPr="000F7E56">
        <w:rPr>
          <w:rFonts w:ascii="Calibri" w:eastAsia="Calibri" w:hAnsi="Calibri" w:cs="Calibri"/>
        </w:rPr>
        <w:t xml:space="preserve"> their experience of illness and dying. They were assured that participation was voluntary and that they could withdraw from the study at any time. To further mitigate the potential risks for participants and researchers an information sheet with contacts for further information or support, and a follow-up phone call with the study CI</w:t>
      </w:r>
      <w:r w:rsidR="007A60BC">
        <w:rPr>
          <w:rFonts w:ascii="Calibri" w:eastAsia="Calibri" w:hAnsi="Calibri" w:cs="Calibri"/>
        </w:rPr>
        <w:t>,</w:t>
      </w:r>
      <w:r w:rsidR="000F7E56" w:rsidRPr="000F7E56">
        <w:rPr>
          <w:rFonts w:ascii="Calibri" w:eastAsia="Calibri" w:hAnsi="Calibri" w:cs="Calibri"/>
        </w:rPr>
        <w:t xml:space="preserve"> if desired</w:t>
      </w:r>
      <w:r w:rsidR="007A60BC">
        <w:rPr>
          <w:rFonts w:ascii="Calibri" w:eastAsia="Calibri" w:hAnsi="Calibri" w:cs="Calibri"/>
        </w:rPr>
        <w:t>,</w:t>
      </w:r>
      <w:r w:rsidR="000F7E56" w:rsidRPr="000F7E56">
        <w:rPr>
          <w:rFonts w:ascii="Calibri" w:eastAsia="Calibri" w:hAnsi="Calibri" w:cs="Calibri"/>
        </w:rPr>
        <w:t xml:space="preserve"> was also provided. We developed a ‘pyramid of support needs’ to manage distress within the study which comprised assessment by the interviewer of:</w:t>
      </w:r>
      <w:r w:rsidR="000F7AD1">
        <w:rPr>
          <w:rFonts w:ascii="Calibri" w:eastAsia="Calibri" w:hAnsi="Calibri" w:cs="Calibri"/>
        </w:rPr>
        <w:t xml:space="preserve"> </w:t>
      </w:r>
      <w:r w:rsidR="000F7E56" w:rsidRPr="000F7E56">
        <w:rPr>
          <w:rFonts w:ascii="Calibri" w:eastAsia="Calibri" w:hAnsi="Calibri" w:cs="Calibri"/>
        </w:rPr>
        <w:t>(1) no support required; (2) signposting to GP (3) written information provided about local third sector organisations (4) formal referral initiated for counselling (via Study CI). Patients’ GPs were also informed that they were participants in this study to enable the GP to document this in their medical records as evidence of participation.</w:t>
      </w:r>
    </w:p>
    <w:p w14:paraId="2386D3D6" w14:textId="77777777" w:rsidR="000F7E56" w:rsidRPr="00A662A8" w:rsidRDefault="000F7E56" w:rsidP="00A662A8">
      <w:pPr>
        <w:pStyle w:val="Heading2"/>
        <w:rPr>
          <w:rFonts w:eastAsia="Times New Roman"/>
          <w:sz w:val="24"/>
          <w:szCs w:val="24"/>
        </w:rPr>
      </w:pPr>
      <w:bookmarkStart w:id="107" w:name="_Toc89665151"/>
      <w:bookmarkStart w:id="108" w:name="_Toc89671904"/>
      <w:bookmarkStart w:id="109" w:name="_Toc89763954"/>
      <w:bookmarkStart w:id="110" w:name="_Toc106697780"/>
      <w:r w:rsidRPr="00A662A8">
        <w:rPr>
          <w:rFonts w:eastAsia="Times New Roman"/>
          <w:sz w:val="24"/>
          <w:szCs w:val="24"/>
        </w:rPr>
        <w:t>Eligibility</w:t>
      </w:r>
      <w:bookmarkEnd w:id="107"/>
      <w:bookmarkEnd w:id="108"/>
      <w:bookmarkEnd w:id="109"/>
      <w:bookmarkEnd w:id="110"/>
    </w:p>
    <w:p w14:paraId="06796F25" w14:textId="4C7092D1" w:rsidR="000F7E56" w:rsidRDefault="000F7E56" w:rsidP="00137BB7">
      <w:pPr>
        <w:pStyle w:val="Heading3"/>
        <w:rPr>
          <w:rFonts w:eastAsia="Times New Roman"/>
        </w:rPr>
      </w:pPr>
      <w:bookmarkStart w:id="111" w:name="_Toc89665152"/>
      <w:bookmarkStart w:id="112" w:name="_Toc89671905"/>
      <w:bookmarkStart w:id="113" w:name="_Toc89763955"/>
      <w:bookmarkStart w:id="114" w:name="_Toc106697781"/>
      <w:r w:rsidRPr="000F7E56">
        <w:rPr>
          <w:rFonts w:eastAsia="Times New Roman"/>
        </w:rPr>
        <w:t>W</w:t>
      </w:r>
      <w:r w:rsidR="00137BB7">
        <w:rPr>
          <w:rFonts w:eastAsia="Times New Roman"/>
        </w:rPr>
        <w:t xml:space="preserve">ork </w:t>
      </w:r>
      <w:r w:rsidRPr="000F7E56">
        <w:rPr>
          <w:rFonts w:eastAsia="Times New Roman"/>
        </w:rPr>
        <w:t>S</w:t>
      </w:r>
      <w:r w:rsidR="00137BB7">
        <w:rPr>
          <w:rFonts w:eastAsia="Times New Roman"/>
        </w:rPr>
        <w:t xml:space="preserve">tream </w:t>
      </w:r>
      <w:r w:rsidRPr="000F7E56">
        <w:rPr>
          <w:rFonts w:eastAsia="Times New Roman"/>
        </w:rPr>
        <w:t xml:space="preserve">1: </w:t>
      </w:r>
      <w:r w:rsidR="008555B3">
        <w:rPr>
          <w:rFonts w:eastAsia="Times New Roman"/>
        </w:rPr>
        <w:t>l</w:t>
      </w:r>
      <w:r w:rsidRPr="000F7E56">
        <w:rPr>
          <w:rFonts w:eastAsia="Times New Roman"/>
        </w:rPr>
        <w:t>ongitudinal patient case-studies</w:t>
      </w:r>
      <w:bookmarkEnd w:id="111"/>
      <w:bookmarkEnd w:id="112"/>
      <w:bookmarkEnd w:id="113"/>
      <w:bookmarkEnd w:id="114"/>
    </w:p>
    <w:p w14:paraId="7BA98CF8" w14:textId="77777777" w:rsidR="00137BB7" w:rsidRPr="00137BB7" w:rsidRDefault="00137BB7" w:rsidP="00A662A8"/>
    <w:p w14:paraId="3291FE94" w14:textId="6799E3FF" w:rsidR="000F7E56" w:rsidRPr="000F7E56" w:rsidRDefault="000F7E56" w:rsidP="000F7E56">
      <w:pPr>
        <w:spacing w:after="120" w:line="360" w:lineRule="auto"/>
        <w:rPr>
          <w:rFonts w:ascii="Calibri" w:eastAsia="Calibri" w:hAnsi="Calibri" w:cs="Calibri"/>
          <w:lang w:val="en-US"/>
        </w:rPr>
      </w:pPr>
      <w:r w:rsidRPr="000F7E56">
        <w:rPr>
          <w:rFonts w:ascii="Calibri" w:eastAsia="Calibri" w:hAnsi="Calibri" w:cs="Calibri"/>
          <w:lang w:val="en-US"/>
        </w:rPr>
        <w:t xml:space="preserve">Patients: aged 18 or over from diverse ethnic backgrounds. This included ethnic minority groups (except the White British) and White </w:t>
      </w:r>
      <w:r w:rsidRPr="000F7E56">
        <w:rPr>
          <w:rFonts w:ascii="Calibri" w:eastAsia="SimSun" w:hAnsi="Calibri" w:cs="Calibri"/>
        </w:rPr>
        <w:t>minorities, such as European, Gypsy, Roma and Irish Traveller groups</w:t>
      </w:r>
      <w:r w:rsidRPr="000F7E56">
        <w:rPr>
          <w:rFonts w:ascii="Calibri" w:eastAsia="Calibri" w:hAnsi="Calibri" w:cs="Calibri"/>
          <w:lang w:val="en-US"/>
        </w:rPr>
        <w:t xml:space="preserve">  who were identified by their treating health professional as being at risk of deteriorating and dying in the next year (NB the participant information sheet addressed the question of why a patient has been identified using the phrase ‘because you are living with a serious illness that may get worse over the next year’).</w:t>
      </w:r>
      <w:r w:rsidRPr="000F7E56">
        <w:rPr>
          <w:rFonts w:ascii="Calibri" w:eastAsia="Calibri" w:hAnsi="Calibri" w:cs="Calibri"/>
          <w:lang w:val="en-US"/>
        </w:rPr>
        <w:fldChar w:fldCharType="begin"/>
      </w:r>
      <w:r w:rsidR="000D5597">
        <w:rPr>
          <w:rFonts w:ascii="Calibri" w:eastAsia="Calibri" w:hAnsi="Calibri" w:cs="Calibri"/>
          <w:lang w:val="en-US"/>
        </w:rPr>
        <w:instrText xml:space="preserve"> ADDIN ZOTERO_ITEM CSL_CITATION {"citationID":"aIUZUnbg","properties":{"formattedCitation":"\\super 1\\nosupersub{}","plainCitation":"1","noteIndex":0},"citationItems":[{"id":751,"uris":["http://zotero.org/users/8748280/items/4YHRWE62"],"itemData":{"id":751,"type":"webpage","abstract":"How we write about ethnicity, including our definition of ethnic minorities, words and phrases we use and avoid, and why we don’t use BAME or BME","language":"en","title":"Writing about ethnicity","URL":"https://www.ethnicity-facts-figures.service.gov.uk/style-guide/writing-about-ethnicity","accessed":{"date-parts":[["2021",11,9]]}}}],"schema":"https://github.com/citation-style-language/schema/raw/master/csl-citation.json"} </w:instrText>
      </w:r>
      <w:r w:rsidRPr="000F7E56">
        <w:rPr>
          <w:rFonts w:ascii="Calibri" w:eastAsia="Calibri" w:hAnsi="Calibri" w:cs="Calibri"/>
          <w:lang w:val="en-US"/>
        </w:rPr>
        <w:fldChar w:fldCharType="separate"/>
      </w:r>
      <w:r w:rsidR="00496C3B" w:rsidRPr="00496C3B">
        <w:rPr>
          <w:rFonts w:ascii="Calibri" w:hAnsi="Calibri" w:cs="Calibri"/>
          <w:szCs w:val="24"/>
          <w:vertAlign w:val="superscript"/>
        </w:rPr>
        <w:t>1</w:t>
      </w:r>
      <w:r w:rsidRPr="000F7E56">
        <w:rPr>
          <w:rFonts w:ascii="Calibri" w:eastAsia="Calibri" w:hAnsi="Calibri" w:cs="Calibri"/>
          <w:lang w:val="en-US"/>
        </w:rPr>
        <w:fldChar w:fldCharType="end"/>
      </w:r>
      <w:r w:rsidRPr="000F7E56">
        <w:rPr>
          <w:rFonts w:ascii="Calibri" w:eastAsia="Calibri" w:hAnsi="Calibri" w:cs="Calibri"/>
          <w:lang w:val="en-US"/>
        </w:rPr>
        <w:t xml:space="preserve"> Patients needed to agree to the use of an interpreter to translate on their behalf if required.  </w:t>
      </w:r>
    </w:p>
    <w:p w14:paraId="25E0509B" w14:textId="77777777" w:rsidR="000F7E56" w:rsidRPr="000F7E56" w:rsidRDefault="000F7E56" w:rsidP="000F7E56">
      <w:pPr>
        <w:spacing w:after="120" w:line="360" w:lineRule="auto"/>
        <w:rPr>
          <w:rFonts w:ascii="Calibri" w:eastAsia="Calibri" w:hAnsi="Calibri" w:cs="Calibri"/>
          <w:lang w:val="en-US"/>
        </w:rPr>
      </w:pPr>
      <w:r w:rsidRPr="000F7E56">
        <w:rPr>
          <w:rFonts w:ascii="Calibri" w:eastAsia="Calibri" w:hAnsi="Calibri" w:cs="Calibri"/>
          <w:lang w:val="en-US"/>
        </w:rPr>
        <w:t>FCGs: aged 18 or over who had capacity to consent to take part and were nominated by the patient participant. Where a patient lacked capacity to consent, the FCG who was closely involved in the care of the patient was nominated by the consultee.</w:t>
      </w:r>
      <w:r w:rsidRPr="000F7E56">
        <w:rPr>
          <w:rFonts w:ascii="Calibri" w:eastAsia="Calibri" w:hAnsi="Calibri" w:cs="Times New Roman"/>
        </w:rPr>
        <w:t xml:space="preserve"> See section below ‘</w:t>
      </w:r>
      <w:r w:rsidRPr="000F7E56">
        <w:rPr>
          <w:rFonts w:ascii="Calibri" w:eastAsia="Calibri" w:hAnsi="Calibri" w:cs="Calibri"/>
          <w:lang w:val="en-US"/>
        </w:rPr>
        <w:t>WS1: Longitudinal Patient case-studies’ for further details.</w:t>
      </w:r>
    </w:p>
    <w:p w14:paraId="2980FFCF" w14:textId="77777777" w:rsidR="000F7E56" w:rsidRPr="000F7E56" w:rsidRDefault="000F7E56" w:rsidP="000F7E56">
      <w:pPr>
        <w:spacing w:after="120" w:line="360" w:lineRule="auto"/>
        <w:rPr>
          <w:rFonts w:ascii="Calibri" w:eastAsia="Calibri" w:hAnsi="Calibri" w:cs="Calibri"/>
          <w:lang w:val="en-US"/>
        </w:rPr>
      </w:pPr>
      <w:r w:rsidRPr="000F7E56">
        <w:rPr>
          <w:rFonts w:ascii="Calibri" w:eastAsia="Calibri" w:hAnsi="Calibri" w:cs="Calibri"/>
          <w:lang w:val="en-US"/>
        </w:rPr>
        <w:lastRenderedPageBreak/>
        <w:t>HCPs: an HCP was nominated by each patient participant as currently significant to their care. They may have been drawn from a wide range of staff (including doctors, nurses and healthcare assistants) in services within the community and secondary care. For patients who lacked capacity the consultee was asked to nominate the HCP.</w:t>
      </w:r>
    </w:p>
    <w:p w14:paraId="54E27633" w14:textId="15CD3D00" w:rsidR="000F7E56" w:rsidRDefault="00A662A8" w:rsidP="00137BB7">
      <w:pPr>
        <w:pStyle w:val="Heading3"/>
        <w:rPr>
          <w:rFonts w:eastAsia="Times New Roman"/>
          <w:lang w:val="en-US"/>
        </w:rPr>
      </w:pPr>
      <w:bookmarkStart w:id="115" w:name="_Toc89665153"/>
      <w:bookmarkStart w:id="116" w:name="_Toc89671906"/>
      <w:bookmarkStart w:id="117" w:name="_Toc89763956"/>
      <w:bookmarkStart w:id="118" w:name="_Toc106697782"/>
      <w:r>
        <w:rPr>
          <w:rFonts w:eastAsia="Times New Roman"/>
        </w:rPr>
        <w:t>Work Stream 2:</w:t>
      </w:r>
      <w:r w:rsidR="000F7E56" w:rsidRPr="000F7E56">
        <w:rPr>
          <w:rFonts w:eastAsia="Times New Roman"/>
        </w:rPr>
        <w:t xml:space="preserve"> </w:t>
      </w:r>
      <w:r w:rsidR="008555B3">
        <w:rPr>
          <w:rFonts w:eastAsia="Times New Roman"/>
          <w:lang w:val="en-US"/>
        </w:rPr>
        <w:t>e</w:t>
      </w:r>
      <w:r w:rsidR="000F7E56" w:rsidRPr="000F7E56">
        <w:rPr>
          <w:rFonts w:eastAsia="Times New Roman"/>
          <w:lang w:val="en-US"/>
        </w:rPr>
        <w:t>xperiences of bereaved relatives</w:t>
      </w:r>
      <w:bookmarkEnd w:id="115"/>
      <w:bookmarkEnd w:id="116"/>
      <w:bookmarkEnd w:id="117"/>
      <w:bookmarkEnd w:id="118"/>
    </w:p>
    <w:p w14:paraId="0EDD5FBE" w14:textId="77777777" w:rsidR="00137BB7" w:rsidRPr="00137BB7" w:rsidRDefault="00137BB7" w:rsidP="00A662A8">
      <w:pPr>
        <w:rPr>
          <w:lang w:val="en-US"/>
        </w:rPr>
      </w:pPr>
    </w:p>
    <w:p w14:paraId="5DAEAE00" w14:textId="130ABCD3" w:rsidR="000F7E56" w:rsidRDefault="00A11180" w:rsidP="000F7E56">
      <w:pPr>
        <w:spacing w:after="120" w:line="360" w:lineRule="auto"/>
        <w:rPr>
          <w:rFonts w:ascii="Calibri" w:eastAsia="Calibri" w:hAnsi="Calibri" w:cs="Calibri"/>
          <w:lang w:val="en-US"/>
        </w:rPr>
      </w:pPr>
      <w:r>
        <w:rPr>
          <w:rFonts w:ascii="Calibri" w:eastAsia="Calibri" w:hAnsi="Calibri" w:cs="Calibri"/>
          <w:lang w:val="en-US"/>
        </w:rPr>
        <w:t>BFGCs</w:t>
      </w:r>
      <w:r w:rsidR="000F7E56" w:rsidRPr="000F7E56">
        <w:rPr>
          <w:rFonts w:ascii="Calibri" w:eastAsia="Calibri" w:hAnsi="Calibri" w:cs="Calibri"/>
          <w:lang w:val="en-US"/>
        </w:rPr>
        <w:t xml:space="preserve"> were over 18 and had cared for a close adult family member from an diverse ethnic background. This included ethnic minority groups (except the White British) and White minorities, such as European, Gypsy, Roma and Irish </w:t>
      </w:r>
      <w:proofErr w:type="spellStart"/>
      <w:r w:rsidR="000F7E56" w:rsidRPr="000F7E56">
        <w:rPr>
          <w:rFonts w:ascii="Calibri" w:eastAsia="Calibri" w:hAnsi="Calibri" w:cs="Calibri"/>
          <w:lang w:val="en-US"/>
        </w:rPr>
        <w:t>Traveller</w:t>
      </w:r>
      <w:proofErr w:type="spellEnd"/>
      <w:r w:rsidR="000F7E56" w:rsidRPr="000F7E56">
        <w:rPr>
          <w:rFonts w:ascii="Calibri" w:eastAsia="Calibri" w:hAnsi="Calibri" w:cs="Calibri"/>
          <w:lang w:val="en-US"/>
        </w:rPr>
        <w:t xml:space="preserve"> groups who had died within the past 3-12 months from a progressive illness. </w:t>
      </w:r>
    </w:p>
    <w:p w14:paraId="115615C3" w14:textId="77777777" w:rsidR="00137BB7" w:rsidRPr="000F7E56" w:rsidRDefault="00137BB7" w:rsidP="000F7E56">
      <w:pPr>
        <w:spacing w:after="120" w:line="360" w:lineRule="auto"/>
        <w:rPr>
          <w:rFonts w:ascii="Calibri" w:eastAsia="Calibri" w:hAnsi="Calibri" w:cs="Calibri"/>
          <w:b/>
          <w:lang w:val="en-US"/>
        </w:rPr>
      </w:pPr>
    </w:p>
    <w:p w14:paraId="2E8D9290" w14:textId="13E19353" w:rsidR="000F7E56" w:rsidRDefault="00A662A8" w:rsidP="00A662A8">
      <w:pPr>
        <w:pStyle w:val="Heading3"/>
      </w:pPr>
      <w:bookmarkStart w:id="119" w:name="_Toc89665154"/>
      <w:bookmarkStart w:id="120" w:name="_Toc89671907"/>
      <w:bookmarkStart w:id="121" w:name="_Toc89763957"/>
      <w:bookmarkStart w:id="122" w:name="_Toc106697783"/>
      <w:r>
        <w:t>Work Stream 3:</w:t>
      </w:r>
      <w:r w:rsidR="000F7E56" w:rsidRPr="00A662A8">
        <w:t xml:space="preserve"> </w:t>
      </w:r>
      <w:r w:rsidR="008555B3">
        <w:t>p</w:t>
      </w:r>
      <w:r w:rsidR="000F7E56" w:rsidRPr="00A662A8">
        <w:t>ublic and professional virtual workshops</w:t>
      </w:r>
      <w:bookmarkEnd w:id="119"/>
      <w:bookmarkEnd w:id="120"/>
      <w:bookmarkEnd w:id="121"/>
      <w:bookmarkEnd w:id="122"/>
      <w:r w:rsidR="000F7E56" w:rsidRPr="00A662A8">
        <w:t xml:space="preserve"> </w:t>
      </w:r>
    </w:p>
    <w:p w14:paraId="4FDD91AC" w14:textId="77777777" w:rsidR="00A12C7D" w:rsidRPr="00A12C7D" w:rsidRDefault="00A12C7D" w:rsidP="00A12C7D"/>
    <w:p w14:paraId="083C650C" w14:textId="77777777" w:rsidR="000F7E56" w:rsidRPr="000F7E56" w:rsidRDefault="000F7E56" w:rsidP="000F7E56">
      <w:pPr>
        <w:spacing w:after="200" w:line="360" w:lineRule="auto"/>
        <w:rPr>
          <w:rFonts w:ascii="Calibri" w:eastAsia="Calibri" w:hAnsi="Calibri" w:cs="Calibri"/>
          <w:lang w:val="en-US"/>
        </w:rPr>
      </w:pPr>
      <w:r w:rsidRPr="000F7E56">
        <w:rPr>
          <w:rFonts w:ascii="Calibri" w:eastAsia="Calibri" w:hAnsi="Calibri" w:cs="Calibri"/>
          <w:lang w:val="en-US"/>
        </w:rPr>
        <w:t>The potential participants included:</w:t>
      </w:r>
    </w:p>
    <w:p w14:paraId="0FFD42D2" w14:textId="5EE4DB8D" w:rsidR="000F7E56" w:rsidRPr="000F7E56" w:rsidRDefault="000F7E56" w:rsidP="00C76FEB">
      <w:pPr>
        <w:spacing w:after="120" w:line="360" w:lineRule="auto"/>
        <w:ind w:left="357" w:hanging="357"/>
        <w:rPr>
          <w:rFonts w:ascii="Calibri" w:eastAsia="Calibri" w:hAnsi="Calibri" w:cs="Calibri"/>
          <w:lang w:val="en-US"/>
        </w:rPr>
      </w:pPr>
      <w:r w:rsidRPr="000F7E56">
        <w:rPr>
          <w:rFonts w:ascii="Calibri" w:eastAsia="Calibri" w:hAnsi="Calibri" w:cs="Calibri"/>
          <w:lang w:val="en-US"/>
        </w:rPr>
        <w:t>•</w:t>
      </w:r>
      <w:r w:rsidRPr="000F7E56">
        <w:rPr>
          <w:rFonts w:ascii="Calibri" w:eastAsia="Calibri" w:hAnsi="Calibri" w:cs="Calibri"/>
          <w:lang w:val="en-US"/>
        </w:rPr>
        <w:tab/>
        <w:t>public stakeholders including faith and community figureheads across Leicester and Nottingha</w:t>
      </w:r>
      <w:r w:rsidR="008072F5">
        <w:rPr>
          <w:rFonts w:ascii="Calibri" w:eastAsia="Calibri" w:hAnsi="Calibri" w:cs="Calibri"/>
          <w:lang w:val="en-US"/>
        </w:rPr>
        <w:t>m</w:t>
      </w:r>
      <w:r w:rsidRPr="000F7E56">
        <w:rPr>
          <w:rFonts w:ascii="Calibri" w:eastAsia="Calibri" w:hAnsi="Calibri" w:cs="Calibri"/>
          <w:lang w:val="en-US"/>
        </w:rPr>
        <w:t xml:space="preserve">; </w:t>
      </w:r>
    </w:p>
    <w:p w14:paraId="01F93461" w14:textId="77777777" w:rsidR="000F7E56" w:rsidRPr="000F7E56" w:rsidRDefault="000F7E56" w:rsidP="00C76FEB">
      <w:pPr>
        <w:spacing w:after="120" w:line="360" w:lineRule="auto"/>
        <w:ind w:left="357" w:hanging="357"/>
        <w:rPr>
          <w:rFonts w:ascii="Calibri" w:eastAsia="Calibri" w:hAnsi="Calibri" w:cs="Calibri"/>
          <w:lang w:val="en-US"/>
        </w:rPr>
      </w:pPr>
      <w:r w:rsidRPr="000F7E56">
        <w:rPr>
          <w:rFonts w:ascii="Calibri" w:eastAsia="Calibri" w:hAnsi="Calibri" w:cs="Calibri"/>
          <w:lang w:val="en-US"/>
        </w:rPr>
        <w:t>•</w:t>
      </w:r>
      <w:r w:rsidRPr="000F7E56">
        <w:rPr>
          <w:rFonts w:ascii="Calibri" w:eastAsia="Calibri" w:hAnsi="Calibri" w:cs="Calibri"/>
          <w:lang w:val="en-US"/>
        </w:rPr>
        <w:tab/>
        <w:t>commissioners of health, social care and health education across the East Midlands;</w:t>
      </w:r>
    </w:p>
    <w:p w14:paraId="505B28A8" w14:textId="77777777" w:rsidR="000F7E56" w:rsidRPr="000F7E56" w:rsidRDefault="000F7E56" w:rsidP="00C76FEB">
      <w:pPr>
        <w:spacing w:after="120" w:line="360" w:lineRule="auto"/>
        <w:ind w:left="357" w:hanging="357"/>
        <w:rPr>
          <w:rFonts w:ascii="Calibri" w:eastAsia="Calibri" w:hAnsi="Calibri" w:cs="Calibri"/>
          <w:lang w:val="en-US"/>
        </w:rPr>
      </w:pPr>
      <w:bookmarkStart w:id="123" w:name="_Hlk89665756"/>
      <w:r w:rsidRPr="000F7E56">
        <w:rPr>
          <w:rFonts w:ascii="Calibri" w:eastAsia="Calibri" w:hAnsi="Calibri" w:cs="Calibri"/>
          <w:lang w:val="en-US"/>
        </w:rPr>
        <w:t>•</w:t>
      </w:r>
      <w:r w:rsidRPr="000F7E56">
        <w:rPr>
          <w:rFonts w:ascii="Calibri" w:eastAsia="Calibri" w:hAnsi="Calibri" w:cs="Calibri"/>
          <w:lang w:val="en-US"/>
        </w:rPr>
        <w:tab/>
        <w:t xml:space="preserve">health care educators in nursing and medical schools across acute and community Trusts and hospices; </w:t>
      </w:r>
    </w:p>
    <w:bookmarkEnd w:id="123"/>
    <w:p w14:paraId="54339072" w14:textId="77777777" w:rsidR="000F7E56" w:rsidRPr="000F7E56" w:rsidRDefault="000F7E56" w:rsidP="00C76FEB">
      <w:pPr>
        <w:spacing w:after="120" w:line="360" w:lineRule="auto"/>
        <w:ind w:left="357" w:hanging="357"/>
        <w:rPr>
          <w:rFonts w:ascii="Calibri" w:eastAsia="Calibri" w:hAnsi="Calibri" w:cs="Calibri"/>
          <w:lang w:val="en-US"/>
        </w:rPr>
      </w:pPr>
      <w:r w:rsidRPr="000F7E56">
        <w:rPr>
          <w:rFonts w:ascii="Calibri" w:eastAsia="Calibri" w:hAnsi="Calibri" w:cs="Calibri"/>
          <w:lang w:val="en-US"/>
        </w:rPr>
        <w:t>•</w:t>
      </w:r>
      <w:r w:rsidRPr="000F7E56">
        <w:rPr>
          <w:rFonts w:ascii="Calibri" w:eastAsia="Calibri" w:hAnsi="Calibri" w:cs="Calibri"/>
          <w:lang w:val="en-US"/>
        </w:rPr>
        <w:tab/>
        <w:t>health and social care professionals;</w:t>
      </w:r>
    </w:p>
    <w:p w14:paraId="593946F8" w14:textId="77777777" w:rsidR="000F7E56" w:rsidRPr="000F7E56" w:rsidRDefault="000F7E56" w:rsidP="00C76FEB">
      <w:pPr>
        <w:spacing w:after="120" w:line="360" w:lineRule="auto"/>
        <w:ind w:left="357" w:hanging="357"/>
        <w:rPr>
          <w:rFonts w:ascii="Calibri" w:eastAsia="Calibri" w:hAnsi="Calibri" w:cs="Calibri"/>
          <w:lang w:val="en-US"/>
        </w:rPr>
      </w:pPr>
      <w:r w:rsidRPr="000F7E56">
        <w:rPr>
          <w:rFonts w:ascii="Calibri" w:eastAsia="Calibri" w:hAnsi="Calibri" w:cs="Calibri"/>
          <w:lang w:val="en-US"/>
        </w:rPr>
        <w:t>•</w:t>
      </w:r>
      <w:r w:rsidRPr="000F7E56">
        <w:rPr>
          <w:rFonts w:ascii="Calibri" w:eastAsia="Calibri" w:hAnsi="Calibri" w:cs="Calibri"/>
          <w:lang w:val="en-US"/>
        </w:rPr>
        <w:tab/>
        <w:t>academics focusing on end-of life issues.</w:t>
      </w:r>
    </w:p>
    <w:p w14:paraId="056484F8" w14:textId="4A397AFC" w:rsidR="000F7E56" w:rsidRDefault="000F7E56" w:rsidP="000F7E56">
      <w:pPr>
        <w:keepNext/>
        <w:keepLines/>
        <w:spacing w:before="40" w:after="0" w:line="276" w:lineRule="auto"/>
        <w:outlineLvl w:val="1"/>
        <w:rPr>
          <w:rFonts w:ascii="Calibri" w:eastAsia="Calibri" w:hAnsi="Calibri" w:cs="Calibri"/>
          <w:lang w:val="en-US"/>
        </w:rPr>
      </w:pPr>
      <w:bookmarkStart w:id="124" w:name="_Toc89665155"/>
    </w:p>
    <w:p w14:paraId="1A2FFF80" w14:textId="03D29C22" w:rsidR="00A12C7D" w:rsidRDefault="00A12C7D" w:rsidP="000F7E56">
      <w:pPr>
        <w:keepNext/>
        <w:keepLines/>
        <w:spacing w:before="40" w:after="0" w:line="276" w:lineRule="auto"/>
        <w:outlineLvl w:val="1"/>
        <w:rPr>
          <w:rFonts w:ascii="Calibri" w:eastAsia="Calibri" w:hAnsi="Calibri" w:cs="Calibri"/>
          <w:lang w:val="en-US"/>
        </w:rPr>
      </w:pPr>
    </w:p>
    <w:p w14:paraId="41BC73EE" w14:textId="77777777" w:rsidR="00A12C7D" w:rsidRPr="000F7E56" w:rsidRDefault="00A12C7D" w:rsidP="000F7E56">
      <w:pPr>
        <w:keepNext/>
        <w:keepLines/>
        <w:spacing w:before="40" w:after="0" w:line="276" w:lineRule="auto"/>
        <w:outlineLvl w:val="1"/>
        <w:rPr>
          <w:rFonts w:ascii="Calibri" w:eastAsia="Calibri" w:hAnsi="Calibri" w:cs="Calibri"/>
          <w:lang w:val="en-US"/>
        </w:rPr>
      </w:pPr>
    </w:p>
    <w:p w14:paraId="7C4DCEA5" w14:textId="7B9CEE40" w:rsidR="000F7E56" w:rsidRDefault="000F7E56" w:rsidP="00A12C7D">
      <w:pPr>
        <w:pStyle w:val="Heading2"/>
        <w:rPr>
          <w:rFonts w:eastAsia="Times New Roman"/>
          <w:sz w:val="24"/>
          <w:szCs w:val="24"/>
        </w:rPr>
      </w:pPr>
      <w:bookmarkStart w:id="125" w:name="_Toc89671908"/>
      <w:bookmarkStart w:id="126" w:name="_Toc89763958"/>
      <w:bookmarkStart w:id="127" w:name="_Toc106697784"/>
      <w:r w:rsidRPr="00A12C7D">
        <w:rPr>
          <w:rFonts w:eastAsia="Times New Roman"/>
          <w:sz w:val="24"/>
          <w:szCs w:val="24"/>
        </w:rPr>
        <w:t>Sample size and structure</w:t>
      </w:r>
      <w:bookmarkEnd w:id="124"/>
      <w:bookmarkEnd w:id="125"/>
      <w:bookmarkEnd w:id="126"/>
      <w:bookmarkEnd w:id="127"/>
    </w:p>
    <w:p w14:paraId="4E6D17DE" w14:textId="77777777" w:rsidR="00A12C7D" w:rsidRPr="00A12C7D" w:rsidRDefault="00A12C7D" w:rsidP="00A12C7D"/>
    <w:p w14:paraId="4FFD84C1" w14:textId="0BF05E7F" w:rsidR="000F7E56" w:rsidRPr="000F7E56" w:rsidRDefault="000F7E56" w:rsidP="000F7E56">
      <w:pPr>
        <w:spacing w:after="200" w:line="360" w:lineRule="auto"/>
        <w:jc w:val="both"/>
        <w:rPr>
          <w:rFonts w:ascii="Calibri" w:eastAsia="Calibri" w:hAnsi="Calibri" w:cs="Calibri"/>
        </w:rPr>
      </w:pPr>
      <w:r w:rsidRPr="000F7E56">
        <w:rPr>
          <w:rFonts w:ascii="Calibri" w:eastAsia="Calibri" w:hAnsi="Calibri" w:cs="Calibri"/>
        </w:rPr>
        <w:t>There are no hard and fast criteria for establishing the sample size required in qualitative research.</w:t>
      </w:r>
      <w:r w:rsidRPr="000F7E56">
        <w:rPr>
          <w:rFonts w:ascii="Calibri" w:eastAsia="Calibri" w:hAnsi="Calibri" w:cs="Calibri"/>
        </w:rPr>
        <w:fldChar w:fldCharType="begin"/>
      </w:r>
      <w:r w:rsidR="000D5597">
        <w:rPr>
          <w:rFonts w:ascii="Calibri" w:eastAsia="Calibri" w:hAnsi="Calibri" w:cs="Calibri"/>
        </w:rPr>
        <w:instrText xml:space="preserve"> ADDIN ZOTERO_ITEM CSL_CITATION {"citationID":"1PvOhDej","properties":{"formattedCitation":"\\super 118\\nosupersub{}","plainCitation":"118","noteIndex":0},"citationItems":[{"id":"aZbwIlcN/JgyKOyYK","uris":["http://zotero.org/users/6587080/items/8BAPW3VV"],"itemData":{"id":1981,"type":"report","abstract":"Students conducting a piece of qualitative research frequently ask ‘how many interviews is enough?’ Early\ncareer researchers and established academics also consider this question when designing research projects.\nIn this NCRM Methods Review paper we gather and review responses to the question of ‘how many’ from 14\nrenowned social scientists and 5 early career researchers. The riposte to the question of ‘how many’ from\nmost contributors is ‘it depends’. In considering what ‘it depends upon’ however, the responses offer\nguidance on the epistemological, methodological and practical issues to take into account when conducting\nresearch projects. This includes advice about assessing research aims and objectives, validity within\nepistemic communities and available time and resources.","genre":"Working Paper","language":"en","publisher":"NCRM","source":"eprints.ncrm.ac.uk","title":"How many qualitative interviews is enough","URL":"http://eprints.ncrm.ac.uk/2273/","author":[{"family":"Baker","given":"Sarah Elsie"},{"family":"Edwards","given":"Rosalind"}],"accessed":{"date-parts":[["2021",1,30]]},"issued":{"date-parts":[["2012",3,26]]}}}],"schema":"https://github.com/citation-style-language/schema/raw/master/csl-citation.json"} </w:instrText>
      </w:r>
      <w:r w:rsidRPr="000F7E56">
        <w:rPr>
          <w:rFonts w:ascii="Calibri" w:eastAsia="Calibri" w:hAnsi="Calibri" w:cs="Calibri"/>
        </w:rPr>
        <w:fldChar w:fldCharType="separate"/>
      </w:r>
      <w:r w:rsidR="00496C3B" w:rsidRPr="00496C3B">
        <w:rPr>
          <w:rFonts w:ascii="Calibri" w:hAnsi="Calibri" w:cs="Calibri"/>
          <w:szCs w:val="24"/>
          <w:vertAlign w:val="superscript"/>
        </w:rPr>
        <w:t>118</w:t>
      </w:r>
      <w:r w:rsidRPr="000F7E56">
        <w:rPr>
          <w:rFonts w:ascii="Calibri" w:eastAsia="Calibri" w:hAnsi="Calibri" w:cs="Calibri"/>
        </w:rPr>
        <w:fldChar w:fldCharType="end"/>
      </w:r>
      <w:r w:rsidRPr="000F7E56">
        <w:rPr>
          <w:rFonts w:ascii="Calibri" w:eastAsia="Calibri" w:hAnsi="Calibri" w:cs="Calibri"/>
        </w:rPr>
        <w:t xml:space="preserve"> Rather, this is determined by the circumstances and context of each study. Morse and </w:t>
      </w:r>
      <w:proofErr w:type="spellStart"/>
      <w:r w:rsidRPr="000F7E56">
        <w:rPr>
          <w:rFonts w:ascii="Calibri" w:eastAsia="Calibri" w:hAnsi="Calibri" w:cs="Calibri"/>
        </w:rPr>
        <w:t>Malterud</w:t>
      </w:r>
      <w:proofErr w:type="spellEnd"/>
      <w:r w:rsidRPr="000F7E56">
        <w:rPr>
          <w:rFonts w:ascii="Calibri" w:eastAsia="Calibri" w:hAnsi="Calibri" w:cs="Calibri"/>
        </w:rPr>
        <w:t xml:space="preserve"> et al  propose that the number of participants required depends in the range and depth of information collected about each participant or case (information power): the greater this is, the fewer participants are required.</w:t>
      </w:r>
      <w:r w:rsidRPr="000F7E56">
        <w:rPr>
          <w:rFonts w:ascii="Calibri" w:eastAsia="Calibri" w:hAnsi="Calibri" w:cs="Calibri"/>
        </w:rPr>
        <w:fldChar w:fldCharType="begin"/>
      </w:r>
      <w:r w:rsidR="000D5597">
        <w:rPr>
          <w:rFonts w:ascii="Calibri" w:eastAsia="Calibri" w:hAnsi="Calibri" w:cs="Calibri"/>
        </w:rPr>
        <w:instrText xml:space="preserve"> ADDIN ZOTERO_ITEM CSL_CITATION {"citationID":"Kd0NIZAN","properties":{"formattedCitation":"\\super 113,119\\nosupersub{}","plainCitation":"113,119","noteIndex":0},"citationItems":[{"id":"aZbwIlcN/9qY4pob5","uris":["http://zotero.org/users/6587080/items/C9SFD3KW"],"itemData":{"id":"AMorj3u4/EPHTBVxt","type":"article-journal","abstract":"Sample sizes must be ascertained in qualitative studies like in quantitative studies but not by the same means. The prevailing concept for sample size in qualitative studies is “saturation.” Saturation is closely tied to a specific methodology, and the term is inconsistently applied. We propose the concept “information power” to guide adequate sample size for qualitative studies. Information power indicates that the more information the sample holds, relevant for the actual study, the lower amount of participants is needed. We suggest that the size of a sample with sufficient information power depends on (a) the aim of the study, (b) sample specificity, (c) use of established theory, (d) quality of dialogue, and (e) analysis strategy. We present a model where these elements of information and their relevant dimensions are related to information power. Application of this model in the planning and during data collection of a qualitative study is discussed.","container-title":"Qualitative Health Research","DOI":"10.1177/1049732315617444","ISSN":"1049-7323","issue":"13","journalAbbreviation":"Qual Health Res","language":"en","page":"1753-1760","source":"SAGE Journals","title":"Sample Size in Qualitative Interview Studies: Guided by Information Power","title-short":"Sample Size in Qualitative Interview Studies","volume":"26","author":[{"family":"Malterud","given":"Kirsti"},{"family":"Siersma","given":"Volkert Dirk"},{"family":"Guassora","given":"Ann Dorrit"}],"issued":{"date-parts":[["2016",11,1]]}}},{"id":"aZbwIlcN/wXTyco69","uris":["http://zotero.org/users/6587080/items/ZDV5ND2Z"],"itemData":{"id":"AMorj3u4/1uHsikUD","type":"article-journal","container-title":"Qualitative Health Research","DOI":"10.1177/104973200129118183","ISSN":"1049-7323","issue":"1","journalAbbreviation":"Qual Health Res","language":"en","page":"3-5","source":"SAGE Journals","title":"Determining Sample Size","volume":"10","author":[{"family":"Morse","given":"Janice M."}],"issued":{"date-parts":[["2000",1,1]]}}}],"schema":"https://github.com/citation-style-language/schema/raw/master/csl-citation.json"} </w:instrText>
      </w:r>
      <w:r w:rsidRPr="000F7E56">
        <w:rPr>
          <w:rFonts w:ascii="Calibri" w:eastAsia="Calibri" w:hAnsi="Calibri" w:cs="Calibri"/>
        </w:rPr>
        <w:fldChar w:fldCharType="separate"/>
      </w:r>
      <w:r w:rsidR="000D5597" w:rsidRPr="000D5597">
        <w:rPr>
          <w:rFonts w:ascii="Calibri" w:hAnsi="Calibri" w:cs="Times New Roman"/>
          <w:szCs w:val="24"/>
          <w:vertAlign w:val="superscript"/>
        </w:rPr>
        <w:t>113,119</w:t>
      </w:r>
      <w:r w:rsidRPr="000F7E56">
        <w:rPr>
          <w:rFonts w:ascii="Calibri" w:eastAsia="Calibri" w:hAnsi="Calibri" w:cs="Calibri"/>
        </w:rPr>
        <w:fldChar w:fldCharType="end"/>
      </w:r>
      <w:r w:rsidRPr="000F7E56">
        <w:rPr>
          <w:rFonts w:ascii="Calibri" w:eastAsia="Calibri" w:hAnsi="Calibri" w:cs="Calibri"/>
        </w:rPr>
        <w:t xml:space="preserve"> A qualitative sample size of between 20 – 40 is likely to include the majority of views and experiences to be found within the target population and is in line with previous longitudinal studies in end-of-life care adopting a similar design and method.</w:t>
      </w:r>
      <w:r w:rsidRPr="000F7E56">
        <w:rPr>
          <w:rFonts w:ascii="Calibri" w:eastAsia="Calibri" w:hAnsi="Calibri" w:cs="Calibri"/>
        </w:rPr>
        <w:fldChar w:fldCharType="begin"/>
      </w:r>
      <w:r w:rsidR="000D5597">
        <w:rPr>
          <w:rFonts w:ascii="Calibri" w:eastAsia="Calibri" w:hAnsi="Calibri" w:cs="Calibri"/>
        </w:rPr>
        <w:instrText xml:space="preserve"> ADDIN ZOTERO_ITEM CSL_CITATION {"citationID":"qjR00OOX","properties":{"formattedCitation":"\\super 75,109,118,120\\nosupersub{}","plainCitation":"75,109,118,120","noteIndex":0},"citationItems":[{"id":"aZbwIlcN/ixzzP0d4","uris":["http://zotero.org/users/6587080/items/FMPAAJBE"],"itemData":{"id":533,"type":"article-journal","abstract":"Background: Advance care planning (ACP) enables patients to consider, discuss and, if they wish, document their wishes and preferences for future care, including decisions to refuse treatment, in the event that they lose capacity to make decisions for themselves. ACP is a key component of UK health policy to improve the experience of death and dying for patients and their families. There is limited evidence about how patients and health professionals understand ACP, or when and how this is initiated. It is evident that many people find discussion of and planning for end of life care difficult, and tend to avoid the topic. Aim: To investigate how patients, their relatives and health professionals initiate and experience discussion of ACP and the outcomes of advance discussions in shaping care at the end of life. Design and data collection: Qualitative study with two workstreams: (1) interviews with 37 health professionals (general practitioners, specialist nurses and community nurses) about their experiences of ACP; and (2) longitudinal case studies of 21 patients with 6-month follow-up. Cases included a patient and, where possible, a nominated key relative and/or health professional as well as a review of medical records. Complete case triads were obtained for 11 patients. Four cases comprised the patient alone, where respondents were unable or unwilling to nominate either a family member or a professional carer they wished to include in the study. Patients were identified as likely to be within the last 6 months of life. Ninety-seven interviews were completed in total. Setting: General practices and community care settings in the East Midlands of England. Findings: The study found ACP to be uncommon and focused primarily on specific documented tasks involving decisions about preferred place of death and cardiopulmonary resuscitation, supporting earlier research. There was no evidence of ACP in nearly half (9 of 21) of patient cases. Professionals reported ACP discussions to be challenging. It was difficult to recognise when patients had entered the last year of life, or to identify their readiness to consider future planning. Patients often did not wish to do so before they had become gravely ill. Consequently, ACP discussions tended to be reactive, rather than pre-emptive, occurring in response to critical events or evidence of marked deterioration. ACP discussions intersected two parallel strands of planning: professional organisation and co-ordination of care; and the practical and emotional preparatory work that patients and families undertook to prepare themselves for death. Reference to ACP as a means of guiding decisions for patients who had lost capacity was rare. Conclusions: Advance care planning remains uncommon, is often limited to documentation of a few key decisions, is reported to be challenging by many health professionals, is not welcomed by a substantial number of patients and tends to be postponed until death is clearly imminent. Current implementation largely ignores the purpose of ACP as a means of extending personal autonomy in the event of lost capacity. Future work: Attention should be paid to public attitudes to death and dying (including those of culturally diverse and ethnic minority groups), place of death, resuscitation and the value of anticipatory planning. In addition the experiences and needs of two under-researched groups should be explored: the frail elderly, including those who manage complex comorbid conditions, unrecognised as vulnerable cases; and those patients affected by stigmatised conditions, such as substance abuse or serious mental illness who fail to engage constructively with services and are not recognised as suitable referrals for palliative and end of life care. Funding: The National Institute for Health Research Health Services and Delivery Research programme.","container-title":"Health Services and Delivery Research","DOI":"10.3310/hsdr03310","ISSN":"2050-4349","issue":"31","language":"eng","page":"1-138","source":"librarysearch.le.ac.uk","title":"Care and communication between health professionals and patients affected by severe or chronic illness in community care settings: a qualitative study of care at the end of life","title-short":"Care and communication between health professionals and patients affected by severe or chronic illness in community care settings","volume":"3","author":[{"family":"Pollock","given":"Kristian"},{"family":"Wilson","given":"Eleanor"}],"issued":{"date-parts":[["2015"]]}}},{"id":"aZbwIlcN/C6ai0Hpv","uris":["http://zotero.org/users/6587080/items/LCD38VDH"],"itemData":{"id":1716,"type":"article-journal","abstract":"Objectives To examine the care experiences of South Asian Sikh and Muslim patients in Scotland with life limiting illness and their families and to understand the reasons for any difficulties with access to services and how these might be overcome. Design Prospective, longitudinal, qualitative design using in-depth interviews. Setting Central Scotland. Participants 25 purposively selected South Asian Sikh and Muslim patients, 18 family carers, and 20 key health professionals.\nResults 92 interviews took place. Most services struggled to deliver responsive, culturally appropriate care. Barriers to accessing effective end of life care included resource constrained services; institutional and, occasionally, personal racial and religious discrimination; limited awareness and understanding among South Asian people of the role of hospices; and difficulty discussing death. The most vulnerable patients, including recent migrants and those with poor English language skills, with no family advocate, and dying of non-malignant diseases were at particularly high risk of inadequate care.\nConclusions Despite a robust Scottish diversity policy, services for South Asian Sikh and Muslim patients with life limiting illness were wanting in many key areas. Active case management of the most vulnerable patients and carers, and “real time” support, from where professionals can obtain advice specific to an individual patient and family, are the approaches most likely to instigate noticeable improvements in access to high quality end of life care. Improving access to palliative care for all, particularly those with non-malignant illnesses, as well as focusing on the specific needs of ethnic minority groups, is required.","container-title":"BMJ","DOI":"10.1136/bmj.b183","ISSN":"0959-8138, 1468-5833","issue":"feb03 1","journalAbbreviation":"BMJ","language":"en","page":"b183-b183","source":"DOI.org (Crossref)","title":"Vulnerability and access to care for South Asian Sikh and Muslim patients with life limiting illness in Scotland: prospective longitudinal qualitative study","title-short":"Vulnerability and access to care for South Asian Sikh and Muslim patients with life limiting illness in Scotland","volume":"338","author":[{"family":"Worth","given":"A."},{"family":"Irshad","given":"T."},{"family":"Bhopal","given":"R."},{"family":"Brown","given":"D."},{"family":"Lawton","given":"J."},{"family":"Grant","given":"E."},{"family":"Murray","given":"S."},{"family":"Kendall","given":"M."},{"family":"Adam","given":"J."},{"family":"Gardee","given":"R."},{"family":"Sheikh","given":"A."}],"issued":{"date-parts":[["2009",2,3]]}}},{"id":"aZbwIlcN/JgyKOyYK","uris":["http://zotero.org/users/6587080/items/8BAPW3VV"],"itemData":{"id":"AMorj3u4/yCA0UJj6","type":"report","abstract":"Students conducting a piece of qualitative research frequently ask ‘how many interviews is enough?’ Early\ncareer researchers and established academics also consider this question when designing research projects.\nIn this NCRM Methods Review paper we gather and review responses to the question of ‘how many’ from 14\nrenowned social scientists and 5 early career researchers. The riposte to the question of ‘how many’ from\nmost contributors is ‘it depends’. In considering what ‘it depends upon’ however, the responses offer\nguidance on the epistemological, methodological and practical issues to take into account when conducting\nresearch projects. This includes advice about assessing research aims and objectives, validity within\nepistemic communities and available time and resources.","genre":"Working Paper","language":"en","publisher":"NCRM","source":"eprints.ncrm.ac.uk","title":"How many qualitative interviews is enough","URL":"http://eprints.ncrm.ac.uk/2273/","author":[{"family":"Baker","given":"Sarah Elsie"},{"family":"Edwards","given":"Rosalind"}],"accessed":{"date-parts":[["2021",1,30]]},"issued":{"date-parts":[["2012",3,26]]}}},{"id":"aZbwIlcN/T2cIJhTQ","uris":["http://zotero.org/users/6587080/items/F9PESJQL"],"itemData":{"id":267,"type":"article-journal","abstract":"Objectives To understand the perspectives of people with severe chronic obstructive pulmonary disease (COPD) as their illness progresses, and of their informal and professional carers, to inform provision of care for people living and dying with COPD.\nDesign Up to four serial qualitative interviews were conducted with each patient and nominated carer over 18 months. Interviews were transcribed and analysed both thematically and as narratives.\nParticipants 21 patients, and 13 informal carers (a family member, friend, or neighbour) and 18 professional carers (a key health or social care professional) nominated by the patients.\nSetting Primary and secondary care in Lothian, Tayside, and Forth Valley, Scotland, during 2007-9.\nResults Eleven patients died during the study period. Our final dataset comprised 92 interviews (23 conducted with patient and informal carer together). Severe symptoms that caused major disruption to normal life were described, often in terms implying acceptance of the situation as a “way of life” rather than an “illness.” Patients and their informal carers adapted to and accepted the debilitating symptoms of a lifelong condition. Professional carers’ familiarity with the patients’ condition, typically over many years, and prognostic uncertainty contributed to the difficulty of recognising and actively managing end stage disease. Overall, patients told a “chaos narrative” of their illness that was indistinguishable from their life story, with no clear beginning and an unanticipated end described in terms comparable with attitudes to death in a normal elderly population.\nConclusions Our findings challenge current assumptions underpinning provision of end of life care for people with COPD. The policy focus on identifying a time point for transition to palliative care has little resonance for people with COPD or their clinicians and is counter productive if it distracts from early phased introduction of supportive care. Careful assessment of possible supportive and palliative care needs should be triggered at key disease milestones along a lifetime journey with COPD, in particular after hospital admission for an exacerbation.","container-title":"BMJ","DOI":"10.1136/bmj.d142","ISSN":"0959-8138, 1468-5833","journalAbbreviation":"BMJ","language":"en","page":"d142","source":"www-bmj-com.ezproxy4.lib.le.ac.uk","title":"Living and dying with severe chronic obstructive pulmonary disease: multi-perspective longitudinal qualitative study","title-short":"Living and dying with severe chronic obstructive pulmonary disease","volume":"342","author":[{"family":"Pinnock","given":"Hilary"},{"family":"Kendall","given":"Marilyn"},{"family":"Murray","given":"Scott A."},{"family":"Worth","given":"Allison"},{"family":"Levack","given":"Pamela"},{"family":"Porter","given":"Mike"},{"family":"MacNee","given":"William"},{"family":"Sheikh","given":"Aziz"}],"issued":{"date-parts":[["2011",1,24]]}}}],"schema":"https://github.com/citation-style-language/schema/raw/master/csl-citation.json"} </w:instrText>
      </w:r>
      <w:r w:rsidRPr="000F7E56">
        <w:rPr>
          <w:rFonts w:ascii="Calibri" w:eastAsia="Calibri" w:hAnsi="Calibri" w:cs="Calibri"/>
        </w:rPr>
        <w:fldChar w:fldCharType="separate"/>
      </w:r>
      <w:r w:rsidR="00496C3B" w:rsidRPr="00496C3B">
        <w:rPr>
          <w:rFonts w:ascii="Calibri" w:hAnsi="Calibri" w:cs="Calibri"/>
          <w:szCs w:val="24"/>
          <w:vertAlign w:val="superscript"/>
        </w:rPr>
        <w:t>75,109,118,120</w:t>
      </w:r>
      <w:r w:rsidRPr="000F7E56">
        <w:rPr>
          <w:rFonts w:ascii="Calibri" w:eastAsia="Calibri" w:hAnsi="Calibri" w:cs="Calibri"/>
        </w:rPr>
        <w:fldChar w:fldCharType="end"/>
      </w:r>
    </w:p>
    <w:p w14:paraId="4BDAC0D8" w14:textId="69D860A4" w:rsidR="000F7E56" w:rsidRPr="000F7E56" w:rsidRDefault="000F7E56" w:rsidP="000F7E56">
      <w:pPr>
        <w:spacing w:after="200" w:line="360" w:lineRule="auto"/>
        <w:rPr>
          <w:rFonts w:ascii="Calibri" w:eastAsia="Calibri" w:hAnsi="Calibri" w:cs="Calibri"/>
        </w:rPr>
      </w:pPr>
      <w:r w:rsidRPr="000F7E56">
        <w:rPr>
          <w:rFonts w:ascii="Calibri" w:eastAsia="Calibri" w:hAnsi="Calibri" w:cs="Calibri"/>
        </w:rPr>
        <w:lastRenderedPageBreak/>
        <w:t>Purposive sampling, which involves participant selection being guided by strategic choices regarding the individuals or groups which can yield the most valuable and relevant information for the study, is a strategy which can optimise the depth and breadth of data in a sample and reduce the sample size required to achieve thematic saturation (i.e. when no additional themes about the research topic are emerging from the participant interviews). Stake cautions against increasing the number of cases much beyond 15 because the amount of qualitative data generated by a larger number of cases will become unmanageable.</w:t>
      </w:r>
      <w:r w:rsidRPr="000F7E56">
        <w:rPr>
          <w:rFonts w:ascii="Calibri" w:eastAsia="Calibri" w:hAnsi="Calibri" w:cs="Calibri"/>
        </w:rPr>
        <w:fldChar w:fldCharType="begin"/>
      </w:r>
      <w:r w:rsidR="000D5597">
        <w:rPr>
          <w:rFonts w:ascii="Calibri" w:eastAsia="Calibri" w:hAnsi="Calibri" w:cs="Calibri"/>
        </w:rPr>
        <w:instrText xml:space="preserve"> ADDIN ZOTERO_ITEM CSL_CITATION {"citationID":"6py38vCu","properties":{"formattedCitation":"\\super 116\\nosupersub{}","plainCitation":"116","noteIndex":0},"citationItems":[{"id":"aZbwIlcN/8xen9ifI","uris":["http://zotero.org/users/6587080/items/7YYAEGXK"],"itemData":{"id":"AMorj3u4/eVGsMdcK","type":"book","abstract":"Winner of the 2011 Special Career Award in Qualitative Inquiry from the International Congress for Qualitative Inquiry! Examining situational complexity is a vital part of social and behavioral science research. This engaging text provides an effective process for studying multiple cases - such as sets of teachers, staff development sessions, or clinics operating in different locations - within one complex program. The process also can be used to investigate broadly occurring phenomena without programmatic links, such as leadership or sibling rivalry. Readers learn to design, analyze, and report studies that balance common issues across the group of cases with the unique features and context of each case. Three actual case reports from a transnational early childhood program illustrate the author's approach, and helpful reproducible worksheets facilitate multicase recording and analysis.","edition":"1 edition","event-place":"New York","ISBN":"978-1-59385-248-1","language":"English","number-of-pages":"342","publisher":"Guilford Press","publisher-place":"New York","source":"Amazon","title":"Multiple Case Study Analysis","author":[{"family":"Stake","given":"Robert E."}],"issued":{"date-parts":[["2006"]]}}}],"schema":"https://github.com/citation-style-language/schema/raw/master/csl-citation.json"} </w:instrText>
      </w:r>
      <w:r w:rsidRPr="000F7E56">
        <w:rPr>
          <w:rFonts w:ascii="Calibri" w:eastAsia="Calibri" w:hAnsi="Calibri" w:cs="Calibri"/>
        </w:rPr>
        <w:fldChar w:fldCharType="separate"/>
      </w:r>
      <w:r w:rsidR="000D5597" w:rsidRPr="000D5597">
        <w:rPr>
          <w:rFonts w:ascii="Calibri" w:hAnsi="Calibri" w:cs="Times New Roman"/>
          <w:szCs w:val="24"/>
          <w:vertAlign w:val="superscript"/>
        </w:rPr>
        <w:t>116</w:t>
      </w:r>
      <w:r w:rsidRPr="000F7E56">
        <w:rPr>
          <w:rFonts w:ascii="Calibri" w:eastAsia="Calibri" w:hAnsi="Calibri" w:cs="Calibri"/>
        </w:rPr>
        <w:fldChar w:fldCharType="end"/>
      </w:r>
      <w:r w:rsidRPr="000F7E56">
        <w:rPr>
          <w:rFonts w:ascii="Calibri" w:eastAsia="Calibri" w:hAnsi="Calibri" w:cs="Calibri"/>
        </w:rPr>
        <w:t xml:space="preserve"> However, a guiding principle of qualitative research is that the nature and adequacy of the final sample must be kept continuously under review, and adjustments made if necessary, to enable the study to achieve its aims.</w:t>
      </w:r>
      <w:r w:rsidRPr="000F7E56">
        <w:rPr>
          <w:rFonts w:ascii="Calibri" w:eastAsia="Calibri" w:hAnsi="Calibri" w:cs="Calibri"/>
        </w:rPr>
        <w:fldChar w:fldCharType="begin"/>
      </w:r>
      <w:r w:rsidR="000D5597">
        <w:rPr>
          <w:rFonts w:ascii="Calibri" w:eastAsia="Calibri" w:hAnsi="Calibri" w:cs="Calibri"/>
        </w:rPr>
        <w:instrText xml:space="preserve"> ADDIN ZOTERO_ITEM CSL_CITATION {"citationID":"ms1mXJwj","properties":{"formattedCitation":"\\super 113\\nosupersub{}","plainCitation":"113","noteIndex":0},"citationItems":[{"id":"aZbwIlcN/9qY4pob5","uris":["http://zotero.org/users/6587080/items/C9SFD3KW"],"itemData":{"id":271,"type":"article-journal","abstract":"Sample sizes must be ascertained in qualitative studies like in quantitative studies but not by the same means. The prevailing concept for sample size in qualitative studies is “saturation.” Saturation is closely tied to a specific methodology, and the term is inconsistently applied. We propose the concept “information power” to guide adequate sample size for qualitative studies. Information power indicates that the more information the sample holds, relevant for the actual study, the lower amount of participants is needed. We suggest that the size of a sample with sufficient information power depends on (a) the aim of the study, (b) sample specificity, (c) use of established theory, (d) quality of dialogue, and (e) analysis strategy. We present a model where these elements of information and their relevant dimensions are related to information power. Application of this model in the planning and during data collection of a qualitative study is discussed.","container-title":"Qualitative Health Research","DOI":"10.1177/1049732315617444","ISSN":"1049-7323","issue":"13","journalAbbreviation":"Qual Health Res","language":"en","page":"1753-1760","source":"SAGE Journals","title":"Sample Size in Qualitative Interview Studies: Guided by Information Power","title-short":"Sample Size in Qualitative Interview Studies","volume":"26","author":[{"family":"Malterud","given":"Kirsti"},{"family":"Siersma","given":"Volkert Dirk"},{"family":"Guassora","given":"Ann Dorrit"}],"issued":{"date-parts":[["2016",11,1]]}}}],"schema":"https://github.com/citation-style-language/schema/raw/master/csl-citation.json"} </w:instrText>
      </w:r>
      <w:r w:rsidRPr="000F7E56">
        <w:rPr>
          <w:rFonts w:ascii="Calibri" w:eastAsia="Calibri" w:hAnsi="Calibri" w:cs="Calibri"/>
        </w:rPr>
        <w:fldChar w:fldCharType="separate"/>
      </w:r>
      <w:r w:rsidR="000D5597" w:rsidRPr="000D5597">
        <w:rPr>
          <w:rFonts w:ascii="Calibri" w:hAnsi="Calibri" w:cs="Times New Roman"/>
          <w:szCs w:val="24"/>
          <w:vertAlign w:val="superscript"/>
        </w:rPr>
        <w:t>113</w:t>
      </w:r>
      <w:r w:rsidRPr="000F7E56">
        <w:rPr>
          <w:rFonts w:ascii="Calibri" w:eastAsia="Calibri" w:hAnsi="Calibri" w:cs="Calibri"/>
        </w:rPr>
        <w:fldChar w:fldCharType="end"/>
      </w:r>
      <w:r w:rsidRPr="000F7E56">
        <w:rPr>
          <w:rFonts w:ascii="Calibri" w:eastAsia="Calibri" w:hAnsi="Calibri" w:cs="Calibri"/>
        </w:rPr>
        <w:t xml:space="preserve"> Above all, it is the relevance of the participants and the quality of the data that is important, rather than the number of participants per se. </w:t>
      </w:r>
    </w:p>
    <w:p w14:paraId="22250B6B" w14:textId="77777777" w:rsidR="000F7E56" w:rsidRPr="000F7E56" w:rsidRDefault="000F7E56" w:rsidP="000F7E56">
      <w:pPr>
        <w:spacing w:after="200" w:line="360" w:lineRule="auto"/>
        <w:jc w:val="both"/>
        <w:rPr>
          <w:rFonts w:ascii="Calibri" w:eastAsia="Calibri" w:hAnsi="Calibri" w:cs="Calibri"/>
        </w:rPr>
      </w:pPr>
      <w:r w:rsidRPr="000F7E56">
        <w:rPr>
          <w:rFonts w:ascii="Calibri" w:eastAsia="Calibri" w:hAnsi="Calibri" w:cs="Calibri"/>
        </w:rPr>
        <w:t>In WS1 and WS2 we purposively sampled participants across three elements of diversity:</w:t>
      </w:r>
    </w:p>
    <w:p w14:paraId="0233BF66" w14:textId="77777777" w:rsidR="000F7E56" w:rsidRPr="000F7E56" w:rsidRDefault="000F7E56" w:rsidP="00C76FEB">
      <w:pPr>
        <w:spacing w:after="120" w:line="360" w:lineRule="auto"/>
        <w:jc w:val="both"/>
        <w:rPr>
          <w:rFonts w:ascii="Calibri" w:eastAsia="Calibri" w:hAnsi="Calibri" w:cs="Calibri"/>
        </w:rPr>
      </w:pPr>
      <w:r w:rsidRPr="000F7E56">
        <w:rPr>
          <w:rFonts w:ascii="Calibri" w:eastAsia="Calibri" w:hAnsi="Calibri" w:cs="Calibri"/>
        </w:rPr>
        <w:t>•</w:t>
      </w:r>
      <w:r w:rsidRPr="000F7E56">
        <w:rPr>
          <w:rFonts w:ascii="Calibri" w:eastAsia="Calibri" w:hAnsi="Calibri" w:cs="Calibri"/>
        </w:rPr>
        <w:tab/>
        <w:t xml:space="preserve">religious/faith group; </w:t>
      </w:r>
    </w:p>
    <w:p w14:paraId="16425006" w14:textId="77777777" w:rsidR="000F7E56" w:rsidRPr="000F7E56" w:rsidRDefault="000F7E56" w:rsidP="00C76FEB">
      <w:pPr>
        <w:spacing w:after="120" w:line="360" w:lineRule="auto"/>
        <w:jc w:val="both"/>
        <w:rPr>
          <w:rFonts w:ascii="Calibri" w:eastAsia="Calibri" w:hAnsi="Calibri" w:cs="Calibri"/>
        </w:rPr>
      </w:pPr>
      <w:r w:rsidRPr="000F7E56">
        <w:rPr>
          <w:rFonts w:ascii="Calibri" w:eastAsia="Calibri" w:hAnsi="Calibri" w:cs="Calibri"/>
        </w:rPr>
        <w:t>•</w:t>
      </w:r>
      <w:r w:rsidRPr="000F7E56">
        <w:rPr>
          <w:rFonts w:ascii="Calibri" w:eastAsia="Calibri" w:hAnsi="Calibri" w:cs="Calibri"/>
        </w:rPr>
        <w:tab/>
        <w:t>ethnic backgrounds (ED groups);</w:t>
      </w:r>
    </w:p>
    <w:p w14:paraId="0904B0DB" w14:textId="77777777" w:rsidR="000F7E56" w:rsidRPr="000F7E56" w:rsidRDefault="000F7E56" w:rsidP="00C76FEB">
      <w:pPr>
        <w:spacing w:after="120" w:line="360" w:lineRule="auto"/>
        <w:jc w:val="both"/>
        <w:rPr>
          <w:rFonts w:ascii="Calibri" w:eastAsia="Calibri" w:hAnsi="Calibri" w:cs="Calibri"/>
        </w:rPr>
      </w:pPr>
      <w:r w:rsidRPr="000F7E56">
        <w:rPr>
          <w:rFonts w:ascii="Calibri" w:eastAsia="Calibri" w:hAnsi="Calibri" w:cs="Calibri"/>
        </w:rPr>
        <w:t>•</w:t>
      </w:r>
      <w:r w:rsidRPr="000F7E56">
        <w:rPr>
          <w:rFonts w:ascii="Calibri" w:eastAsia="Calibri" w:hAnsi="Calibri" w:cs="Calibri"/>
        </w:rPr>
        <w:tab/>
        <w:t xml:space="preserve">disease/illness group. </w:t>
      </w:r>
    </w:p>
    <w:p w14:paraId="14016E4B" w14:textId="77777777" w:rsidR="000F7E56" w:rsidRPr="000F7E56" w:rsidRDefault="000F7E56" w:rsidP="000F7E56">
      <w:pPr>
        <w:spacing w:after="200" w:line="360" w:lineRule="auto"/>
        <w:jc w:val="both"/>
        <w:rPr>
          <w:rFonts w:ascii="Calibri" w:eastAsia="Calibri" w:hAnsi="Calibri" w:cs="Calibri"/>
        </w:rPr>
      </w:pPr>
    </w:p>
    <w:p w14:paraId="15F0F795" w14:textId="79352351" w:rsidR="000F7E56" w:rsidRPr="000F7E56" w:rsidRDefault="000F7E56" w:rsidP="000F7E56">
      <w:pPr>
        <w:spacing w:after="200" w:line="360" w:lineRule="auto"/>
        <w:rPr>
          <w:rFonts w:ascii="Calibri" w:eastAsia="Calibri" w:hAnsi="Calibri" w:cs="Calibri"/>
        </w:rPr>
      </w:pPr>
      <w:r w:rsidRPr="000F7E56">
        <w:rPr>
          <w:rFonts w:ascii="Calibri" w:eastAsia="Calibri" w:hAnsi="Calibri" w:cs="Calibri"/>
        </w:rPr>
        <w:t>Findings from our previous work suggested that cultural-religious customs and mores are one of the key factors that increases the complexity of navigating EOLC and achieving patients’ preferences.</w:t>
      </w:r>
      <w:r w:rsidRPr="000F7E56">
        <w:rPr>
          <w:rFonts w:ascii="Calibri" w:eastAsia="Calibri" w:hAnsi="Calibri" w:cs="Calibri"/>
        </w:rPr>
        <w:fldChar w:fldCharType="begin"/>
      </w:r>
      <w:r w:rsidR="000D5597">
        <w:rPr>
          <w:rFonts w:ascii="Calibri" w:eastAsia="Calibri" w:hAnsi="Calibri" w:cs="Calibri"/>
        </w:rPr>
        <w:instrText xml:space="preserve"> ADDIN ZOTERO_ITEM CSL_CITATION {"citationID":"m7oYvPex","properties":{"formattedCitation":"\\super 44,100\\nosupersub{}","plainCitation":"44,100","noteIndex":0},"citationItems":[{"id":1541,"uris":["http://zotero.org/users/8748280/items/PT6UDE5K"],"itemData":{"id":1541,"type":"article-journal","abstract":"Background Evidence suggests that discussing resuscitation with patients and relatives from ethnic minority groups is problematic for healthcare professionals (HCPs), but there is limited evidence exploring these issues or offering guidance for HCPs in navigating these challenging discussions. This study explores the barriers and enablers to HCPs discussing deterioration and resuscitation decisions with patients and families from ethnic minority groups.\nResults Personal, cultural, religious/spiritual and health beliefs, emotions, and communication quality and skills were discussed. Participants described that the interaction between these factors as complex, impacting the way some patients and families responded to do not attempt cardiopulmonary resuscitation (DNACPR) orders and the particular challenges these pose.\nConclusion Key barriers and enablers for healthcare professionals discussing resuscitation with patients and families from Black, Asian and minority ethnic communities were identified. The findings highlight areas of improvement for training, both relating to DNACPR discussions and ‘cultural competence’.","container-title":"Future Healthcare Journal","DOI":"10.7861/fhj.2021-0012","ISSN":"2514-6645, 2514-6653","journalAbbreviation":"Future Healthc J","language":"en","page":"fhj.2021-0012","source":"DOI.org (Crossref)","title":"Thinking ahead in advanced illness: Exploring clinicians' perspectives on discussing resuscitation with patients and families from ethnic minority communities","title-short":"Thinking ahead in advanced illness","author":[{"family":"Islam","given":"Zoebia"},{"family":"Taylor","given":"Lucy"},{"family":"Faull","given":"Christina"}],"issued":{"date-parts":[["2021",8,23]]}}},{"id":79,"uris":["http://zotero.org/users/8748280/items/Y8G3UV2I"],"itemData":{"id":79,"type":"article-journal","abstract":"Background Improving Advance Care Planning (ACP) and increasing its equitable access is a key UK government strategy. Evidence (mainly from the USA) suggests that there are lower levels of ACP in people from Black, Asian and Minority Ethnic (BAME) communities. People from some BAME groups also seem to be more likely to desire invasive medical interventions, regardless of prognosis and impact on quality of life. The beliefs, values and needs of BAME communities in the UK have not been explored to see if the UK model of decision making around resuscitation ‘fits’ for them. Also, healthcare professionals (HCPs) report that they do not feel confident in providing culturally appropriate care for BAME patients and families in this situation.\nAims To identify barriers and enablers to HCPs discussing deterioration and resuscitation with patients and families from BAME communities, and to identify associated HCP training needs.\nMethods Qualitative semi structured interviews with 30 HCPs.\nResults HCPs’ interviews identify key barriers and facilitators of resuscitation discussions including differing attitudes towards death; differing values amongst different generations of migrants; and the need to find a balance between the desire to act in a non-discriminatory way whilst respecting cultural differences. Analysis of interviews informed a set of statements regarding decision making about resuscitation, which are being used as part of a ranking exercise (using Q methodology) with members of the public.\nConclusion There are significant barriers for HCPs when discussing resuscitation decisions with people from BAME communities. This increases the complexity of navigating ACP and achieving patients‘ preferences.View this table:View inline View popup","container-title":"BMJ Supportive &amp; Palliative Care","DOI":"10.1136/bmjspcare-2017-00133.94","ISSN":"2045-435X, 2045-4368","issue":"Suppl 1","language":"en","page":"A35-A35","source":"spcare.bmj.com","title":"P-95 Thinking ahead: discussing resuscitation decisions with diverse communities","title-short":"P-95 Thinking ahead","volume":"7","author":[{"family":"Taylor","given":"Lucy"},{"family":"Islam","given":"Zoebia"},{"family":"Eborall","given":"Helen"},{"family":"Miodrag","given":"David"},{"family":"Gamble","given":"Wendy"},{"family":"Faull","given":"Christina"}],"issued":{"date-parts":[["2017",3,1]]}}}],"schema":"https://github.com/citation-style-language/schema/raw/master/csl-citation.json"} </w:instrText>
      </w:r>
      <w:r w:rsidRPr="000F7E56">
        <w:rPr>
          <w:rFonts w:ascii="Calibri" w:eastAsia="Calibri" w:hAnsi="Calibri" w:cs="Calibri"/>
        </w:rPr>
        <w:fldChar w:fldCharType="separate"/>
      </w:r>
      <w:r w:rsidR="00496C3B" w:rsidRPr="00496C3B">
        <w:rPr>
          <w:rFonts w:ascii="Calibri" w:hAnsi="Calibri" w:cs="Calibri"/>
          <w:szCs w:val="24"/>
          <w:vertAlign w:val="superscript"/>
        </w:rPr>
        <w:t>44,100</w:t>
      </w:r>
      <w:r w:rsidRPr="000F7E56">
        <w:rPr>
          <w:rFonts w:ascii="Calibri" w:eastAsia="Calibri" w:hAnsi="Calibri" w:cs="Calibri"/>
        </w:rPr>
        <w:fldChar w:fldCharType="end"/>
      </w:r>
      <w:r w:rsidRPr="000F7E56">
        <w:rPr>
          <w:rFonts w:ascii="Calibri" w:eastAsia="Calibri" w:hAnsi="Calibri" w:cs="Calibri"/>
        </w:rPr>
        <w:t xml:space="preserve">  It was our intention that we achieve the greatest heterogeneity of religion/faith and ethnicity in the samples of WS1 and WS2.</w:t>
      </w:r>
    </w:p>
    <w:p w14:paraId="5856DBC8" w14:textId="77777777" w:rsidR="000F7E56" w:rsidRPr="000F7E56" w:rsidRDefault="000F7E56" w:rsidP="000F7E56">
      <w:pPr>
        <w:spacing w:after="200" w:line="360" w:lineRule="auto"/>
        <w:rPr>
          <w:rFonts w:ascii="Calibri" w:eastAsia="Calibri" w:hAnsi="Calibri" w:cs="Calibri"/>
        </w:rPr>
      </w:pPr>
      <w:r w:rsidRPr="000F7E56">
        <w:rPr>
          <w:rFonts w:ascii="Calibri" w:eastAsia="Calibri" w:hAnsi="Calibri" w:cs="Calibri"/>
        </w:rPr>
        <w:t xml:space="preserve">This concern with cultural-religious diversity was complemented by selection criteria for recruitment across illness contexts and we also purposively sampled to achieve heterogeneity across a number of disease groups (including cancer, frailty in old age, heart and renal disease). </w:t>
      </w:r>
    </w:p>
    <w:p w14:paraId="173A5A88" w14:textId="77777777" w:rsidR="000F7E56" w:rsidRPr="000F7E56" w:rsidRDefault="000F7E56" w:rsidP="000F7E56">
      <w:pPr>
        <w:spacing w:after="200" w:line="360" w:lineRule="auto"/>
        <w:rPr>
          <w:rFonts w:ascii="Calibri" w:eastAsia="Calibri" w:hAnsi="Calibri" w:cs="Calibri"/>
        </w:rPr>
      </w:pPr>
      <w:r w:rsidRPr="000F7E56">
        <w:rPr>
          <w:rFonts w:ascii="Calibri" w:eastAsia="Calibri" w:hAnsi="Calibri" w:cs="Calibri"/>
        </w:rPr>
        <w:t xml:space="preserve">Additionally, demographic data were recorded including gender, age and migration-generation and we aimed to include a diversity of these characteristics in the sample. </w:t>
      </w:r>
    </w:p>
    <w:p w14:paraId="34AFC2D6" w14:textId="6C838DBC" w:rsidR="000F7E56" w:rsidRPr="000F7E56" w:rsidRDefault="000F7E56" w:rsidP="000F7E56">
      <w:pPr>
        <w:tabs>
          <w:tab w:val="left" w:pos="1162"/>
        </w:tabs>
        <w:spacing w:after="200" w:line="360" w:lineRule="auto"/>
        <w:rPr>
          <w:rFonts w:ascii="Calibri" w:eastAsia="Calibri" w:hAnsi="Calibri" w:cs="Calibri"/>
        </w:rPr>
      </w:pPr>
      <w:r w:rsidRPr="000F7E56">
        <w:rPr>
          <w:rFonts w:ascii="Calibri" w:eastAsia="Calibri" w:hAnsi="Calibri" w:cs="Calibri"/>
        </w:rPr>
        <w:t>A sampling frame was utilised to target recruitment to achieve these purposive sampling aims and to construct a matrix that may be important for attribution of themes/subthemes and in our search for examples of variance within the data.  The nationally agreed guidelines to characterise self-reported ethnicity into a set of 16 codes were used.</w:t>
      </w:r>
      <w:r w:rsidRPr="000F7E56">
        <w:rPr>
          <w:rFonts w:ascii="Calibri" w:eastAsia="Calibri" w:hAnsi="Calibri" w:cs="Calibri"/>
        </w:rPr>
        <w:fldChar w:fldCharType="begin"/>
      </w:r>
      <w:r w:rsidR="000D5597">
        <w:rPr>
          <w:rFonts w:ascii="Calibri" w:eastAsia="Calibri" w:hAnsi="Calibri" w:cs="Calibri"/>
        </w:rPr>
        <w:instrText xml:space="preserve"> ADDIN ZOTERO_ITEM CSL_CITATION {"citationID":"J1ncsZPJ","properties":{"formattedCitation":"\\super 121\\nosupersub{}","plainCitation":"121","noteIndex":0},"citationItems":[{"id":1758,"uris":["http://zotero.org/users/8748280/items/DBQVJ2QA"],"itemData":{"id":1758,"type":"webpage","title":"Ethnic group, national identity and religion - Office for National Statistics","URL":"https://www.ons.gov.uk/methodology/classificationsandstandards/measuringequality/ethnicgroupnationalidentityandreligion","accessed":{"date-parts":[["2021",12,1]]}}}],"schema":"https://github.com/citation-style-language/schema/raw/master/csl-citation.json"} </w:instrText>
      </w:r>
      <w:r w:rsidRPr="000F7E56">
        <w:rPr>
          <w:rFonts w:ascii="Calibri" w:eastAsia="Calibri" w:hAnsi="Calibri" w:cs="Calibri"/>
        </w:rPr>
        <w:fldChar w:fldCharType="separate"/>
      </w:r>
      <w:r w:rsidR="000D5597" w:rsidRPr="000D5597">
        <w:rPr>
          <w:rFonts w:ascii="Calibri" w:hAnsi="Calibri" w:cs="Times New Roman"/>
          <w:szCs w:val="24"/>
          <w:vertAlign w:val="superscript"/>
        </w:rPr>
        <w:t>121</w:t>
      </w:r>
      <w:r w:rsidRPr="000F7E56">
        <w:rPr>
          <w:rFonts w:ascii="Calibri" w:eastAsia="Calibri" w:hAnsi="Calibri" w:cs="Calibri"/>
        </w:rPr>
        <w:fldChar w:fldCharType="end"/>
      </w:r>
    </w:p>
    <w:p w14:paraId="55D264C2" w14:textId="77777777" w:rsidR="00A662A8" w:rsidRPr="00A12C7D" w:rsidRDefault="000F7E56" w:rsidP="00A12C7D">
      <w:pPr>
        <w:pStyle w:val="Heading2"/>
        <w:rPr>
          <w:rFonts w:eastAsia="Times New Roman"/>
          <w:sz w:val="24"/>
          <w:szCs w:val="24"/>
        </w:rPr>
      </w:pPr>
      <w:bookmarkStart w:id="128" w:name="_Toc89665156"/>
      <w:bookmarkStart w:id="129" w:name="_Toc89671909"/>
      <w:bookmarkStart w:id="130" w:name="_Toc89763959"/>
      <w:bookmarkStart w:id="131" w:name="_Toc106697785"/>
      <w:r w:rsidRPr="00A12C7D">
        <w:rPr>
          <w:rFonts w:eastAsia="Times New Roman"/>
          <w:sz w:val="24"/>
          <w:szCs w:val="24"/>
        </w:rPr>
        <w:lastRenderedPageBreak/>
        <w:t>Recruitment</w:t>
      </w:r>
      <w:bookmarkEnd w:id="128"/>
      <w:bookmarkEnd w:id="129"/>
      <w:bookmarkEnd w:id="130"/>
      <w:bookmarkEnd w:id="131"/>
    </w:p>
    <w:p w14:paraId="0370383A" w14:textId="78FE41CB" w:rsidR="000F7E56" w:rsidRDefault="000F7E56" w:rsidP="00A662A8">
      <w:pPr>
        <w:spacing w:after="120" w:line="360" w:lineRule="auto"/>
      </w:pPr>
      <w:r w:rsidRPr="000F7E56">
        <w:t>Taking on board best practice in recruitment for research involving ED participants an extensive programme of awareness raising about the project took place within community groups and organisations.</w:t>
      </w:r>
      <w:r w:rsidRPr="000F7E56">
        <w:fldChar w:fldCharType="begin"/>
      </w:r>
      <w:r w:rsidR="000D5597">
        <w:instrText xml:space="preserve"> ADDIN ZOTERO_ITEM CSL_CITATION {"citationID":"q516MiYm","properties":{"formattedCitation":"\\super 122,123\\nosupersub{}","plainCitation":"122,123","noteIndex":0},"citationItems":[{"id":1547,"uris":["http://zotero.org/users/8748280/items/EHJMEPHH"],"itemData":{"id":1547,"type":"webpage","container-title":"Increasing participation for Black, Asian and Minority Groups in health and social care research","title":"Toolkit for: Increasing participation of Black Asian and Minority Ethnic (BAME) groups in health and social care research","URL":"https://arc-em.nihr.ac.uk/clahrcs-store/increasing-participation-black-asian-and-minority-ethnic-bame-groups-health-and-social","author":[{"family":"Farooqi, Azhar (Professor)","given":""},{"family":"Raghavan, Raghu (Professor)","given":""},{"family":"Jutlla, Karan (Dr)","given":""},{"family":"Patal, Naina","given":""},{"family":"Akroyd, Carol","given":""},{"family":"Desai, Binal","given":""}],"issued":{"date-parts":[["2018"]]}}},{"id":1548,"uris":["http://zotero.org/users/8748280/items/KHKK5LN7"],"itemData":{"id":1548,"type":"chapter","abstract":"The growing pivotal role of community engagement in health education, public health, social work, medicine, and community-engaged and participatory research reflects this approach's time-tested effectiveness and its fit with the most fundamental principles of these fields. Community engagement, as a whole, stresses strengths-based approaches, relevance or starting \"where the people are,\" and the importance of creating environments in which individuals and communities can become empowered as they increase their capacity to solve problems and demand their human rights to fair and equitable conditions that support health. While community engagement has shifted mostly to a collaborative, capacity-building approach, the social action traditions of community organizing are still critical in advocacy that challenges health-damaging policies and conditions that continue to create health inequities. Employing the full range of practices of honoring diversity and addressing inequities demands time and resources and also intellectual and emotional commitments that are strongly embedded within the key concepts and principles discussed in this chapter. Whether engaged in pure community-driven organizing and engagement around issues the community identifies or borrowing skills from community organizing, community-building practice, and coalition partnerships, professionals and researchers can challenge themselves to examine their own cultural humility and dynamics of power in order to understand the complexities of working in partnership toward the goals of community ownership and empowerment. In sum, community engagement and organizing bring essential strategies to a wide variety of community and organizational settings and may hold particular relevance in the changing sociopolitical climate of the twenty-first century. (PsycInfo Database Record (c) 2020 APA, all rights reserved)","container-title":"Health behavior: Theory, research, and practice, 5th ed","event-place":"Hoboken, NJ, US","ISBN":"978-1-118-62898-0","page":"277-300","publisher":"Jossey-Bass/Wiley","publisher-place":"Hoboken, NJ, US","source":"APA PsycNet","title":"Improving health through community engagement, community organization, and community building","author":[{"family":"Wallerstein","given":"Nina"},{"family":"Minkler","given":"Meredith"},{"family":"Carter-Edwards","given":"Lori"},{"family":"Avila","given":"Magdalena"},{"family":"Sánchez","given":"Victoria"}],"issued":{"date-parts":[["2015"]]}}}],"schema":"https://github.com/citation-style-language/schema/raw/master/csl-citation.json"} </w:instrText>
      </w:r>
      <w:r w:rsidRPr="000F7E56">
        <w:fldChar w:fldCharType="separate"/>
      </w:r>
      <w:r w:rsidR="000D5597" w:rsidRPr="000D5597">
        <w:rPr>
          <w:rFonts w:ascii="Calibri" w:hAnsi="Calibri" w:cs="Times New Roman"/>
          <w:szCs w:val="24"/>
          <w:vertAlign w:val="superscript"/>
        </w:rPr>
        <w:t>122,123</w:t>
      </w:r>
      <w:r w:rsidRPr="000F7E56">
        <w:fldChar w:fldCharType="end"/>
      </w:r>
      <w:r w:rsidRPr="000F7E56">
        <w:t xml:space="preserve"> This work was informed by the networks and experiences of our PPI lead (IM) and PPI consultees (named ‘Public carers and bereaved relatives’ (PCBR) research consultees)  and of the co-applicants and advisors to the project. The work involved communicating the project objectives and opportunity to be involved in research through social and traditional media; placement of flyers in organisations and services including but not limited to GP practices, hospice services, patient and carer support groups and community and faith groups and libraries; and attendance at meetings and events of patient and carer support groups and community and faith groups by members of the project team. </w:t>
      </w:r>
    </w:p>
    <w:p w14:paraId="0329C312" w14:textId="77777777" w:rsidR="00137BB7" w:rsidRPr="000F7E56" w:rsidRDefault="00137BB7" w:rsidP="000F7E56">
      <w:pPr>
        <w:spacing w:after="120" w:line="360" w:lineRule="auto"/>
        <w:rPr>
          <w:rFonts w:ascii="Calibri" w:eastAsia="Calibri" w:hAnsi="Calibri" w:cs="Calibri"/>
        </w:rPr>
      </w:pPr>
    </w:p>
    <w:p w14:paraId="742D2D47" w14:textId="1E395FCE" w:rsidR="00A662A8" w:rsidRPr="00A12C7D" w:rsidRDefault="00137BB7" w:rsidP="00A12C7D">
      <w:pPr>
        <w:pStyle w:val="Heading3"/>
      </w:pPr>
      <w:bookmarkStart w:id="132" w:name="_Toc89665157"/>
      <w:bookmarkStart w:id="133" w:name="_Toc89671910"/>
      <w:bookmarkStart w:id="134" w:name="_Toc89763960"/>
      <w:bookmarkStart w:id="135" w:name="_Hlk89936104"/>
      <w:bookmarkStart w:id="136" w:name="_Toc106697786"/>
      <w:r w:rsidRPr="00A12C7D">
        <w:t>W</w:t>
      </w:r>
      <w:r w:rsidR="00A662A8" w:rsidRPr="00A12C7D">
        <w:t>ork Stream 1</w:t>
      </w:r>
      <w:r w:rsidRPr="00A12C7D">
        <w:t>:</w:t>
      </w:r>
      <w:r w:rsidR="000F7E56" w:rsidRPr="00A12C7D">
        <w:t xml:space="preserve"> </w:t>
      </w:r>
      <w:r w:rsidR="008555B3" w:rsidRPr="00A12C7D">
        <w:t>L</w:t>
      </w:r>
      <w:r w:rsidR="000F7E56" w:rsidRPr="00A12C7D">
        <w:t>ongitudinal patient case-studies</w:t>
      </w:r>
      <w:bookmarkEnd w:id="132"/>
      <w:bookmarkEnd w:id="133"/>
      <w:bookmarkEnd w:id="134"/>
      <w:bookmarkEnd w:id="135"/>
      <w:bookmarkEnd w:id="136"/>
    </w:p>
    <w:p w14:paraId="042EEF4A" w14:textId="77777777" w:rsidR="00A662A8" w:rsidRPr="00A662A8" w:rsidRDefault="00A662A8" w:rsidP="00A662A8">
      <w:pPr>
        <w:rPr>
          <w:lang w:val="en-US"/>
        </w:rPr>
      </w:pPr>
    </w:p>
    <w:p w14:paraId="179EA30E" w14:textId="52AFD82E" w:rsidR="000F7E56" w:rsidRPr="000F7E56" w:rsidRDefault="000F7E56" w:rsidP="000F7E56">
      <w:pPr>
        <w:spacing w:after="120" w:line="360" w:lineRule="auto"/>
        <w:rPr>
          <w:rFonts w:ascii="Calibri" w:eastAsia="Calibri" w:hAnsi="Calibri" w:cs="Calibri"/>
        </w:rPr>
      </w:pPr>
      <w:r w:rsidRPr="000F7E56">
        <w:rPr>
          <w:rFonts w:ascii="Calibri" w:eastAsia="Calibri" w:hAnsi="Calibri" w:cs="Calibri"/>
        </w:rPr>
        <w:t xml:space="preserve">The </w:t>
      </w:r>
      <w:r w:rsidR="005B7B94">
        <w:rPr>
          <w:rFonts w:ascii="Calibri" w:eastAsia="Calibri" w:hAnsi="Calibri" w:cs="Calibri"/>
        </w:rPr>
        <w:t>Clinical Research Network East Midlands</w:t>
      </w:r>
      <w:r w:rsidRPr="000F7E56">
        <w:rPr>
          <w:rFonts w:ascii="Calibri" w:eastAsia="Calibri" w:hAnsi="Calibri" w:cs="Calibri"/>
        </w:rPr>
        <w:t xml:space="preserve"> (</w:t>
      </w:r>
      <w:r w:rsidR="005B7B94">
        <w:rPr>
          <w:rFonts w:ascii="Calibri" w:eastAsia="Calibri" w:hAnsi="Calibri" w:cs="Calibri"/>
        </w:rPr>
        <w:t>CRNEM</w:t>
      </w:r>
      <w:r w:rsidRPr="000F7E56">
        <w:rPr>
          <w:rFonts w:ascii="Calibri" w:eastAsia="Calibri" w:hAnsi="Calibri" w:cs="Calibri"/>
        </w:rPr>
        <w:t xml:space="preserve">) (in which co-applicant SR and the CI have clinical leadership roles); </w:t>
      </w:r>
      <w:r w:rsidR="000F7AD1">
        <w:rPr>
          <w:rFonts w:ascii="Calibri" w:eastAsia="Calibri" w:hAnsi="Calibri" w:cs="Calibri"/>
        </w:rPr>
        <w:t xml:space="preserve">Clinical </w:t>
      </w:r>
      <w:r w:rsidR="00AC12D3">
        <w:rPr>
          <w:rFonts w:ascii="Calibri" w:eastAsia="Calibri" w:hAnsi="Calibri" w:cs="Calibri"/>
        </w:rPr>
        <w:t>Commissioning</w:t>
      </w:r>
      <w:r w:rsidR="000F7AD1">
        <w:rPr>
          <w:rFonts w:ascii="Calibri" w:eastAsia="Calibri" w:hAnsi="Calibri" w:cs="Calibri"/>
        </w:rPr>
        <w:t xml:space="preserve"> Group (</w:t>
      </w:r>
      <w:r w:rsidRPr="000F7E56">
        <w:rPr>
          <w:rFonts w:ascii="Calibri" w:eastAsia="Calibri" w:hAnsi="Calibri" w:cs="Calibri"/>
        </w:rPr>
        <w:t>CCG</w:t>
      </w:r>
      <w:r w:rsidR="000F7AD1">
        <w:rPr>
          <w:rFonts w:ascii="Calibri" w:eastAsia="Calibri" w:hAnsi="Calibri" w:cs="Calibri"/>
        </w:rPr>
        <w:t>)</w:t>
      </w:r>
      <w:r w:rsidRPr="000F7E56">
        <w:rPr>
          <w:rFonts w:ascii="Calibri" w:eastAsia="Calibri" w:hAnsi="Calibri" w:cs="Calibri"/>
        </w:rPr>
        <w:t xml:space="preserve"> research networks and the well-established clinical and research links of the CI and co-apps SR, SC, AP; and collaborators including specialist nurses and research nurses within PIC site services were engaged and utilised to promote awareness of HCPs of the study, understanding of the criteria of case eligibility and to seek identification of patients within the PIC sites which included: </w:t>
      </w:r>
    </w:p>
    <w:p w14:paraId="3BE21A44" w14:textId="77777777" w:rsidR="000F7E56" w:rsidRPr="000F7E56" w:rsidRDefault="000F7E56" w:rsidP="00C76FEB">
      <w:pPr>
        <w:numPr>
          <w:ilvl w:val="0"/>
          <w:numId w:val="3"/>
        </w:numPr>
        <w:spacing w:after="120" w:line="360" w:lineRule="auto"/>
        <w:ind w:left="714" w:hanging="357"/>
        <w:rPr>
          <w:rFonts w:ascii="Calibri" w:eastAsia="Calibri" w:hAnsi="Calibri" w:cs="Calibri"/>
        </w:rPr>
      </w:pPr>
      <w:r w:rsidRPr="000F7E56">
        <w:rPr>
          <w:rFonts w:ascii="Calibri" w:eastAsia="Calibri" w:hAnsi="Calibri" w:cs="Calibri"/>
        </w:rPr>
        <w:t xml:space="preserve">five GP practices with a substantial population of ED patients and the linked community nursing services; </w:t>
      </w:r>
    </w:p>
    <w:p w14:paraId="6C1675CC" w14:textId="77777777" w:rsidR="000F7E56" w:rsidRPr="000F7E56" w:rsidRDefault="000F7E56" w:rsidP="00C76FEB">
      <w:pPr>
        <w:numPr>
          <w:ilvl w:val="0"/>
          <w:numId w:val="3"/>
        </w:numPr>
        <w:spacing w:after="120" w:line="360" w:lineRule="auto"/>
        <w:ind w:left="714" w:hanging="357"/>
        <w:rPr>
          <w:rFonts w:ascii="Calibri" w:eastAsia="Calibri" w:hAnsi="Calibri" w:cs="Calibri"/>
        </w:rPr>
      </w:pPr>
      <w:r w:rsidRPr="000F7E56">
        <w:rPr>
          <w:rFonts w:ascii="Calibri" w:eastAsia="Calibri" w:hAnsi="Calibri" w:cs="Calibri"/>
        </w:rPr>
        <w:t xml:space="preserve">community and primary health care services that support a population with particularly harder to reach ED communities (e.g. Somali); </w:t>
      </w:r>
    </w:p>
    <w:p w14:paraId="34B1FDCF" w14:textId="77777777" w:rsidR="000F7E56" w:rsidRPr="000F7E56" w:rsidRDefault="000F7E56" w:rsidP="00C76FEB">
      <w:pPr>
        <w:numPr>
          <w:ilvl w:val="0"/>
          <w:numId w:val="3"/>
        </w:numPr>
        <w:spacing w:after="120" w:line="360" w:lineRule="auto"/>
        <w:ind w:left="714" w:hanging="357"/>
        <w:rPr>
          <w:rFonts w:ascii="Calibri" w:eastAsia="Calibri" w:hAnsi="Calibri" w:cs="Calibri"/>
        </w:rPr>
      </w:pPr>
      <w:r w:rsidRPr="000F7E56">
        <w:rPr>
          <w:rFonts w:ascii="Calibri" w:eastAsia="Calibri" w:hAnsi="Calibri" w:cs="Calibri"/>
        </w:rPr>
        <w:t>palliative care services in community, hospice and hospital sectors;</w:t>
      </w:r>
    </w:p>
    <w:p w14:paraId="2B62BADA" w14:textId="77777777" w:rsidR="000F7E56" w:rsidRPr="000F7E56" w:rsidRDefault="000F7E56" w:rsidP="00C76FEB">
      <w:pPr>
        <w:numPr>
          <w:ilvl w:val="0"/>
          <w:numId w:val="3"/>
        </w:numPr>
        <w:spacing w:after="120" w:line="360" w:lineRule="auto"/>
        <w:ind w:left="714" w:hanging="357"/>
        <w:rPr>
          <w:rFonts w:ascii="Calibri" w:eastAsia="Calibri" w:hAnsi="Calibri" w:cs="Calibri"/>
        </w:rPr>
      </w:pPr>
      <w:r w:rsidRPr="000F7E56">
        <w:rPr>
          <w:rFonts w:ascii="Calibri" w:eastAsia="Calibri" w:hAnsi="Calibri" w:cs="Calibri"/>
        </w:rPr>
        <w:t>community and secondary care services for heart failure, elderly and psychogeriatric care, renal medicine and oncology.</w:t>
      </w:r>
    </w:p>
    <w:p w14:paraId="05A71012" w14:textId="77777777" w:rsidR="000F7E56" w:rsidRPr="000F7E56" w:rsidRDefault="000F7E56" w:rsidP="000F7E56">
      <w:pPr>
        <w:spacing w:after="120" w:line="360" w:lineRule="auto"/>
        <w:rPr>
          <w:rFonts w:ascii="Calibri" w:eastAsia="Calibri" w:hAnsi="Calibri" w:cs="Calibri"/>
        </w:rPr>
      </w:pPr>
      <w:r w:rsidRPr="000F7E56">
        <w:rPr>
          <w:rFonts w:ascii="Calibri" w:eastAsia="Calibri" w:hAnsi="Calibri" w:cs="Calibri"/>
        </w:rPr>
        <w:t>In total we engaged with 110 community groups in Leicester and 67 community groups in Nottingham and attended 15 community events. Our engagement with a variety of community groups provided a platform to discuss the study and how it aimed to explore experiences and improve end-of-life care, thus achieving a high level of community engagement in the study. In small part this was about widening recruitment. In large part it was about underpinning dissemination of findings in the future and maximizing the potential for impact on patient and family care and outcomes.</w:t>
      </w:r>
    </w:p>
    <w:p w14:paraId="752031F7" w14:textId="615C1652" w:rsidR="000F7E56" w:rsidRPr="000F7E56" w:rsidRDefault="000F7E56" w:rsidP="000F7E56">
      <w:pPr>
        <w:spacing w:after="120" w:line="360" w:lineRule="auto"/>
        <w:rPr>
          <w:rFonts w:ascii="Calibri" w:eastAsia="Calibri" w:hAnsi="Calibri" w:cs="Calibri"/>
        </w:rPr>
      </w:pPr>
      <w:r w:rsidRPr="000F7E56">
        <w:rPr>
          <w:rFonts w:ascii="Calibri" w:eastAsia="Calibri" w:hAnsi="Calibri" w:cs="Calibri"/>
        </w:rPr>
        <w:lastRenderedPageBreak/>
        <w:t xml:space="preserve">We liaised and worked with research and end-of-life care leads, practice managers, nurses and other workers and primary care patient participation groups to promote understanding of the study. Presentations were delivered by the CI, PI and RF and RA at a number of meetings including, Cardiology and </w:t>
      </w:r>
      <w:r w:rsidR="000F7AD1">
        <w:rPr>
          <w:rFonts w:ascii="Calibri" w:eastAsia="Calibri" w:hAnsi="Calibri" w:cs="Calibri"/>
        </w:rPr>
        <w:t>R</w:t>
      </w:r>
      <w:r w:rsidRPr="000F7E56">
        <w:rPr>
          <w:rFonts w:ascii="Calibri" w:eastAsia="Calibri" w:hAnsi="Calibri" w:cs="Calibri"/>
        </w:rPr>
        <w:t>enal teams, GP practices and local Hospices within the area’s teams and a number of community events in which the recruitment process was discussed see Figure 1:</w:t>
      </w:r>
    </w:p>
    <w:p w14:paraId="6F29D01B" w14:textId="77777777" w:rsidR="000F7E56" w:rsidRPr="000F7E56" w:rsidRDefault="000F7E56" w:rsidP="000F7E56">
      <w:pPr>
        <w:rPr>
          <w:rFonts w:ascii="Calibri" w:eastAsia="Calibri" w:hAnsi="Calibri" w:cs="Calibri"/>
        </w:rPr>
      </w:pPr>
      <w:r w:rsidRPr="000F7E56">
        <w:rPr>
          <w:rFonts w:ascii="Calibri" w:eastAsia="Calibri" w:hAnsi="Calibri" w:cs="Calibri"/>
        </w:rPr>
        <w:br w:type="page"/>
      </w:r>
    </w:p>
    <w:p w14:paraId="322193EB" w14:textId="77777777" w:rsidR="000F7E56" w:rsidRPr="000F7E56" w:rsidRDefault="000F7E56" w:rsidP="000F7E56">
      <w:pPr>
        <w:spacing w:after="120" w:line="360" w:lineRule="auto"/>
        <w:rPr>
          <w:rFonts w:ascii="Calibri" w:eastAsia="Calibri" w:hAnsi="Calibri" w:cs="Calibri"/>
        </w:rPr>
      </w:pPr>
      <w:r w:rsidRPr="000F7E56">
        <w:rPr>
          <w:rFonts w:ascii="Calibri" w:eastAsia="Calibri" w:hAnsi="Calibri" w:cs="Calibri"/>
          <w:noProof/>
        </w:rPr>
        <w:lastRenderedPageBreak/>
        <w:drawing>
          <wp:inline distT="0" distB="0" distL="0" distR="0" wp14:anchorId="04EAEDFD" wp14:editId="43B8A65A">
            <wp:extent cx="6170400" cy="529200"/>
            <wp:effectExtent l="0" t="0" r="1905" b="444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6170400" cy="529200"/>
                    </a:xfrm>
                    <a:prstGeom prst="rect">
                      <a:avLst/>
                    </a:prstGeom>
                    <a:noFill/>
                  </pic:spPr>
                </pic:pic>
              </a:graphicData>
            </a:graphic>
          </wp:inline>
        </w:drawing>
      </w:r>
    </w:p>
    <w:p w14:paraId="4D347ECE" w14:textId="77777777" w:rsidR="000F7E56" w:rsidRPr="000F7E56" w:rsidRDefault="000F7E56" w:rsidP="000F7E56">
      <w:pPr>
        <w:spacing w:after="120" w:line="360" w:lineRule="auto"/>
        <w:rPr>
          <w:rFonts w:ascii="Calibri" w:eastAsia="Calibri" w:hAnsi="Calibri" w:cs="Calibri"/>
        </w:rPr>
      </w:pPr>
      <w:r w:rsidRPr="000F7E56">
        <w:rPr>
          <w:rFonts w:ascii="Calibri" w:eastAsia="Calibri" w:hAnsi="Calibri" w:cs="Calibri"/>
          <w:noProof/>
        </w:rPr>
        <w:drawing>
          <wp:inline distT="0" distB="0" distL="0" distR="0" wp14:anchorId="1DD2A151" wp14:editId="34835301">
            <wp:extent cx="1725295" cy="2292350"/>
            <wp:effectExtent l="0" t="0" r="8255"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725295" cy="2292350"/>
                    </a:xfrm>
                    <a:prstGeom prst="rect">
                      <a:avLst/>
                    </a:prstGeom>
                    <a:noFill/>
                  </pic:spPr>
                </pic:pic>
              </a:graphicData>
            </a:graphic>
          </wp:inline>
        </w:drawing>
      </w:r>
      <w:r w:rsidRPr="000F7E56">
        <w:rPr>
          <w:rFonts w:ascii="Calibri" w:eastAsia="Calibri" w:hAnsi="Calibri" w:cs="Calibri"/>
          <w:noProof/>
        </w:rPr>
        <w:drawing>
          <wp:inline distT="0" distB="0" distL="0" distR="0" wp14:anchorId="2D141825" wp14:editId="76EF018E">
            <wp:extent cx="1713230" cy="2011680"/>
            <wp:effectExtent l="0" t="0" r="1270" b="762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713230" cy="2011680"/>
                    </a:xfrm>
                    <a:prstGeom prst="rect">
                      <a:avLst/>
                    </a:prstGeom>
                    <a:noFill/>
                  </pic:spPr>
                </pic:pic>
              </a:graphicData>
            </a:graphic>
          </wp:inline>
        </w:drawing>
      </w:r>
      <w:r w:rsidRPr="000F7E56">
        <w:rPr>
          <w:rFonts w:ascii="Calibri" w:eastAsia="Calibri" w:hAnsi="Calibri" w:cs="Calibri"/>
          <w:noProof/>
        </w:rPr>
        <w:drawing>
          <wp:inline distT="0" distB="0" distL="0" distR="0" wp14:anchorId="4A1B94AE" wp14:editId="1F23A6DD">
            <wp:extent cx="2091055" cy="2231390"/>
            <wp:effectExtent l="0" t="0" r="4445"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091055" cy="2231390"/>
                    </a:xfrm>
                    <a:prstGeom prst="rect">
                      <a:avLst/>
                    </a:prstGeom>
                    <a:noFill/>
                  </pic:spPr>
                </pic:pic>
              </a:graphicData>
            </a:graphic>
          </wp:inline>
        </w:drawing>
      </w:r>
    </w:p>
    <w:p w14:paraId="71F175E8" w14:textId="77777777" w:rsidR="000F7E56" w:rsidRPr="000F7E56" w:rsidRDefault="000F7E56" w:rsidP="000F7E56">
      <w:pPr>
        <w:spacing w:after="120" w:line="360" w:lineRule="auto"/>
        <w:rPr>
          <w:rFonts w:ascii="Calibri" w:eastAsia="Calibri" w:hAnsi="Calibri" w:cs="Calibri"/>
        </w:rPr>
      </w:pPr>
      <w:r w:rsidRPr="000F7E56">
        <w:rPr>
          <w:rFonts w:ascii="Calibri" w:eastAsia="Calibri" w:hAnsi="Calibri" w:cs="Calibri"/>
          <w:noProof/>
        </w:rPr>
        <mc:AlternateContent>
          <mc:Choice Requires="wps">
            <w:drawing>
              <wp:anchor distT="0" distB="0" distL="114300" distR="114300" simplePos="0" relativeHeight="251661312" behindDoc="0" locked="0" layoutInCell="1" allowOverlap="1" wp14:anchorId="35C522FC" wp14:editId="66DBE7F3">
                <wp:simplePos x="0" y="0"/>
                <wp:positionH relativeFrom="column">
                  <wp:posOffset>3499485</wp:posOffset>
                </wp:positionH>
                <wp:positionV relativeFrom="paragraph">
                  <wp:posOffset>613409</wp:posOffset>
                </wp:positionV>
                <wp:extent cx="2051050" cy="1323975"/>
                <wp:effectExtent l="0" t="0" r="25400" b="28575"/>
                <wp:wrapNone/>
                <wp:docPr id="17" name="Rectangle: Rounded Corners 17"/>
                <wp:cNvGraphicFramePr/>
                <a:graphic xmlns:a="http://schemas.openxmlformats.org/drawingml/2006/main">
                  <a:graphicData uri="http://schemas.microsoft.com/office/word/2010/wordprocessingShape">
                    <wps:wsp>
                      <wps:cNvSpPr/>
                      <wps:spPr>
                        <a:xfrm>
                          <a:off x="0" y="0"/>
                          <a:ext cx="2051050" cy="1323975"/>
                        </a:xfrm>
                        <a:prstGeom prst="roundRect">
                          <a:avLst/>
                        </a:prstGeom>
                        <a:solidFill>
                          <a:srgbClr val="4472C4"/>
                        </a:solidFill>
                        <a:ln w="12700" cap="flat" cmpd="sng" algn="ctr">
                          <a:solidFill>
                            <a:srgbClr val="4472C4">
                              <a:shade val="50000"/>
                            </a:srgbClr>
                          </a:solidFill>
                          <a:prstDash val="solid"/>
                          <a:miter lim="800000"/>
                        </a:ln>
                        <a:effectLst/>
                      </wps:spPr>
                      <wps:txbx>
                        <w:txbxContent>
                          <w:p w14:paraId="7108DBE4" w14:textId="77777777" w:rsidR="00AD6C9D" w:rsidRPr="00A75166" w:rsidRDefault="00AD6C9D" w:rsidP="000F7E56">
                            <w:pPr>
                              <w:jc w:val="center"/>
                              <w:rPr>
                                <w:b/>
                              </w:rPr>
                            </w:pPr>
                            <w:r w:rsidRPr="00A75166">
                              <w:rPr>
                                <w:b/>
                              </w:rPr>
                              <w:t>Request consent for contact details OR</w:t>
                            </w:r>
                          </w:p>
                          <w:p w14:paraId="7BE8BAB4" w14:textId="77777777" w:rsidR="00AD6C9D" w:rsidRPr="00A75166" w:rsidRDefault="00AD6C9D" w:rsidP="000F7E56">
                            <w:pPr>
                              <w:jc w:val="center"/>
                              <w:rPr>
                                <w:b/>
                              </w:rPr>
                            </w:pPr>
                            <w:r w:rsidRPr="00A75166">
                              <w:rPr>
                                <w:b/>
                              </w:rPr>
                              <w:t>Participant directly contacts research team (phone, email, pre-paid envelope)</w:t>
                            </w:r>
                          </w:p>
                          <w:p w14:paraId="2A4F756A" w14:textId="77777777" w:rsidR="00AD6C9D" w:rsidRDefault="00AD6C9D" w:rsidP="000F7E56">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35C522FC" id="Rectangle: Rounded Corners 17" o:spid="_x0000_s1026" style="position:absolute;margin-left:275.55pt;margin-top:48.3pt;width:161.5pt;height:104.2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" fillcolor="#4472c4" strokecolor="#2f528f" strokeweight="1pt">
                <v:stroke joinstyle="miter"/>
                <v:textbox>
                  <w:txbxContent>
                    <w:p w14:paraId="7108DBE4" w14:textId="77777777" w:rsidR="00AD6C9D" w:rsidRPr="00A75166" w:rsidRDefault="00AD6C9D" w:rsidP="000F7E56">
                      <w:pPr>
                        <w:jc w:val="center"/>
                        <w:rPr>
                          <w:b/>
                        </w:rPr>
                      </w:pPr>
                      <w:r w:rsidRPr="00A75166">
                        <w:rPr>
                          <w:b/>
                        </w:rPr>
                        <w:t>Request consent for contact details OR</w:t>
                      </w:r>
                    </w:p>
                    <w:p w14:paraId="7BE8BAB4" w14:textId="77777777" w:rsidR="00AD6C9D" w:rsidRPr="00A75166" w:rsidRDefault="00AD6C9D" w:rsidP="000F7E56">
                      <w:pPr>
                        <w:jc w:val="center"/>
                        <w:rPr>
                          <w:b/>
                        </w:rPr>
                      </w:pPr>
                      <w:r w:rsidRPr="00A75166">
                        <w:rPr>
                          <w:b/>
                        </w:rPr>
                        <w:t>Participant directly contacts research team (phone, email, pre-paid envelope)</w:t>
                      </w:r>
                    </w:p>
                    <w:p w14:paraId="2A4F756A" w14:textId="77777777" w:rsidR="00AD6C9D" w:rsidRDefault="00AD6C9D" w:rsidP="000F7E56">
                      <w:pPr>
                        <w:jc w:val="center"/>
                      </w:pPr>
                    </w:p>
                  </w:txbxContent>
                </v:textbox>
              </v:roundrect>
            </w:pict>
          </mc:Fallback>
        </mc:AlternateContent>
      </w:r>
      <w:r w:rsidRPr="000F7E56">
        <w:rPr>
          <w:rFonts w:ascii="Calibri" w:eastAsia="Calibri" w:hAnsi="Calibri" w:cs="Calibri"/>
        </w:rPr>
        <w:tab/>
      </w:r>
      <w:r w:rsidRPr="000F7E56">
        <w:rPr>
          <w:rFonts w:ascii="Calibri" w:eastAsia="Calibri" w:hAnsi="Calibri" w:cs="Calibri"/>
          <w:noProof/>
        </w:rPr>
        <w:drawing>
          <wp:inline distT="0" distB="0" distL="0" distR="0" wp14:anchorId="1D5E3D48" wp14:editId="4361AB21">
            <wp:extent cx="494030" cy="847725"/>
            <wp:effectExtent l="0" t="0" r="1270" b="952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94030" cy="847725"/>
                    </a:xfrm>
                    <a:prstGeom prst="rect">
                      <a:avLst/>
                    </a:prstGeom>
                    <a:noFill/>
                  </pic:spPr>
                </pic:pic>
              </a:graphicData>
            </a:graphic>
          </wp:inline>
        </w:drawing>
      </w:r>
      <w:r w:rsidRPr="000F7E56">
        <w:rPr>
          <w:rFonts w:ascii="Calibri" w:eastAsia="Calibri" w:hAnsi="Calibri" w:cs="Calibri"/>
        </w:rPr>
        <w:tab/>
      </w:r>
      <w:r w:rsidRPr="000F7E56">
        <w:rPr>
          <w:rFonts w:ascii="Calibri" w:eastAsia="Calibri" w:hAnsi="Calibri" w:cs="Calibri"/>
        </w:rPr>
        <w:tab/>
      </w:r>
      <w:r w:rsidRPr="000F7E56">
        <w:rPr>
          <w:rFonts w:ascii="Calibri" w:eastAsia="Calibri" w:hAnsi="Calibri" w:cs="Calibri"/>
        </w:rPr>
        <w:tab/>
      </w:r>
      <w:r w:rsidRPr="000F7E56">
        <w:rPr>
          <w:rFonts w:ascii="Calibri" w:eastAsia="Calibri" w:hAnsi="Calibri" w:cs="Calibri"/>
        </w:rPr>
        <w:tab/>
      </w:r>
      <w:r w:rsidRPr="000F7E56">
        <w:rPr>
          <w:rFonts w:ascii="Calibri" w:eastAsia="Calibri" w:hAnsi="Calibri" w:cs="Calibri"/>
        </w:rPr>
        <w:tab/>
      </w:r>
      <w:r w:rsidRPr="000F7E56">
        <w:rPr>
          <w:rFonts w:ascii="Calibri" w:eastAsia="Calibri" w:hAnsi="Calibri" w:cs="Calibri"/>
        </w:rPr>
        <w:tab/>
      </w:r>
      <w:r w:rsidRPr="000F7E56">
        <w:rPr>
          <w:rFonts w:ascii="Calibri" w:eastAsia="Calibri" w:hAnsi="Calibri" w:cs="Calibri"/>
        </w:rPr>
        <w:tab/>
      </w:r>
      <w:r w:rsidRPr="000F7E56">
        <w:rPr>
          <w:rFonts w:ascii="Calibri" w:eastAsia="Calibri" w:hAnsi="Calibri" w:cs="Calibri"/>
        </w:rPr>
        <w:tab/>
      </w:r>
      <w:r w:rsidRPr="000F7E56">
        <w:rPr>
          <w:rFonts w:ascii="Calibri" w:eastAsia="Calibri" w:hAnsi="Calibri" w:cs="Calibri"/>
        </w:rPr>
        <w:tab/>
      </w:r>
      <w:r w:rsidRPr="000F7E56">
        <w:rPr>
          <w:rFonts w:ascii="Calibri" w:eastAsia="Calibri" w:hAnsi="Calibri" w:cs="Calibri"/>
        </w:rPr>
        <w:tab/>
      </w:r>
      <w:r w:rsidRPr="000F7E56">
        <w:rPr>
          <w:rFonts w:ascii="Calibri" w:eastAsia="Calibri" w:hAnsi="Calibri" w:cs="Calibri"/>
        </w:rPr>
        <w:tab/>
      </w:r>
    </w:p>
    <w:p w14:paraId="574533A6" w14:textId="77777777" w:rsidR="000F7E56" w:rsidRPr="000F7E56" w:rsidRDefault="000F7E56" w:rsidP="000F7E56">
      <w:pPr>
        <w:spacing w:after="120" w:line="360" w:lineRule="auto"/>
        <w:rPr>
          <w:rFonts w:ascii="Calibri" w:eastAsia="Calibri" w:hAnsi="Calibri" w:cs="Calibri"/>
        </w:rPr>
      </w:pPr>
      <w:r w:rsidRPr="000F7E56">
        <w:rPr>
          <w:rFonts w:ascii="Calibri" w:eastAsia="Calibri" w:hAnsi="Calibri" w:cs="Calibri"/>
          <w:noProof/>
        </w:rPr>
        <w:drawing>
          <wp:inline distT="0" distB="0" distL="0" distR="0" wp14:anchorId="14EEDEC4" wp14:editId="2AE4CD83">
            <wp:extent cx="2115185" cy="682625"/>
            <wp:effectExtent l="0" t="0" r="0" b="317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115185" cy="682625"/>
                    </a:xfrm>
                    <a:prstGeom prst="rect">
                      <a:avLst/>
                    </a:prstGeom>
                    <a:noFill/>
                  </pic:spPr>
                </pic:pic>
              </a:graphicData>
            </a:graphic>
          </wp:inline>
        </w:drawing>
      </w:r>
      <w:r w:rsidRPr="000F7E56">
        <w:rPr>
          <w:rFonts w:ascii="Calibri" w:eastAsia="Calibri" w:hAnsi="Calibri" w:cs="Calibri"/>
          <w:noProof/>
        </w:rPr>
        <w:drawing>
          <wp:inline distT="0" distB="0" distL="0" distR="0" wp14:anchorId="26ACD8EF" wp14:editId="500B0118">
            <wp:extent cx="1316990" cy="438785"/>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316990" cy="438785"/>
                    </a:xfrm>
                    <a:prstGeom prst="rect">
                      <a:avLst/>
                    </a:prstGeom>
                    <a:noFill/>
                  </pic:spPr>
                </pic:pic>
              </a:graphicData>
            </a:graphic>
          </wp:inline>
        </w:drawing>
      </w:r>
      <w:r w:rsidRPr="000F7E56">
        <w:rPr>
          <w:rFonts w:ascii="Calibri" w:eastAsia="Calibri" w:hAnsi="Calibri" w:cs="Calibri"/>
        </w:rPr>
        <w:t xml:space="preserve">        </w:t>
      </w:r>
    </w:p>
    <w:p w14:paraId="14DB5693" w14:textId="77777777" w:rsidR="000F7E56" w:rsidRPr="000F7E56" w:rsidRDefault="000F7E56" w:rsidP="000F7E56">
      <w:pPr>
        <w:spacing w:after="120" w:line="360" w:lineRule="auto"/>
        <w:rPr>
          <w:rFonts w:ascii="Calibri" w:eastAsia="Calibri" w:hAnsi="Calibri" w:cs="Calibri"/>
        </w:rPr>
      </w:pPr>
      <w:r w:rsidRPr="000F7E56">
        <w:rPr>
          <w:rFonts w:ascii="Calibri" w:eastAsia="Calibri" w:hAnsi="Calibri" w:cs="Calibri"/>
        </w:rPr>
        <w:tab/>
      </w:r>
      <w:r w:rsidRPr="000F7E56">
        <w:rPr>
          <w:rFonts w:ascii="Calibri" w:eastAsia="Calibri" w:hAnsi="Calibri" w:cs="Calibri"/>
        </w:rPr>
        <w:tab/>
      </w:r>
      <w:r w:rsidRPr="000F7E56">
        <w:rPr>
          <w:rFonts w:ascii="Calibri" w:eastAsia="Calibri" w:hAnsi="Calibri" w:cs="Calibri"/>
        </w:rPr>
        <w:tab/>
      </w:r>
      <w:r w:rsidRPr="000F7E56">
        <w:rPr>
          <w:rFonts w:ascii="Calibri" w:eastAsia="Calibri" w:hAnsi="Calibri" w:cs="Calibri"/>
        </w:rPr>
        <w:tab/>
      </w:r>
      <w:r w:rsidRPr="000F7E56">
        <w:rPr>
          <w:rFonts w:ascii="Calibri" w:eastAsia="Calibri" w:hAnsi="Calibri" w:cs="Calibri"/>
        </w:rPr>
        <w:tab/>
      </w:r>
      <w:r w:rsidRPr="000F7E56">
        <w:rPr>
          <w:rFonts w:ascii="Calibri" w:eastAsia="Calibri" w:hAnsi="Calibri" w:cs="Calibri"/>
        </w:rPr>
        <w:tab/>
        <w:t xml:space="preserve">   </w:t>
      </w:r>
      <w:r w:rsidRPr="000F7E56">
        <w:rPr>
          <w:rFonts w:ascii="Calibri" w:eastAsia="Calibri" w:hAnsi="Calibri" w:cs="Calibri"/>
        </w:rPr>
        <w:tab/>
      </w:r>
      <w:r w:rsidRPr="000F7E56">
        <w:rPr>
          <w:rFonts w:ascii="Calibri" w:eastAsia="Calibri" w:hAnsi="Calibri" w:cs="Calibri"/>
        </w:rPr>
        <w:tab/>
      </w:r>
      <w:r w:rsidRPr="000F7E56">
        <w:rPr>
          <w:rFonts w:ascii="Calibri" w:eastAsia="Calibri" w:hAnsi="Calibri" w:cs="Calibri"/>
        </w:rPr>
        <w:tab/>
      </w:r>
      <w:r w:rsidRPr="000F7E56">
        <w:rPr>
          <w:rFonts w:ascii="Calibri" w:eastAsia="Calibri" w:hAnsi="Calibri" w:cs="Calibri"/>
          <w:noProof/>
        </w:rPr>
        <w:drawing>
          <wp:inline distT="0" distB="0" distL="0" distR="0" wp14:anchorId="5135DF5E" wp14:editId="1AC6F756">
            <wp:extent cx="341630" cy="548640"/>
            <wp:effectExtent l="0" t="0" r="1270" b="381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41630" cy="548640"/>
                    </a:xfrm>
                    <a:prstGeom prst="rect">
                      <a:avLst/>
                    </a:prstGeom>
                    <a:noFill/>
                  </pic:spPr>
                </pic:pic>
              </a:graphicData>
            </a:graphic>
          </wp:inline>
        </w:drawing>
      </w:r>
      <w:r w:rsidRPr="000F7E56">
        <w:rPr>
          <w:rFonts w:ascii="Calibri" w:eastAsia="Calibri" w:hAnsi="Calibri" w:cs="Calibri"/>
        </w:rPr>
        <w:tab/>
      </w:r>
    </w:p>
    <w:p w14:paraId="3D951520" w14:textId="77777777" w:rsidR="000F7E56" w:rsidRPr="000F7E56" w:rsidRDefault="000F7E56" w:rsidP="000F7E56">
      <w:pPr>
        <w:spacing w:after="120" w:line="360" w:lineRule="auto"/>
        <w:rPr>
          <w:rFonts w:ascii="Calibri" w:eastAsia="Calibri" w:hAnsi="Calibri" w:cs="Calibri"/>
        </w:rPr>
      </w:pPr>
      <w:r w:rsidRPr="000F7E56">
        <w:rPr>
          <w:rFonts w:ascii="Calibri" w:eastAsia="Calibri" w:hAnsi="Calibri" w:cs="Calibri"/>
        </w:rPr>
        <w:tab/>
      </w:r>
      <w:r w:rsidRPr="000F7E56">
        <w:rPr>
          <w:rFonts w:ascii="Calibri" w:eastAsia="Calibri" w:hAnsi="Calibri" w:cs="Calibri"/>
        </w:rPr>
        <w:tab/>
      </w:r>
      <w:r w:rsidRPr="000F7E56">
        <w:rPr>
          <w:rFonts w:ascii="Calibri" w:eastAsia="Calibri" w:hAnsi="Calibri" w:cs="Calibri"/>
        </w:rPr>
        <w:tab/>
      </w:r>
      <w:r w:rsidRPr="000F7E56">
        <w:rPr>
          <w:rFonts w:ascii="Calibri" w:eastAsia="Calibri" w:hAnsi="Calibri" w:cs="Calibri"/>
        </w:rPr>
        <w:tab/>
      </w:r>
      <w:r w:rsidRPr="000F7E56">
        <w:rPr>
          <w:rFonts w:ascii="Calibri" w:eastAsia="Calibri" w:hAnsi="Calibri" w:cs="Calibri"/>
        </w:rPr>
        <w:tab/>
      </w:r>
      <w:r w:rsidRPr="000F7E56">
        <w:rPr>
          <w:rFonts w:ascii="Calibri" w:eastAsia="Calibri" w:hAnsi="Calibri" w:cs="Calibri"/>
        </w:rPr>
        <w:tab/>
      </w:r>
      <w:r w:rsidRPr="000F7E56">
        <w:rPr>
          <w:rFonts w:ascii="Calibri" w:eastAsia="Calibri" w:hAnsi="Calibri" w:cs="Calibri"/>
        </w:rPr>
        <w:tab/>
      </w:r>
      <w:r w:rsidRPr="000F7E56">
        <w:rPr>
          <w:rFonts w:ascii="Calibri" w:eastAsia="Calibri" w:hAnsi="Calibri" w:cs="Calibri"/>
        </w:rPr>
        <w:tab/>
      </w:r>
      <w:r w:rsidRPr="000F7E56">
        <w:rPr>
          <w:rFonts w:ascii="Calibri" w:eastAsia="Calibri" w:hAnsi="Calibri" w:cs="Calibri"/>
          <w:noProof/>
        </w:rPr>
        <w:drawing>
          <wp:inline distT="0" distB="0" distL="0" distR="0" wp14:anchorId="5E0B5E14" wp14:editId="75251C2D">
            <wp:extent cx="2115185" cy="664210"/>
            <wp:effectExtent l="0" t="0" r="0" b="254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115185" cy="664210"/>
                    </a:xfrm>
                    <a:prstGeom prst="rect">
                      <a:avLst/>
                    </a:prstGeom>
                    <a:noFill/>
                  </pic:spPr>
                </pic:pic>
              </a:graphicData>
            </a:graphic>
          </wp:inline>
        </w:drawing>
      </w:r>
      <w:r w:rsidRPr="000F7E56">
        <w:rPr>
          <w:rFonts w:ascii="Calibri" w:eastAsia="Calibri" w:hAnsi="Calibri" w:cs="Calibri"/>
        </w:rPr>
        <w:tab/>
      </w:r>
      <w:r w:rsidRPr="000F7E56">
        <w:rPr>
          <w:rFonts w:ascii="Calibri" w:eastAsia="Calibri" w:hAnsi="Calibri" w:cs="Calibri"/>
        </w:rPr>
        <w:tab/>
      </w:r>
    </w:p>
    <w:p w14:paraId="1B5850A8" w14:textId="77777777" w:rsidR="000F7E56" w:rsidRPr="000F7E56" w:rsidRDefault="000F7E56" w:rsidP="000F7E56">
      <w:pPr>
        <w:keepNext/>
        <w:spacing w:after="120" w:line="360" w:lineRule="auto"/>
        <w:rPr>
          <w:rFonts w:cstheme="minorHAnsi"/>
          <w:iCs/>
          <w:color w:val="44546A" w:themeColor="text2"/>
        </w:rPr>
      </w:pPr>
      <w:r w:rsidRPr="000F7E56">
        <w:rPr>
          <w:rFonts w:ascii="Calibri" w:eastAsia="Calibri" w:hAnsi="Calibri" w:cs="Calibri"/>
          <w:iCs/>
          <w:color w:val="44546A" w:themeColor="text2"/>
        </w:rPr>
        <w:tab/>
      </w:r>
      <w:bookmarkStart w:id="137" w:name="_Toc89684721"/>
      <w:bookmarkStart w:id="138" w:name="_Toc89966699"/>
      <w:bookmarkStart w:id="139" w:name="_Toc90545000"/>
      <w:r w:rsidRPr="000F7E56">
        <w:rPr>
          <w:rFonts w:cstheme="minorHAnsi"/>
          <w:iCs/>
          <w:color w:val="44546A" w:themeColor="text2"/>
        </w:rPr>
        <w:t xml:space="preserve">FIGURE </w:t>
      </w:r>
      <w:r w:rsidRPr="000F7E56">
        <w:rPr>
          <w:rFonts w:cstheme="minorHAnsi"/>
          <w:iCs/>
          <w:color w:val="44546A" w:themeColor="text2"/>
        </w:rPr>
        <w:fldChar w:fldCharType="begin"/>
      </w:r>
      <w:r w:rsidRPr="000F7E56">
        <w:rPr>
          <w:rFonts w:cstheme="minorHAnsi"/>
          <w:iCs/>
          <w:color w:val="44546A" w:themeColor="text2"/>
        </w:rPr>
        <w:instrText xml:space="preserve"> SEQ Figure \* ARABIC </w:instrText>
      </w:r>
      <w:r w:rsidRPr="000F7E56">
        <w:rPr>
          <w:rFonts w:cstheme="minorHAnsi"/>
          <w:iCs/>
          <w:color w:val="44546A" w:themeColor="text2"/>
        </w:rPr>
        <w:fldChar w:fldCharType="separate"/>
      </w:r>
      <w:r w:rsidRPr="000F7E56">
        <w:rPr>
          <w:rFonts w:cstheme="minorHAnsi"/>
          <w:iCs/>
          <w:noProof/>
          <w:color w:val="44546A" w:themeColor="text2"/>
        </w:rPr>
        <w:t>1</w:t>
      </w:r>
      <w:r w:rsidRPr="000F7E56">
        <w:rPr>
          <w:rFonts w:cstheme="minorHAnsi"/>
          <w:iCs/>
          <w:noProof/>
          <w:color w:val="44546A" w:themeColor="text2"/>
        </w:rPr>
        <w:fldChar w:fldCharType="end"/>
      </w:r>
      <w:r w:rsidRPr="000F7E56">
        <w:rPr>
          <w:rFonts w:cstheme="minorHAnsi"/>
          <w:iCs/>
          <w:noProof/>
          <w:color w:val="44546A" w:themeColor="text2"/>
        </w:rPr>
        <w:t xml:space="preserve"> -</w:t>
      </w:r>
      <w:r w:rsidRPr="000F7E56">
        <w:rPr>
          <w:rFonts w:cstheme="minorHAnsi"/>
          <w:iCs/>
          <w:color w:val="44546A" w:themeColor="text2"/>
        </w:rPr>
        <w:t xml:space="preserve"> Work Stream 1: Patient recruitment flowchart</w:t>
      </w:r>
      <w:bookmarkEnd w:id="137"/>
      <w:bookmarkEnd w:id="138"/>
      <w:bookmarkEnd w:id="139"/>
      <w:r w:rsidRPr="000F7E56">
        <w:rPr>
          <w:rFonts w:cstheme="minorHAnsi"/>
          <w:iCs/>
          <w:color w:val="44546A" w:themeColor="text2"/>
        </w:rPr>
        <w:tab/>
      </w:r>
      <w:r w:rsidRPr="000F7E56">
        <w:rPr>
          <w:rFonts w:cstheme="minorHAnsi"/>
          <w:iCs/>
          <w:color w:val="44546A" w:themeColor="text2"/>
        </w:rPr>
        <w:tab/>
      </w:r>
      <w:r w:rsidRPr="000F7E56">
        <w:rPr>
          <w:rFonts w:cstheme="minorHAnsi"/>
          <w:iCs/>
          <w:color w:val="44546A" w:themeColor="text2"/>
        </w:rPr>
        <w:tab/>
      </w:r>
      <w:r w:rsidRPr="000F7E56">
        <w:rPr>
          <w:rFonts w:cstheme="minorHAnsi"/>
          <w:iCs/>
          <w:color w:val="44546A" w:themeColor="text2"/>
        </w:rPr>
        <w:tab/>
      </w:r>
      <w:r w:rsidRPr="000F7E56">
        <w:rPr>
          <w:rFonts w:cstheme="minorHAnsi"/>
          <w:iCs/>
          <w:color w:val="44546A" w:themeColor="text2"/>
        </w:rPr>
        <w:tab/>
      </w:r>
      <w:r w:rsidRPr="000F7E56">
        <w:rPr>
          <w:rFonts w:cstheme="minorHAnsi"/>
          <w:iCs/>
          <w:color w:val="44546A" w:themeColor="text2"/>
        </w:rPr>
        <w:tab/>
      </w:r>
      <w:r w:rsidRPr="000F7E56">
        <w:rPr>
          <w:rFonts w:cstheme="minorHAnsi"/>
          <w:iCs/>
          <w:color w:val="44546A" w:themeColor="text2"/>
        </w:rPr>
        <w:tab/>
      </w:r>
      <w:r w:rsidRPr="000F7E56">
        <w:rPr>
          <w:rFonts w:cstheme="minorHAnsi"/>
          <w:iCs/>
          <w:color w:val="44546A" w:themeColor="text2"/>
        </w:rPr>
        <w:tab/>
        <w:t xml:space="preserve">                       </w:t>
      </w:r>
      <w:r w:rsidRPr="000F7E56">
        <w:rPr>
          <w:rFonts w:cstheme="minorHAnsi"/>
          <w:iCs/>
          <w:color w:val="44546A" w:themeColor="text2"/>
        </w:rPr>
        <w:tab/>
        <w:t xml:space="preserve">   </w:t>
      </w:r>
      <w:r w:rsidRPr="000F7E56">
        <w:rPr>
          <w:rFonts w:cstheme="minorHAnsi"/>
          <w:iCs/>
          <w:color w:val="44546A" w:themeColor="text2"/>
        </w:rPr>
        <w:tab/>
      </w:r>
      <w:r w:rsidRPr="000F7E56">
        <w:rPr>
          <w:rFonts w:cstheme="minorHAnsi"/>
          <w:iCs/>
          <w:color w:val="44546A" w:themeColor="text2"/>
        </w:rPr>
        <w:br w:type="page"/>
      </w:r>
      <w:r w:rsidRPr="000F7E56">
        <w:rPr>
          <w:rFonts w:cstheme="minorHAnsi"/>
          <w:iCs/>
          <w:color w:val="44546A" w:themeColor="text2"/>
        </w:rPr>
        <w:lastRenderedPageBreak/>
        <w:tab/>
      </w:r>
    </w:p>
    <w:p w14:paraId="261B0351" w14:textId="3F9FBE5F" w:rsidR="000F7E56" w:rsidRPr="000F7E56" w:rsidRDefault="000F7E56" w:rsidP="000F7E56">
      <w:pPr>
        <w:spacing w:after="120" w:line="360" w:lineRule="auto"/>
      </w:pPr>
      <w:r w:rsidRPr="000F7E56">
        <w:rPr>
          <w:rFonts w:cstheme="minorHAnsi"/>
          <w:lang w:val="en-US"/>
        </w:rPr>
        <w:t xml:space="preserve">HCPs were asked to identify eligible patients through a variety of means, depending on their role and the systems in place within their service. HCPs were provided with the </w:t>
      </w:r>
      <w:bookmarkStart w:id="140" w:name="_Hlk89262177"/>
      <w:r w:rsidRPr="000F7E56">
        <w:rPr>
          <w:rFonts w:cstheme="minorHAnsi"/>
          <w:lang w:val="en-US"/>
        </w:rPr>
        <w:t xml:space="preserve">Supportive and Palliative Care Indicators Tool (SPICT) </w:t>
      </w:r>
      <w:bookmarkEnd w:id="140"/>
      <w:r w:rsidRPr="000F7E56">
        <w:rPr>
          <w:rFonts w:cstheme="minorHAnsi"/>
          <w:lang w:val="en-US"/>
        </w:rPr>
        <w:t>as a means of identifying patients at risk of deteriorating and dying with one or more advanced, progressive and life threatening condition and the Gold Standards Framework 'surprise’ question ‘Would you be surprised if this patient were to die in the next 12 months?’.</w:t>
      </w:r>
      <w:r w:rsidRPr="000F7E56">
        <w:rPr>
          <w:rFonts w:cstheme="minorHAnsi"/>
          <w:lang w:val="en-US"/>
        </w:rPr>
        <w:fldChar w:fldCharType="begin"/>
      </w:r>
      <w:r w:rsidR="000D5597">
        <w:rPr>
          <w:rFonts w:cstheme="minorHAnsi"/>
          <w:lang w:val="en-US"/>
        </w:rPr>
        <w:instrText xml:space="preserve"> ADDIN ZOTERO_ITEM CSL_CITATION {"citationID":"a17mokni661","properties":{"formattedCitation":"\\super 83,124,125\\nosupersub{}","plainCitation":"83,124,125","noteIndex":0},"citationItems":[{"id":"aZbwIlcN/o15zZXhX","uris":["http://zotero.org/users/6587080/items/6F6URFTT"],"itemData":{"id":"AMorj3u4/M45u3oGh","type":"article-journal","abstract":"This practical guide promotes the standard collection and use of ethnic group and related data on patients, service users and staff of the NHS and social services. It updates and widens previous guidance issued in 2002. It features a range of good practice examples drawn from various parts of the NHS and social care. Through using this guide, the NHS and social services will be assisted in meeting their responsibilities under the Race Relations (Amendment) Act 2000.","language":"eng","source":"webarchive.nationalarchives.gov.uk","title":"National standards for ethnic group and related matters","URL":"https://webarchive.nationalarchives.gov.uk/+/http://www.dh.gov.uk/en/Publicationsandstatistics/Publications/PublicationsPolicyAndGuidance/Browsable/DH_5319155","author":[{"family":"Department of Health","given":""}],"accessed":{"date-parts":[["2019",2,1]]},"issued":{"date-parts":[["2005",7,29]]}}},{"id":123,"uris":["http://zotero.org/users/8748280/items/BKS73F5V"],"itemData":{"id":123,"type":"article-journal","abstract":"Objective To refine and evaluate a practical, clinical tool to help multidisciplinary teams in the UK and internationally, to identify patients at risk of deteriorating and dying in all care settings.\nMethods We used a participatory research approach to refine the 2010 Supportive and Palliative Care Indicators Tool (SPICT) and evaluate its use in clinical practice. We conducted an ongoing peer review process for 18 months via an open access webpage, and engaged over 30 clinicians from the UK and internationally in developing an effective tool. Secondly, we carried out a prospective case-finding study in an acute hospital in SE Scotland. Four multidisciplinary teams identified 130 patients with advanced kidney, liver, cardiac or lung disease following an unplanned hospital admission.\nResults The SPICT was refined and updated to consist of readily identifiable, general indicators relevant to patients with any advanced illness, and disease-specific indicators for common advanced conditions. Hospital clinicians used the SPICT to identify patients at risk of deteriorating and dying. Patients who died had significantly more unplanned admissions, persistent symptoms and increased care needs. By 12 months, 62 (48%) of the identified patients had died. 69% of them died in hospital, having spent 22% of their last 6 months there.\nConclusions The SPICT can support clinical judgment by multidisciplinary teams when identifying patients at risk of deteriorating and dying. It helped identify patients with multiple unmet needs who would benefit from earlier, holistic needs assessment, a review of care goals, and anticipatory care planning.","container-title":"BMJ Supportive &amp; Palliative Care","DOI":"10.1136/bmjspcare-2013-000488","ISSN":"2045-435X, 2045-4368","issue":"3","language":"en","page":"285-290","source":"spcare.bmj.com","title":"Development and evaluation of the Supportive and Palliative Care Indicators Tool (SPICT): a mixed-methods study","title-short":"Development and evaluation of the Supportive and Palliative Care Indicators Tool (SPICT)","volume":"4","author":[{"family":"Highet","given":"Gill"},{"family":"Crawford","given":"Debbie"},{"family":"Murray","given":"Scott A."},{"family":"Boyd","given":"Kirsty"}],"issued":{"date-parts":[["2014",9,1]]}}},{"id":1900,"uris":["http://zotero.org/users/8748280/items/BUGGE56E"],"itemData":{"id":1900,"type":"webpage","abstract":"Supportive and Palliative Care Indicators Tool","container-title":"SPICT","language":"en-GB","title":"SPICT","URL":"https://www.spict.org.uk/","accessed":{"date-parts":[["2021",12,13]]}}}],"schema":"https://github.com/citation-style-language/schema/raw/master/csl-citation.json"} </w:instrText>
      </w:r>
      <w:r w:rsidRPr="000F7E56">
        <w:rPr>
          <w:rFonts w:cstheme="minorHAnsi"/>
          <w:lang w:val="en-US"/>
        </w:rPr>
        <w:fldChar w:fldCharType="separate"/>
      </w:r>
      <w:r w:rsidR="000D5597" w:rsidRPr="000D5597">
        <w:rPr>
          <w:rFonts w:ascii="Calibri" w:hAnsi="Calibri" w:cs="Times New Roman"/>
          <w:szCs w:val="24"/>
          <w:vertAlign w:val="superscript"/>
        </w:rPr>
        <w:t>83,124,125</w:t>
      </w:r>
      <w:r w:rsidRPr="000F7E56">
        <w:rPr>
          <w:rFonts w:cstheme="minorHAnsi"/>
          <w:lang w:val="en-US"/>
        </w:rPr>
        <w:fldChar w:fldCharType="end"/>
      </w:r>
    </w:p>
    <w:p w14:paraId="755AFC6F" w14:textId="379F24CB" w:rsidR="000F7E56" w:rsidRPr="000F7E56" w:rsidRDefault="000F7E56" w:rsidP="000F7E56">
      <w:pPr>
        <w:spacing w:after="120" w:line="360" w:lineRule="auto"/>
        <w:rPr>
          <w:rFonts w:cstheme="minorHAnsi"/>
          <w:lang w:val="en-US"/>
        </w:rPr>
      </w:pPr>
      <w:r w:rsidRPr="000F7E56">
        <w:rPr>
          <w:rFonts w:cstheme="minorHAnsi"/>
          <w:lang w:val="en-US"/>
        </w:rPr>
        <w:t>A</w:t>
      </w:r>
      <w:r w:rsidR="000F7AD1">
        <w:rPr>
          <w:rFonts w:cstheme="minorHAnsi"/>
          <w:lang w:val="en-US"/>
        </w:rPr>
        <w:t>n</w:t>
      </w:r>
      <w:r w:rsidRPr="000F7E56">
        <w:rPr>
          <w:rFonts w:cstheme="minorHAnsi"/>
          <w:lang w:val="en-US"/>
        </w:rPr>
        <w:t xml:space="preserve"> HCP known to the patient made the first approach to a patient and provided them with the participant information leaflets for patients and FCGs. Patients, or someone acting on their behalf, then contacted the research team directly about their interest in the study by phone, email or returning a reply slip in a freepost envelope given to them by the HCP. Alternatively, if they preferred, they could give permission to the HCP who first approached them to pass their contact details to the research team requesting that contact to be made with them by the team.  </w:t>
      </w:r>
    </w:p>
    <w:p w14:paraId="3E932F80" w14:textId="77777777" w:rsidR="000F7E56" w:rsidRPr="000F7E56" w:rsidRDefault="000F7E56" w:rsidP="000F7E56">
      <w:pPr>
        <w:spacing w:after="120" w:line="360" w:lineRule="auto"/>
        <w:rPr>
          <w:rFonts w:cstheme="minorHAnsi"/>
          <w:lang w:val="en-US"/>
        </w:rPr>
      </w:pPr>
      <w:r w:rsidRPr="000F7E56">
        <w:rPr>
          <w:rFonts w:cstheme="minorHAnsi"/>
          <w:lang w:val="en-US"/>
        </w:rPr>
        <w:t xml:space="preserve">In cases where the patient did not speak English, the HCP would direct the patient (or FCG if they were interpreting on their behalf) to the appropriate information video on the LOROS project website and/or ask if a researcher with shared language skills may contact them. </w:t>
      </w:r>
    </w:p>
    <w:p w14:paraId="2F922109" w14:textId="77777777" w:rsidR="000F7E56" w:rsidRPr="000F7E56" w:rsidRDefault="000F7E56" w:rsidP="000F7E56">
      <w:pPr>
        <w:spacing w:after="120" w:line="360" w:lineRule="auto"/>
        <w:rPr>
          <w:rFonts w:cstheme="minorHAnsi"/>
          <w:lang w:val="en-US"/>
        </w:rPr>
      </w:pPr>
      <w:r w:rsidRPr="000F7E56">
        <w:rPr>
          <w:rFonts w:cstheme="minorHAnsi"/>
          <w:lang w:val="en-US"/>
        </w:rPr>
        <w:t>Where potential patient participants lacked the capacity to give any or full consent due to the nature of their illness (e.g. Dementia) the study was introduced to them and to their FCG by a known HCP. If the FCG considered that the patient would want to consider involvement then information about the study was shared with both parties in the ways described above. For such patients their involvement could be limited to permission to review their medical records and to a FCG and HCP to be approached to be involved. However, patients were not excluded from contributing to the study through interviews if the consultee considered that this would be appropriate and acceptable.</w:t>
      </w:r>
    </w:p>
    <w:p w14:paraId="140A2074" w14:textId="53489E93" w:rsidR="000F7E56" w:rsidRPr="000F7E56" w:rsidRDefault="000F7E56" w:rsidP="000F7E56">
      <w:pPr>
        <w:spacing w:after="120" w:line="360" w:lineRule="auto"/>
        <w:rPr>
          <w:rFonts w:cstheme="minorHAnsi"/>
          <w:lang w:val="en-US"/>
        </w:rPr>
      </w:pPr>
      <w:r w:rsidRPr="000F7E56">
        <w:rPr>
          <w:rFonts w:cstheme="minorHAnsi"/>
          <w:lang w:val="en-US"/>
        </w:rPr>
        <w:t>The research team contacted patients or their consultee who indicated that they were interested in the study and provided them with full participant information, including in audio/video format in their first language if needed. This was available in Guajarati and Hindi translations via the LOROS website link to the study. Audio/video-recorded methods of facilitating informed consent are regarded as acceptable alternative to written consent in study populations where literacy skills are variable.</w:t>
      </w:r>
      <w:r w:rsidRPr="000F7E56">
        <w:rPr>
          <w:rFonts w:cstheme="minorHAnsi"/>
          <w:lang w:val="en-US"/>
        </w:rPr>
        <w:fldChar w:fldCharType="begin"/>
      </w:r>
      <w:r w:rsidR="000D5597">
        <w:rPr>
          <w:rFonts w:cstheme="minorHAnsi"/>
          <w:lang w:val="en-US"/>
        </w:rPr>
        <w:instrText xml:space="preserve"> ADDIN ZOTERO_ITEM CSL_CITATION {"citationID":"meI9Tu2q","properties":{"formattedCitation":"\\super 126\\nosupersub{}","plainCitation":"126","noteIndex":0},"citationItems":[{"id":"aZbwIlcN/RcmTiieS","uris":["http://zotero.org/users/6587080/items/6PRT3Y3D"],"itemData":{"id":305,"type":"article-journal","abstract":"Previous health research has often explicitly excluded individuals from minority ethnic backgrounds due to perceived cultural and communication difficulties, including studies where there might be language/literacy problems in obtaining informed consent. This study addressed these difficulties by developing audio-recorded methods of obtaining informed consent and recording data. This report outlines 1) our experiences with securing recruitment to a qualitative study investigating alternative methods of data collection, and 2) the development of a standardised process for obtaining informed consent from individuals from minority ethnic backgrounds whose main language does not have an agreed written form.","container-title":"BMC Health Services Research","DOI":"10.1186/1472-6963-8-68","ISSN":"1472-6963","issue":"1","journalAbbreviation":"BMC Health Services Research","page":"68","source":"BioMed Central","title":"Securing recruitment and obtaining informed consent in minority ethnic groups in the UK","volume":"8","author":[{"family":"Lloyd","given":"Cathy E."},{"family":"Johnson","given":"Mark RD"},{"family":"Mughal","given":"Shanaz"},{"family":"Sturt","given":"Jackie A."},{"family":"Collins","given":"Gary S."},{"family":"Roy","given":"Tapash"},{"family":"Bibi","given":"Rukhsana"},{"family":"Barnett","given":"Anthony H."}],"issued":{"date-parts":[["2008",3,30]]}}}],"schema":"https://github.com/citation-style-language/schema/raw/master/csl-citation.json"} </w:instrText>
      </w:r>
      <w:r w:rsidRPr="000F7E56">
        <w:rPr>
          <w:rFonts w:cstheme="minorHAnsi"/>
          <w:lang w:val="en-US"/>
        </w:rPr>
        <w:fldChar w:fldCharType="separate"/>
      </w:r>
      <w:r w:rsidR="000D5597" w:rsidRPr="000D5597">
        <w:rPr>
          <w:rFonts w:ascii="Calibri" w:hAnsi="Calibri" w:cs="Times New Roman"/>
          <w:szCs w:val="24"/>
          <w:vertAlign w:val="superscript"/>
        </w:rPr>
        <w:t>126</w:t>
      </w:r>
      <w:r w:rsidRPr="000F7E56">
        <w:rPr>
          <w:rFonts w:cstheme="minorHAnsi"/>
          <w:lang w:val="en-US"/>
        </w:rPr>
        <w:fldChar w:fldCharType="end"/>
      </w:r>
      <w:r w:rsidRPr="000F7E56">
        <w:rPr>
          <w:rFonts w:cstheme="minorHAnsi"/>
          <w:lang w:val="en-US"/>
        </w:rPr>
        <w:t xml:space="preserve"> </w:t>
      </w:r>
    </w:p>
    <w:p w14:paraId="638BAEDF" w14:textId="286AA2AE" w:rsidR="000F7E56" w:rsidRDefault="000F7E56" w:rsidP="00A12C7D">
      <w:pPr>
        <w:pStyle w:val="Heading3"/>
        <w:rPr>
          <w:lang w:val="en-US"/>
        </w:rPr>
      </w:pPr>
      <w:bookmarkStart w:id="141" w:name="_Toc89665158"/>
      <w:bookmarkStart w:id="142" w:name="_Toc89671911"/>
      <w:bookmarkStart w:id="143" w:name="_Toc89763961"/>
      <w:bookmarkStart w:id="144" w:name="_Toc106697787"/>
      <w:r w:rsidRPr="000F7E56">
        <w:rPr>
          <w:lang w:val="en-US"/>
        </w:rPr>
        <w:t>W</w:t>
      </w:r>
      <w:r w:rsidR="00A662A8">
        <w:rPr>
          <w:lang w:val="en-US"/>
        </w:rPr>
        <w:t xml:space="preserve">ork Stream </w:t>
      </w:r>
      <w:r w:rsidRPr="000F7E56">
        <w:rPr>
          <w:lang w:val="en-US"/>
        </w:rPr>
        <w:t>2: Interviews with Bereaved Family Care Givers</w:t>
      </w:r>
      <w:bookmarkEnd w:id="141"/>
      <w:bookmarkEnd w:id="142"/>
      <w:bookmarkEnd w:id="143"/>
      <w:bookmarkEnd w:id="144"/>
    </w:p>
    <w:p w14:paraId="1DEFA5B6" w14:textId="77777777" w:rsidR="00A12C7D" w:rsidRPr="00A12C7D" w:rsidRDefault="00A12C7D" w:rsidP="00A12C7D">
      <w:pPr>
        <w:rPr>
          <w:lang w:val="en-US"/>
        </w:rPr>
      </w:pPr>
    </w:p>
    <w:p w14:paraId="00C08BB7" w14:textId="67689005" w:rsidR="000F7E56" w:rsidRDefault="000F7E56" w:rsidP="000F7E56">
      <w:pPr>
        <w:spacing w:after="120" w:line="360" w:lineRule="auto"/>
        <w:rPr>
          <w:rFonts w:cstheme="minorHAnsi"/>
          <w:lang w:val="en-US"/>
        </w:rPr>
      </w:pPr>
      <w:r w:rsidRPr="000F7E56">
        <w:rPr>
          <w:rFonts w:cstheme="minorHAnsi"/>
          <w:lang w:val="en-US"/>
        </w:rPr>
        <w:t xml:space="preserve">Bereaved FCGs of ED patients deceased from an advanced illness in the last 3-12 months were identified by HCPs in services described in WS1. </w:t>
      </w:r>
      <w:r w:rsidR="001C430D">
        <w:rPr>
          <w:rFonts w:cstheme="minorHAnsi"/>
          <w:lang w:val="en-US"/>
        </w:rPr>
        <w:t xml:space="preserve"> The HCPs </w:t>
      </w:r>
      <w:r w:rsidR="002D7758">
        <w:rPr>
          <w:rFonts w:cstheme="minorHAnsi"/>
          <w:lang w:val="en-US"/>
        </w:rPr>
        <w:t xml:space="preserve">identified and then </w:t>
      </w:r>
      <w:r w:rsidR="001C430D">
        <w:rPr>
          <w:rFonts w:cstheme="minorHAnsi"/>
          <w:lang w:val="en-US"/>
        </w:rPr>
        <w:t>contacted the BFCGs if they met the inclusion criteria in the first instance  in the same way as described in WS1. BFCGs</w:t>
      </w:r>
      <w:r w:rsidRPr="000F7E56">
        <w:rPr>
          <w:rFonts w:cstheme="minorHAnsi"/>
          <w:lang w:val="en-US"/>
        </w:rPr>
        <w:t xml:space="preserve"> were also identified through community networks of our PPI Lead and through networks developed in our previous work </w:t>
      </w:r>
      <w:r w:rsidR="009E69FD">
        <w:rPr>
          <w:rFonts w:cstheme="minorHAnsi"/>
          <w:lang w:val="en-US"/>
        </w:rPr>
        <w:t xml:space="preserve">which </w:t>
      </w:r>
      <w:r w:rsidR="009E69FD">
        <w:rPr>
          <w:rFonts w:cstheme="minorHAnsi"/>
          <w:lang w:val="en-US"/>
        </w:rPr>
        <w:lastRenderedPageBreak/>
        <w:t xml:space="preserve">included community groups and </w:t>
      </w:r>
      <w:proofErr w:type="spellStart"/>
      <w:r w:rsidR="009E69FD">
        <w:rPr>
          <w:rFonts w:cstheme="minorHAnsi"/>
          <w:lang w:val="en-US"/>
        </w:rPr>
        <w:t>organi</w:t>
      </w:r>
      <w:r w:rsidR="00C2222C">
        <w:rPr>
          <w:rFonts w:cstheme="minorHAnsi"/>
          <w:lang w:val="en-US"/>
        </w:rPr>
        <w:t>s</w:t>
      </w:r>
      <w:r w:rsidR="009E69FD">
        <w:rPr>
          <w:rFonts w:cstheme="minorHAnsi"/>
          <w:lang w:val="en-US"/>
        </w:rPr>
        <w:t>ations</w:t>
      </w:r>
      <w:proofErr w:type="spellEnd"/>
      <w:r w:rsidR="009E69FD">
        <w:rPr>
          <w:rFonts w:cstheme="minorHAnsi"/>
          <w:lang w:val="en-US"/>
        </w:rPr>
        <w:t xml:space="preserve"> </w:t>
      </w:r>
      <w:r w:rsidRPr="000F7E56">
        <w:rPr>
          <w:rFonts w:cstheme="minorHAnsi"/>
          <w:lang w:val="en-US"/>
        </w:rPr>
        <w:t xml:space="preserve">and in the awareness raising work described above. We also allowed participants to come forward themselves to engage in the research provided they met the recruitment criteria. </w:t>
      </w:r>
      <w:r w:rsidR="009E69FD">
        <w:rPr>
          <w:rFonts w:cstheme="minorHAnsi"/>
          <w:lang w:val="en-US"/>
        </w:rPr>
        <w:t xml:space="preserve">In such instances potential participants could directly contact the research team via contact information provided in the study flyer. </w:t>
      </w:r>
      <w:r w:rsidR="00C2222C">
        <w:rPr>
          <w:rFonts w:cstheme="minorHAnsi"/>
          <w:lang w:val="en-US"/>
        </w:rPr>
        <w:t xml:space="preserve">A member of the research team would then contact them and </w:t>
      </w:r>
      <w:r w:rsidR="001C430D">
        <w:rPr>
          <w:rFonts w:cstheme="minorHAnsi"/>
          <w:lang w:val="en-US"/>
        </w:rPr>
        <w:t>provide them with the study information sheet</w:t>
      </w:r>
      <w:r w:rsidR="002D7758">
        <w:rPr>
          <w:rFonts w:cstheme="minorHAnsi"/>
          <w:lang w:val="en-US"/>
        </w:rPr>
        <w:t xml:space="preserve"> leaflet</w:t>
      </w:r>
      <w:r w:rsidR="001C430D">
        <w:rPr>
          <w:rFonts w:cstheme="minorHAnsi"/>
          <w:lang w:val="en-US"/>
        </w:rPr>
        <w:t xml:space="preserve">. </w:t>
      </w:r>
      <w:r w:rsidR="00C2222C">
        <w:rPr>
          <w:rFonts w:cstheme="minorHAnsi"/>
          <w:lang w:val="en-US"/>
        </w:rPr>
        <w:t>p</w:t>
      </w:r>
      <w:r w:rsidRPr="000F7E56">
        <w:rPr>
          <w:rFonts w:cstheme="minorHAnsi"/>
          <w:lang w:val="en-US"/>
        </w:rPr>
        <w:t>articipants were purposely sampled in a similar way as described in WS1. The recruitment and consenting of participants who did not speak English was facilitated in the same way as described in WS1.</w:t>
      </w:r>
    </w:p>
    <w:p w14:paraId="24B5AC2F" w14:textId="77777777" w:rsidR="00A12C7D" w:rsidRPr="000F7E56" w:rsidRDefault="00A12C7D" w:rsidP="000F7E56">
      <w:pPr>
        <w:spacing w:after="120" w:line="360" w:lineRule="auto"/>
        <w:rPr>
          <w:rFonts w:cstheme="minorHAnsi"/>
          <w:lang w:val="en-US"/>
        </w:rPr>
      </w:pPr>
    </w:p>
    <w:p w14:paraId="75BC91C4" w14:textId="5C15822D" w:rsidR="000F7E56" w:rsidRPr="00A12C7D" w:rsidRDefault="000F7E56" w:rsidP="00A12C7D">
      <w:pPr>
        <w:pStyle w:val="Heading2"/>
        <w:rPr>
          <w:sz w:val="24"/>
          <w:szCs w:val="24"/>
          <w:lang w:val="en-US"/>
        </w:rPr>
      </w:pPr>
      <w:bookmarkStart w:id="145" w:name="_Toc106697788"/>
      <w:r w:rsidRPr="00A12C7D">
        <w:rPr>
          <w:sz w:val="24"/>
          <w:szCs w:val="24"/>
          <w:lang w:val="en-US"/>
        </w:rPr>
        <w:t xml:space="preserve">WS1 and </w:t>
      </w:r>
      <w:r w:rsidR="00A662A8" w:rsidRPr="00A12C7D">
        <w:rPr>
          <w:sz w:val="24"/>
          <w:szCs w:val="24"/>
          <w:lang w:val="en-US"/>
        </w:rPr>
        <w:t>Work Stream 2:</w:t>
      </w:r>
      <w:r w:rsidRPr="00A12C7D">
        <w:rPr>
          <w:sz w:val="24"/>
          <w:szCs w:val="24"/>
          <w:lang w:val="en-US"/>
        </w:rPr>
        <w:t xml:space="preserve"> </w:t>
      </w:r>
      <w:r w:rsidR="00A12C7D">
        <w:rPr>
          <w:sz w:val="24"/>
          <w:szCs w:val="24"/>
          <w:lang w:val="en-US"/>
        </w:rPr>
        <w:t>C</w:t>
      </w:r>
      <w:r w:rsidRPr="00A12C7D">
        <w:rPr>
          <w:sz w:val="24"/>
          <w:szCs w:val="24"/>
          <w:lang w:val="en-US"/>
        </w:rPr>
        <w:t>onsent</w:t>
      </w:r>
      <w:bookmarkEnd w:id="145"/>
    </w:p>
    <w:p w14:paraId="70595DBC" w14:textId="77777777" w:rsidR="00A12C7D" w:rsidRPr="000F7E56" w:rsidRDefault="00A12C7D" w:rsidP="000F7E56">
      <w:pPr>
        <w:keepNext/>
        <w:keepLines/>
        <w:spacing w:before="40" w:after="0" w:line="360" w:lineRule="auto"/>
        <w:outlineLvl w:val="1"/>
        <w:rPr>
          <w:rFonts w:asciiTheme="majorHAnsi" w:eastAsiaTheme="majorEastAsia" w:hAnsiTheme="majorHAnsi" w:cstheme="minorHAnsi"/>
          <w:color w:val="2F5496" w:themeColor="accent1" w:themeShade="BF"/>
          <w:sz w:val="24"/>
          <w:szCs w:val="24"/>
          <w:lang w:val="en-US"/>
        </w:rPr>
      </w:pPr>
    </w:p>
    <w:p w14:paraId="5E310570" w14:textId="61AA1012" w:rsidR="000F7E56" w:rsidRPr="000F7E56" w:rsidRDefault="000F7E56" w:rsidP="000F7E56">
      <w:pPr>
        <w:spacing w:after="120" w:line="360" w:lineRule="auto"/>
        <w:rPr>
          <w:rFonts w:cstheme="minorHAnsi"/>
          <w:lang w:val="en-US"/>
        </w:rPr>
      </w:pPr>
      <w:r w:rsidRPr="000F7E56">
        <w:rPr>
          <w:rFonts w:cstheme="minorHAnsi"/>
          <w:lang w:val="en-US"/>
        </w:rPr>
        <w:t xml:space="preserve">The process for obtaining participant informed consent at the outset, was undertaken with REC guidance, and </w:t>
      </w:r>
      <w:r w:rsidR="000F4960">
        <w:rPr>
          <w:rFonts w:cstheme="minorHAnsi"/>
          <w:lang w:val="en-US"/>
        </w:rPr>
        <w:t xml:space="preserve">in accordance with </w:t>
      </w:r>
      <w:r w:rsidRPr="000F7E56">
        <w:rPr>
          <w:rFonts w:cstheme="minorHAnsi"/>
          <w:lang w:val="en-US"/>
        </w:rPr>
        <w:t xml:space="preserve">Good Clinical Practice (GCP), GDPR (2018) regulatory requirements. </w:t>
      </w:r>
    </w:p>
    <w:p w14:paraId="19AA7B06" w14:textId="77777777" w:rsidR="000F7E56" w:rsidRPr="000F7E56" w:rsidRDefault="000F7E56" w:rsidP="000F7E56">
      <w:pPr>
        <w:spacing w:after="120" w:line="360" w:lineRule="auto"/>
        <w:rPr>
          <w:rFonts w:cstheme="minorHAnsi"/>
          <w:lang w:val="en-US"/>
        </w:rPr>
      </w:pPr>
      <w:r w:rsidRPr="000F7E56">
        <w:rPr>
          <w:rFonts w:cstheme="minorHAnsi"/>
          <w:lang w:val="en-US"/>
        </w:rPr>
        <w:t>The participants in WS1 and WS2 were given a copy of the original signed and dated consent form. The original signed and dated consent form was retained in the Trial Master File.</w:t>
      </w:r>
    </w:p>
    <w:p w14:paraId="3C3E46C8" w14:textId="77777777" w:rsidR="000F7E56" w:rsidRPr="000F7E56" w:rsidRDefault="000F7E56" w:rsidP="000F7E56">
      <w:pPr>
        <w:spacing w:after="120" w:line="360" w:lineRule="auto"/>
        <w:rPr>
          <w:rFonts w:cstheme="minorHAnsi"/>
          <w:lang w:val="en-US"/>
        </w:rPr>
      </w:pPr>
      <w:r w:rsidRPr="000F7E56">
        <w:rPr>
          <w:rFonts w:cstheme="minorHAnsi"/>
          <w:lang w:val="en-US"/>
        </w:rPr>
        <w:t xml:space="preserve">For patients who lacked capacity a consultee was asked to complete the consultee declaration form in accordance with the process of the mental capacity act 2005 and the HRA guidance. </w:t>
      </w:r>
    </w:p>
    <w:p w14:paraId="3C2E49F0" w14:textId="77777777" w:rsidR="000F7E56" w:rsidRPr="000F7E56" w:rsidRDefault="000F7E56" w:rsidP="000F7E56">
      <w:pPr>
        <w:spacing w:after="120" w:line="360" w:lineRule="auto"/>
        <w:rPr>
          <w:rFonts w:cstheme="minorHAnsi"/>
          <w:lang w:val="en-US"/>
        </w:rPr>
      </w:pPr>
      <w:r w:rsidRPr="000F7E56">
        <w:rPr>
          <w:rFonts w:cstheme="minorHAnsi"/>
          <w:lang w:val="en-US"/>
        </w:rPr>
        <w:t xml:space="preserve">The decision regarding participation in the study was entirely voluntary. The researcher </w:t>
      </w:r>
      <w:proofErr w:type="spellStart"/>
      <w:r w:rsidRPr="000F7E56">
        <w:rPr>
          <w:rFonts w:cstheme="minorHAnsi"/>
          <w:lang w:val="en-US"/>
        </w:rPr>
        <w:t>emphasised</w:t>
      </w:r>
      <w:proofErr w:type="spellEnd"/>
      <w:r w:rsidRPr="000F7E56">
        <w:rPr>
          <w:rFonts w:cstheme="minorHAnsi"/>
          <w:lang w:val="en-US"/>
        </w:rPr>
        <w:t xml:space="preserve"> to all participants that consent regarding study participation may be withdrawn at any time without penalty or affecting the quality or quantity of their future medical care, or loss of benefits to which the participant was otherwise entitled. In all instances:</w:t>
      </w:r>
    </w:p>
    <w:p w14:paraId="56D74983" w14:textId="77777777" w:rsidR="000F7E56" w:rsidRPr="000F7E56" w:rsidRDefault="000F7E56" w:rsidP="000F7E56">
      <w:pPr>
        <w:spacing w:after="120" w:line="360" w:lineRule="auto"/>
        <w:rPr>
          <w:rFonts w:cstheme="minorHAnsi"/>
          <w:lang w:val="en-US"/>
        </w:rPr>
      </w:pPr>
      <w:r w:rsidRPr="000F7E56">
        <w:rPr>
          <w:rFonts w:cstheme="minorHAnsi"/>
          <w:lang w:val="en-US"/>
        </w:rPr>
        <w:t>•</w:t>
      </w:r>
      <w:r w:rsidRPr="000F7E56">
        <w:rPr>
          <w:rFonts w:cstheme="minorHAnsi"/>
          <w:lang w:val="en-US"/>
        </w:rPr>
        <w:tab/>
        <w:t>written consent was taken;</w:t>
      </w:r>
    </w:p>
    <w:p w14:paraId="1C2C11D1" w14:textId="77777777" w:rsidR="000F7E56" w:rsidRPr="000F7E56" w:rsidRDefault="000F7E56" w:rsidP="000F7E56">
      <w:pPr>
        <w:spacing w:after="120" w:line="360" w:lineRule="auto"/>
        <w:ind w:left="720" w:hanging="720"/>
        <w:rPr>
          <w:rFonts w:cstheme="minorHAnsi"/>
          <w:lang w:val="en-US"/>
        </w:rPr>
      </w:pPr>
      <w:r w:rsidRPr="000F7E56">
        <w:rPr>
          <w:rFonts w:cstheme="minorHAnsi"/>
          <w:lang w:val="en-US"/>
        </w:rPr>
        <w:t>•</w:t>
      </w:r>
      <w:r w:rsidRPr="000F7E56">
        <w:rPr>
          <w:rFonts w:cstheme="minorHAnsi"/>
          <w:lang w:val="en-US"/>
        </w:rPr>
        <w:tab/>
        <w:t>where the participant’s first language was other than English, consent was taken verbally via a digital recorder as well as the participant completing a written consent form in English. The interpreter was also asked to sign the written consent form under ‘witness signature’;</w:t>
      </w:r>
    </w:p>
    <w:p w14:paraId="61B42FA1" w14:textId="77777777" w:rsidR="000F7E56" w:rsidRPr="000F7E56" w:rsidRDefault="000F7E56" w:rsidP="000F7E56">
      <w:pPr>
        <w:spacing w:after="120" w:line="360" w:lineRule="auto"/>
        <w:ind w:left="720" w:hanging="720"/>
        <w:rPr>
          <w:rFonts w:cstheme="minorHAnsi"/>
          <w:lang w:val="en-US"/>
        </w:rPr>
      </w:pPr>
      <w:r w:rsidRPr="000F7E56">
        <w:rPr>
          <w:rFonts w:cstheme="minorHAnsi"/>
          <w:lang w:val="en-US"/>
        </w:rPr>
        <w:t>•</w:t>
      </w:r>
      <w:r w:rsidRPr="000F7E56">
        <w:rPr>
          <w:rFonts w:cstheme="minorHAnsi"/>
          <w:lang w:val="en-US"/>
        </w:rPr>
        <w:tab/>
        <w:t>informed consent took place at least 24 hours after the participant had been given the full participant information or as long as they required to decide.</w:t>
      </w:r>
    </w:p>
    <w:p w14:paraId="58940FE0" w14:textId="77777777" w:rsidR="000F7E56" w:rsidRPr="000F7E56" w:rsidRDefault="000F7E56" w:rsidP="000F7E56">
      <w:pPr>
        <w:spacing w:after="120" w:line="360" w:lineRule="auto"/>
        <w:rPr>
          <w:rFonts w:ascii="Calibri" w:hAnsi="Calibri" w:cstheme="minorHAnsi"/>
        </w:rPr>
      </w:pPr>
      <w:r w:rsidRPr="000F7E56">
        <w:rPr>
          <w:rFonts w:ascii="Calibri" w:hAnsi="Calibri" w:cstheme="minorHAnsi"/>
        </w:rPr>
        <w:t xml:space="preserve">Consent with patients and FCGs (WS1) and bereaved FCGS (WS2) was undertaken face to face, via a professional interpreter accompanying the researcher when needed. Patients were seen in LOROS, their own home or </w:t>
      </w:r>
      <w:r w:rsidRPr="000F7E56">
        <w:rPr>
          <w:rFonts w:ascii="Calibri" w:hAnsi="Calibri"/>
        </w:rPr>
        <w:t>at a suitable location of their choice</w:t>
      </w:r>
      <w:r w:rsidRPr="000F7E56">
        <w:rPr>
          <w:rFonts w:ascii="Calibri" w:hAnsi="Calibri" w:cstheme="minorHAnsi"/>
        </w:rPr>
        <w:t>. For those individuals thought not to have capacity to give fully informed consent, we used the provisions of the MCA 2005 and the consultee provided information regarding the patient’s wishes about participation in research.</w:t>
      </w:r>
    </w:p>
    <w:p w14:paraId="4331DCCA" w14:textId="6265FE22" w:rsidR="000F7E56" w:rsidRPr="000F7E56" w:rsidRDefault="000F7E56" w:rsidP="000F7E56">
      <w:pPr>
        <w:autoSpaceDE w:val="0"/>
        <w:autoSpaceDN w:val="0"/>
        <w:adjustRightInd w:val="0"/>
        <w:spacing w:after="120" w:line="360" w:lineRule="auto"/>
        <w:rPr>
          <w:rFonts w:cstheme="minorHAnsi"/>
          <w:lang w:val="en-US"/>
        </w:rPr>
      </w:pPr>
      <w:r w:rsidRPr="000F7E56">
        <w:rPr>
          <w:rFonts w:ascii="Calibri" w:hAnsi="Calibri" w:cstheme="minorHAnsi"/>
        </w:rPr>
        <w:lastRenderedPageBreak/>
        <w:t xml:space="preserve">For HCPs consent was taken immediately before the interview. For phone interviews consent was taken verbally via a digital recorder and consent forms were sent to the HCP and they signed and sent the original back to the researcher by post, fax or e-mail. </w:t>
      </w:r>
      <w:r w:rsidRPr="000F7E56">
        <w:rPr>
          <w:rFonts w:cstheme="minorHAnsi"/>
          <w:lang w:val="en-US"/>
        </w:rPr>
        <w:t xml:space="preserve">Further details of the consent process are detailed in section ‘Ethical and Governance Approval’. </w:t>
      </w:r>
    </w:p>
    <w:p w14:paraId="6AF0181B" w14:textId="77777777" w:rsidR="000F7E56" w:rsidRPr="000F7E56" w:rsidRDefault="000F7E56" w:rsidP="000F7E56">
      <w:pPr>
        <w:keepNext/>
        <w:keepLines/>
        <w:spacing w:before="40" w:after="0" w:line="360" w:lineRule="auto"/>
        <w:outlineLvl w:val="1"/>
        <w:rPr>
          <w:rFonts w:asciiTheme="majorHAnsi" w:eastAsiaTheme="majorEastAsia" w:hAnsiTheme="majorHAnsi" w:cstheme="majorBidi"/>
          <w:color w:val="2F5496" w:themeColor="accent1" w:themeShade="BF"/>
          <w:sz w:val="26"/>
          <w:szCs w:val="26"/>
          <w:lang w:val="en-US"/>
        </w:rPr>
      </w:pPr>
    </w:p>
    <w:p w14:paraId="17D9C523" w14:textId="77777777" w:rsidR="000F7E56" w:rsidRPr="000F7E56" w:rsidRDefault="000F7E56" w:rsidP="000F7E56">
      <w:pPr>
        <w:keepNext/>
        <w:keepLines/>
        <w:spacing w:before="40" w:after="0" w:line="360" w:lineRule="auto"/>
        <w:outlineLvl w:val="1"/>
        <w:rPr>
          <w:rFonts w:asciiTheme="majorHAnsi" w:eastAsiaTheme="majorEastAsia" w:hAnsiTheme="majorHAnsi" w:cstheme="majorBidi"/>
          <w:color w:val="2F5496" w:themeColor="accent1" w:themeShade="BF"/>
          <w:sz w:val="24"/>
          <w:szCs w:val="24"/>
          <w:lang w:val="en-US"/>
        </w:rPr>
      </w:pPr>
      <w:bookmarkStart w:id="146" w:name="_Toc89665159"/>
      <w:bookmarkStart w:id="147" w:name="_Toc89671912"/>
      <w:bookmarkStart w:id="148" w:name="_Toc89763962"/>
      <w:bookmarkStart w:id="149" w:name="_Toc106697789"/>
      <w:r w:rsidRPr="000F7E56">
        <w:rPr>
          <w:rFonts w:asciiTheme="majorHAnsi" w:eastAsiaTheme="majorEastAsia" w:hAnsiTheme="majorHAnsi" w:cstheme="majorBidi"/>
          <w:color w:val="2F5496" w:themeColor="accent1" w:themeShade="BF"/>
          <w:sz w:val="24"/>
          <w:szCs w:val="24"/>
          <w:lang w:val="en-US"/>
        </w:rPr>
        <w:t>Data collection</w:t>
      </w:r>
      <w:bookmarkEnd w:id="146"/>
      <w:bookmarkEnd w:id="147"/>
      <w:bookmarkEnd w:id="148"/>
      <w:bookmarkEnd w:id="149"/>
    </w:p>
    <w:p w14:paraId="186C96F9" w14:textId="77777777" w:rsidR="000F7E56" w:rsidRPr="000F7E56" w:rsidRDefault="000F7E56" w:rsidP="000F7E56">
      <w:pPr>
        <w:keepNext/>
        <w:keepLines/>
        <w:spacing w:before="40" w:after="0" w:line="360" w:lineRule="auto"/>
        <w:outlineLvl w:val="1"/>
        <w:rPr>
          <w:rFonts w:asciiTheme="majorHAnsi" w:eastAsiaTheme="majorEastAsia" w:hAnsiTheme="majorHAnsi" w:cstheme="majorBidi"/>
          <w:color w:val="2F5496" w:themeColor="accent1" w:themeShade="BF"/>
          <w:sz w:val="24"/>
          <w:szCs w:val="24"/>
          <w:lang w:val="en-US"/>
        </w:rPr>
      </w:pPr>
      <w:bookmarkStart w:id="150" w:name="_Toc89665160"/>
      <w:bookmarkStart w:id="151" w:name="_Toc89671913"/>
      <w:bookmarkStart w:id="152" w:name="_Toc89763963"/>
      <w:bookmarkStart w:id="153" w:name="_Toc106697790"/>
      <w:r w:rsidRPr="000F7E56">
        <w:rPr>
          <w:rFonts w:asciiTheme="majorHAnsi" w:eastAsiaTheme="majorEastAsia" w:hAnsiTheme="majorHAnsi" w:cstheme="majorBidi"/>
          <w:color w:val="2F5496" w:themeColor="accent1" w:themeShade="BF"/>
          <w:sz w:val="24"/>
          <w:szCs w:val="24"/>
          <w:lang w:val="en-US"/>
        </w:rPr>
        <w:t>Case studies WS1</w:t>
      </w:r>
      <w:bookmarkEnd w:id="150"/>
      <w:bookmarkEnd w:id="151"/>
      <w:bookmarkEnd w:id="152"/>
      <w:bookmarkEnd w:id="153"/>
    </w:p>
    <w:p w14:paraId="18E89E55" w14:textId="77777777" w:rsidR="000F7E56" w:rsidRPr="000F7E56" w:rsidRDefault="000F7E56" w:rsidP="000F7E56">
      <w:pPr>
        <w:spacing w:after="120" w:line="360" w:lineRule="auto"/>
        <w:rPr>
          <w:rFonts w:cstheme="minorHAnsi"/>
          <w:lang w:val="en-US"/>
        </w:rPr>
      </w:pPr>
      <w:r w:rsidRPr="000F7E56">
        <w:rPr>
          <w:rFonts w:cstheme="minorHAnsi"/>
          <w:lang w:val="en-US"/>
        </w:rPr>
        <w:t xml:space="preserve">Longitudinal case studies comprised sequential interviews over a period of up to nine months with a patient, FCGs and an HCP nominated by the patient. Participants took part in a semi-structured, audio-recorded interview arranged at their convenience. Interviews with the patient and FCG participants were mostly face-to-face but post COVID-19 some were via telephone. If a patient died during the follow up period a bereavement interview was requested with each FCG at a minimum of 8 weeks after the death. Where possible a review of each patient’s medical records was also undertaken. </w:t>
      </w:r>
    </w:p>
    <w:p w14:paraId="2F0EEE7C" w14:textId="77777777" w:rsidR="000F7E56" w:rsidRPr="000F7E56" w:rsidRDefault="000F7E56" w:rsidP="000F7E56">
      <w:pPr>
        <w:spacing w:after="120" w:line="360" w:lineRule="auto"/>
        <w:rPr>
          <w:rFonts w:cstheme="minorHAnsi"/>
          <w:lang w:val="en-US"/>
        </w:rPr>
      </w:pPr>
      <w:r w:rsidRPr="000F7E56">
        <w:rPr>
          <w:rFonts w:cstheme="minorHAnsi"/>
          <w:lang w:val="en-US"/>
        </w:rPr>
        <w:t>We intended to be as inclusive as possible and each case-study was explored in its own terms. It is not necessary for case-studies to conform to a ‘standard’ composition and patients were given flexibility and options in how they wish to be part of the study. Consequently, the data set includes:</w:t>
      </w:r>
    </w:p>
    <w:p w14:paraId="6ADFC916" w14:textId="77777777" w:rsidR="000F7E56" w:rsidRPr="000F7E56" w:rsidRDefault="000F7E56" w:rsidP="000F7E56">
      <w:pPr>
        <w:spacing w:after="120" w:line="360" w:lineRule="auto"/>
        <w:ind w:left="720" w:hanging="720"/>
        <w:rPr>
          <w:rFonts w:cstheme="minorHAnsi"/>
          <w:lang w:val="en-US"/>
        </w:rPr>
      </w:pPr>
      <w:r w:rsidRPr="000F7E56">
        <w:rPr>
          <w:rFonts w:cstheme="minorHAnsi"/>
          <w:lang w:val="en-US"/>
        </w:rPr>
        <w:t>•</w:t>
      </w:r>
      <w:r w:rsidRPr="000F7E56">
        <w:rPr>
          <w:rFonts w:cstheme="minorHAnsi"/>
          <w:lang w:val="en-US"/>
        </w:rPr>
        <w:tab/>
        <w:t xml:space="preserve">patients who lacked FCGs or who were unwilling/unable to nominate specific FCGs or HCP were eligible for inclusion in the study; </w:t>
      </w:r>
    </w:p>
    <w:p w14:paraId="26323A1E" w14:textId="77777777" w:rsidR="000F7E56" w:rsidRPr="000F7E56" w:rsidRDefault="000F7E56" w:rsidP="000F7E56">
      <w:pPr>
        <w:spacing w:after="120" w:line="360" w:lineRule="auto"/>
        <w:rPr>
          <w:rFonts w:cstheme="minorHAnsi"/>
          <w:lang w:val="en-US"/>
        </w:rPr>
      </w:pPr>
      <w:r w:rsidRPr="000F7E56">
        <w:rPr>
          <w:rFonts w:cstheme="minorHAnsi"/>
          <w:lang w:val="en-US"/>
        </w:rPr>
        <w:t>•</w:t>
      </w:r>
      <w:r w:rsidRPr="000F7E56">
        <w:rPr>
          <w:rFonts w:cstheme="minorHAnsi"/>
          <w:lang w:val="en-US"/>
        </w:rPr>
        <w:tab/>
        <w:t xml:space="preserve">patients who nominated more than one FCG to take part in their case study. </w:t>
      </w:r>
    </w:p>
    <w:p w14:paraId="6FEC64BE" w14:textId="77777777" w:rsidR="000F7E56" w:rsidRPr="000F7E56" w:rsidRDefault="000F7E56" w:rsidP="000F7E56">
      <w:pPr>
        <w:spacing w:after="120" w:line="360" w:lineRule="auto"/>
        <w:rPr>
          <w:rFonts w:cstheme="minorHAnsi"/>
          <w:lang w:val="en-US"/>
        </w:rPr>
      </w:pPr>
      <w:r w:rsidRPr="000F7E56">
        <w:rPr>
          <w:rFonts w:cstheme="minorHAnsi"/>
          <w:lang w:val="en-US"/>
        </w:rPr>
        <w:t>In some case studies the greater part of the interview data was drawn from interviews with FCGs and HCPs.   This was in the circumstances when:</w:t>
      </w:r>
    </w:p>
    <w:p w14:paraId="5AE1B0AD" w14:textId="77777777" w:rsidR="000F7E56" w:rsidRPr="000F7E56" w:rsidRDefault="000F7E56" w:rsidP="000F7E56">
      <w:pPr>
        <w:spacing w:after="120" w:line="360" w:lineRule="auto"/>
        <w:ind w:left="720" w:hanging="720"/>
        <w:rPr>
          <w:rFonts w:cstheme="minorHAnsi"/>
          <w:lang w:val="en-US"/>
        </w:rPr>
      </w:pPr>
      <w:r w:rsidRPr="000F7E56">
        <w:rPr>
          <w:rFonts w:cstheme="minorHAnsi"/>
          <w:lang w:val="en-US"/>
        </w:rPr>
        <w:t>•</w:t>
      </w:r>
      <w:r w:rsidRPr="000F7E56">
        <w:rPr>
          <w:rFonts w:cstheme="minorHAnsi"/>
          <w:lang w:val="en-US"/>
        </w:rPr>
        <w:tab/>
        <w:t xml:space="preserve">patients did not wish to participate in some or all interviews but were willing for their nominated FCGs and HCP to do so and to have their notes reviewed;  </w:t>
      </w:r>
    </w:p>
    <w:p w14:paraId="1F43CD2B" w14:textId="77777777" w:rsidR="000F7E56" w:rsidRPr="000F7E56" w:rsidRDefault="000F7E56" w:rsidP="000F7E56">
      <w:pPr>
        <w:spacing w:after="120" w:line="360" w:lineRule="auto"/>
        <w:ind w:left="720" w:hanging="720"/>
        <w:rPr>
          <w:rFonts w:cstheme="minorHAnsi"/>
          <w:lang w:val="en-US"/>
        </w:rPr>
      </w:pPr>
      <w:r w:rsidRPr="000F7E56">
        <w:rPr>
          <w:rFonts w:cstheme="minorHAnsi"/>
          <w:lang w:val="en-US"/>
        </w:rPr>
        <w:t>•</w:t>
      </w:r>
      <w:r w:rsidRPr="000F7E56">
        <w:rPr>
          <w:rFonts w:cstheme="minorHAnsi"/>
          <w:lang w:val="en-US"/>
        </w:rPr>
        <w:tab/>
        <w:t xml:space="preserve">patients who lacked capacity to give full consent from the start (e.g. patients with dementia or brain </w:t>
      </w:r>
      <w:proofErr w:type="spellStart"/>
      <w:r w:rsidRPr="000F7E56">
        <w:rPr>
          <w:rFonts w:cstheme="minorHAnsi"/>
          <w:lang w:val="en-US"/>
        </w:rPr>
        <w:t>tumour</w:t>
      </w:r>
      <w:proofErr w:type="spellEnd"/>
      <w:r w:rsidRPr="000F7E56">
        <w:rPr>
          <w:rFonts w:cstheme="minorHAnsi"/>
          <w:lang w:val="en-US"/>
        </w:rPr>
        <w:t>).</w:t>
      </w:r>
    </w:p>
    <w:p w14:paraId="0722A8D1" w14:textId="77777777" w:rsidR="000F7E56" w:rsidRPr="000F7E56" w:rsidRDefault="000F7E56" w:rsidP="000F7E56">
      <w:pPr>
        <w:tabs>
          <w:tab w:val="left" w:pos="998"/>
        </w:tabs>
        <w:spacing w:after="120" w:line="360" w:lineRule="auto"/>
        <w:rPr>
          <w:rFonts w:cstheme="minorHAnsi"/>
          <w:lang w:val="en-US"/>
        </w:rPr>
      </w:pPr>
      <w:r w:rsidRPr="000F7E56">
        <w:rPr>
          <w:rFonts w:cstheme="minorHAnsi"/>
          <w:lang w:val="en-US"/>
        </w:rPr>
        <w:t xml:space="preserve">The number of interviews conducted with each participant was determined by the circumstances of each case-study. A minimum of two interviews was needed for each case-study. A maximum of two follow-up interviews over a six to nine months period were undertaken with each patient and FCG. Interviews were with patients and FCGs separately, jointly or a combination, according to participant preferences and convenience. </w:t>
      </w:r>
    </w:p>
    <w:p w14:paraId="57B30442" w14:textId="72309D6E" w:rsidR="000F7E56" w:rsidRPr="000F7E56" w:rsidRDefault="000F7E56" w:rsidP="000F7E56">
      <w:pPr>
        <w:spacing w:after="120" w:line="360" w:lineRule="auto"/>
        <w:rPr>
          <w:rFonts w:cstheme="minorHAnsi"/>
          <w:lang w:val="en-US"/>
        </w:rPr>
      </w:pPr>
      <w:r w:rsidRPr="000F7E56">
        <w:rPr>
          <w:rFonts w:cstheme="minorHAnsi"/>
          <w:lang w:val="en-US"/>
        </w:rPr>
        <w:lastRenderedPageBreak/>
        <w:t xml:space="preserve">A nominated HCP was invited to take part in at least one and at most two interviews to discuss their involvement in the case. See Figure 2 </w:t>
      </w:r>
      <w:r w:rsidR="000C7E4F">
        <w:rPr>
          <w:rFonts w:cstheme="minorHAnsi"/>
          <w:lang w:val="en-US"/>
        </w:rPr>
        <w:t>Patient c</w:t>
      </w:r>
      <w:r w:rsidRPr="000F7E56">
        <w:rPr>
          <w:rFonts w:cstheme="minorHAnsi"/>
          <w:lang w:val="en-US"/>
        </w:rPr>
        <w:t>ase</w:t>
      </w:r>
      <w:r w:rsidR="000C7E4F">
        <w:rPr>
          <w:rFonts w:cstheme="minorHAnsi"/>
          <w:lang w:val="en-US"/>
        </w:rPr>
        <w:t xml:space="preserve"> study</w:t>
      </w:r>
      <w:r w:rsidRPr="000F7E56">
        <w:rPr>
          <w:rFonts w:cstheme="minorHAnsi"/>
          <w:lang w:val="en-US"/>
        </w:rPr>
        <w:t xml:space="preserve"> composition</w:t>
      </w:r>
    </w:p>
    <w:p w14:paraId="09B749DF" w14:textId="77777777" w:rsidR="000F7E56" w:rsidRPr="000F7E56" w:rsidRDefault="000F7E56" w:rsidP="000F7E56">
      <w:pPr>
        <w:spacing w:after="120" w:line="360" w:lineRule="auto"/>
        <w:jc w:val="both"/>
        <w:rPr>
          <w:rFonts w:cstheme="minorHAnsi"/>
          <w:lang w:val="en-US"/>
        </w:rPr>
      </w:pPr>
      <w:r w:rsidRPr="000F7E56">
        <w:rPr>
          <w:rFonts w:cs="Calibri"/>
          <w:noProof/>
          <w:lang w:eastAsia="en-GB"/>
        </w:rPr>
        <w:drawing>
          <wp:anchor distT="0" distB="0" distL="114300" distR="114300" simplePos="0" relativeHeight="251659264" behindDoc="1" locked="0" layoutInCell="1" allowOverlap="1" wp14:anchorId="2BB6CE4E" wp14:editId="1F1545CD">
            <wp:simplePos x="0" y="0"/>
            <wp:positionH relativeFrom="margin">
              <wp:align>left</wp:align>
            </wp:positionH>
            <wp:positionV relativeFrom="paragraph">
              <wp:posOffset>380365</wp:posOffset>
            </wp:positionV>
            <wp:extent cx="4267200" cy="1762125"/>
            <wp:effectExtent l="0" t="0" r="57150" b="28575"/>
            <wp:wrapTight wrapText="bothSides">
              <wp:wrapPolygon edited="0">
                <wp:start x="3568" y="0"/>
                <wp:lineTo x="2893" y="234"/>
                <wp:lineTo x="868" y="3036"/>
                <wp:lineTo x="579" y="4904"/>
                <wp:lineTo x="0" y="7472"/>
                <wp:lineTo x="0" y="13077"/>
                <wp:lineTo x="96" y="14945"/>
                <wp:lineTo x="1061" y="19148"/>
                <wp:lineTo x="3086" y="21717"/>
                <wp:lineTo x="3375" y="21717"/>
                <wp:lineTo x="21793" y="21717"/>
                <wp:lineTo x="21793" y="0"/>
                <wp:lineTo x="3568" y="0"/>
              </wp:wrapPolygon>
            </wp:wrapTight>
            <wp:docPr id="194" name="Diagram 194"/>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9" r:lo="rId20" r:qs="rId21" r:cs="rId22"/>
              </a:graphicData>
            </a:graphic>
            <wp14:sizeRelH relativeFrom="page">
              <wp14:pctWidth>0</wp14:pctWidth>
            </wp14:sizeRelH>
            <wp14:sizeRelV relativeFrom="page">
              <wp14:pctHeight>0</wp14:pctHeight>
            </wp14:sizeRelV>
          </wp:anchor>
        </w:drawing>
      </w:r>
    </w:p>
    <w:p w14:paraId="5799A715" w14:textId="77777777" w:rsidR="000F7E56" w:rsidRPr="000F7E56" w:rsidRDefault="000F7E56" w:rsidP="000F7E56">
      <w:pPr>
        <w:spacing w:after="120" w:line="360" w:lineRule="auto"/>
        <w:jc w:val="both"/>
        <w:rPr>
          <w:rFonts w:cstheme="minorHAnsi"/>
          <w:lang w:val="en-US"/>
        </w:rPr>
      </w:pPr>
      <w:r w:rsidRPr="000F7E56">
        <w:rPr>
          <w:rFonts w:cstheme="minorHAnsi"/>
          <w:lang w:val="en-US"/>
        </w:rPr>
        <w:tab/>
      </w:r>
    </w:p>
    <w:p w14:paraId="3CABBDE0" w14:textId="77777777" w:rsidR="000F7E56" w:rsidRPr="000F7E56" w:rsidRDefault="000F7E56" w:rsidP="000F7E56">
      <w:pPr>
        <w:spacing w:after="120" w:line="360" w:lineRule="auto"/>
        <w:jc w:val="both"/>
        <w:rPr>
          <w:rFonts w:cstheme="minorHAnsi"/>
          <w:b/>
          <w:i/>
          <w:lang w:val="en-US"/>
        </w:rPr>
      </w:pPr>
    </w:p>
    <w:p w14:paraId="23A00DC6" w14:textId="77777777" w:rsidR="000F7E56" w:rsidRPr="000F7E56" w:rsidRDefault="000F7E56" w:rsidP="000F7E56">
      <w:pPr>
        <w:spacing w:after="120" w:line="360" w:lineRule="auto"/>
        <w:jc w:val="both"/>
        <w:rPr>
          <w:rFonts w:cstheme="minorHAnsi"/>
          <w:b/>
          <w:i/>
          <w:lang w:val="en-US"/>
        </w:rPr>
      </w:pPr>
    </w:p>
    <w:p w14:paraId="4E3D1EC6" w14:textId="77777777" w:rsidR="000F7E56" w:rsidRPr="000F7E56" w:rsidRDefault="000F7E56" w:rsidP="000F7E56">
      <w:pPr>
        <w:spacing w:after="120" w:line="360" w:lineRule="auto"/>
        <w:jc w:val="both"/>
        <w:rPr>
          <w:rFonts w:cstheme="minorHAnsi"/>
          <w:b/>
          <w:i/>
          <w:lang w:val="en-US"/>
        </w:rPr>
      </w:pPr>
    </w:p>
    <w:p w14:paraId="19D27477" w14:textId="77777777" w:rsidR="000F7E56" w:rsidRPr="000F7E56" w:rsidRDefault="000F7E56" w:rsidP="000F7E56">
      <w:pPr>
        <w:spacing w:after="120" w:line="360" w:lineRule="auto"/>
        <w:jc w:val="both"/>
        <w:rPr>
          <w:rFonts w:cstheme="minorHAnsi"/>
          <w:b/>
          <w:i/>
          <w:lang w:val="en-US"/>
        </w:rPr>
      </w:pPr>
    </w:p>
    <w:p w14:paraId="39CAA73D" w14:textId="77777777" w:rsidR="000F7E56" w:rsidRPr="000F7E56" w:rsidRDefault="000F7E56" w:rsidP="000F7E56">
      <w:pPr>
        <w:spacing w:after="120" w:line="360" w:lineRule="auto"/>
        <w:jc w:val="both"/>
        <w:rPr>
          <w:rFonts w:cstheme="minorHAnsi"/>
          <w:b/>
          <w:i/>
          <w:lang w:val="en-US"/>
        </w:rPr>
      </w:pPr>
    </w:p>
    <w:p w14:paraId="2E7E96DE" w14:textId="327B79AB" w:rsidR="000F7E56" w:rsidRPr="000F7E56" w:rsidRDefault="000F7E56" w:rsidP="000F7E56">
      <w:pPr>
        <w:keepNext/>
        <w:spacing w:after="200" w:line="240" w:lineRule="auto"/>
        <w:jc w:val="both"/>
        <w:rPr>
          <w:rFonts w:cstheme="minorHAnsi"/>
          <w:iCs/>
          <w:color w:val="44546A" w:themeColor="text2"/>
        </w:rPr>
      </w:pPr>
      <w:bookmarkStart w:id="154" w:name="_Toc89684722"/>
      <w:bookmarkStart w:id="155" w:name="_Toc89966700"/>
      <w:bookmarkStart w:id="156" w:name="_Toc90545001"/>
      <w:r w:rsidRPr="000F7E56">
        <w:rPr>
          <w:rFonts w:cstheme="minorHAnsi"/>
          <w:iCs/>
          <w:color w:val="44546A" w:themeColor="text2"/>
        </w:rPr>
        <w:t xml:space="preserve">FIGURE </w:t>
      </w:r>
      <w:r w:rsidRPr="000F7E56">
        <w:rPr>
          <w:rFonts w:cstheme="minorHAnsi"/>
          <w:iCs/>
          <w:color w:val="44546A" w:themeColor="text2"/>
        </w:rPr>
        <w:fldChar w:fldCharType="begin"/>
      </w:r>
      <w:r w:rsidRPr="000F7E56">
        <w:rPr>
          <w:rFonts w:cstheme="minorHAnsi"/>
          <w:iCs/>
          <w:color w:val="44546A" w:themeColor="text2"/>
        </w:rPr>
        <w:instrText xml:space="preserve"> SEQ Figure \* ARABIC </w:instrText>
      </w:r>
      <w:r w:rsidRPr="000F7E56">
        <w:rPr>
          <w:rFonts w:cstheme="minorHAnsi"/>
          <w:iCs/>
          <w:color w:val="44546A" w:themeColor="text2"/>
        </w:rPr>
        <w:fldChar w:fldCharType="separate"/>
      </w:r>
      <w:r w:rsidRPr="000F7E56">
        <w:rPr>
          <w:rFonts w:cstheme="minorHAnsi"/>
          <w:iCs/>
          <w:noProof/>
          <w:color w:val="44546A" w:themeColor="text2"/>
        </w:rPr>
        <w:t>2</w:t>
      </w:r>
      <w:r w:rsidRPr="000F7E56">
        <w:rPr>
          <w:rFonts w:cstheme="minorHAnsi"/>
          <w:iCs/>
          <w:noProof/>
          <w:color w:val="44546A" w:themeColor="text2"/>
        </w:rPr>
        <w:fldChar w:fldCharType="end"/>
      </w:r>
      <w:r w:rsidRPr="000F7E56">
        <w:rPr>
          <w:rFonts w:cstheme="minorHAnsi"/>
          <w:iCs/>
          <w:noProof/>
          <w:color w:val="44546A" w:themeColor="text2"/>
        </w:rPr>
        <w:t xml:space="preserve"> </w:t>
      </w:r>
      <w:r w:rsidR="00496C3B">
        <w:rPr>
          <w:rFonts w:cstheme="minorHAnsi"/>
          <w:iCs/>
          <w:noProof/>
          <w:color w:val="44546A" w:themeColor="text2"/>
        </w:rPr>
        <w:t>–</w:t>
      </w:r>
      <w:r w:rsidRPr="000F7E56">
        <w:rPr>
          <w:rFonts w:cstheme="minorHAnsi"/>
          <w:iCs/>
          <w:color w:val="44546A" w:themeColor="text2"/>
        </w:rPr>
        <w:t xml:space="preserve"> </w:t>
      </w:r>
      <w:bookmarkEnd w:id="154"/>
      <w:bookmarkEnd w:id="155"/>
      <w:r w:rsidR="00496C3B">
        <w:rPr>
          <w:rFonts w:cstheme="minorHAnsi"/>
          <w:iCs/>
          <w:color w:val="44546A" w:themeColor="text2"/>
        </w:rPr>
        <w:t>Patient case study composition</w:t>
      </w:r>
      <w:bookmarkEnd w:id="156"/>
    </w:p>
    <w:p w14:paraId="496E95F8" w14:textId="77777777" w:rsidR="000F7E56" w:rsidRPr="000F7E56" w:rsidRDefault="000F7E56" w:rsidP="000F7E56"/>
    <w:p w14:paraId="327C2456" w14:textId="77777777" w:rsidR="000F7E56" w:rsidRPr="000F7E56" w:rsidRDefault="000F7E56" w:rsidP="000F7E56">
      <w:pPr>
        <w:spacing w:after="120" w:line="360" w:lineRule="auto"/>
        <w:rPr>
          <w:rFonts w:cstheme="minorHAnsi"/>
          <w:lang w:val="en-US"/>
        </w:rPr>
      </w:pPr>
      <w:r w:rsidRPr="000F7E56">
        <w:rPr>
          <w:rFonts w:cstheme="minorHAnsi"/>
          <w:lang w:val="en-US"/>
        </w:rPr>
        <w:t xml:space="preserve">Experienced researchers conducted all interviews. The same researcher conducted all the interviews with each participant in the patient’s case study. </w:t>
      </w:r>
    </w:p>
    <w:p w14:paraId="5F8AB787" w14:textId="77777777" w:rsidR="000F7E56" w:rsidRPr="000F7E56" w:rsidRDefault="000F7E56" w:rsidP="000F7E56">
      <w:pPr>
        <w:spacing w:after="120" w:line="360" w:lineRule="auto"/>
        <w:rPr>
          <w:rFonts w:cstheme="minorHAnsi"/>
          <w:lang w:val="en-US"/>
        </w:rPr>
      </w:pPr>
      <w:r w:rsidRPr="000F7E56">
        <w:rPr>
          <w:rFonts w:cstheme="minorHAnsi"/>
          <w:lang w:val="en-US"/>
        </w:rPr>
        <w:t>The content discussed in each interview developed over time but in general interviews with patients and FCGs included exploration of the following themes:</w:t>
      </w:r>
    </w:p>
    <w:p w14:paraId="67AFB066" w14:textId="77777777" w:rsidR="000F7E56" w:rsidRPr="000F7E56" w:rsidRDefault="000F7E56" w:rsidP="000F7E56">
      <w:pPr>
        <w:spacing w:after="120" w:line="360" w:lineRule="auto"/>
        <w:jc w:val="both"/>
        <w:rPr>
          <w:rFonts w:cstheme="minorHAnsi"/>
          <w:lang w:val="en-US"/>
        </w:rPr>
      </w:pPr>
      <w:r w:rsidRPr="000F7E56">
        <w:rPr>
          <w:rFonts w:cstheme="minorHAnsi"/>
          <w:lang w:val="en-US"/>
        </w:rPr>
        <w:t>•</w:t>
      </w:r>
      <w:r w:rsidRPr="000F7E56">
        <w:rPr>
          <w:rFonts w:cstheme="minorHAnsi"/>
          <w:lang w:val="en-US"/>
        </w:rPr>
        <w:tab/>
        <w:t>experience of living with serious illness;</w:t>
      </w:r>
    </w:p>
    <w:p w14:paraId="5A0F2AA5" w14:textId="77777777" w:rsidR="000F7E56" w:rsidRPr="000F7E56" w:rsidRDefault="000F7E56" w:rsidP="000F7E56">
      <w:pPr>
        <w:spacing w:after="120" w:line="360" w:lineRule="auto"/>
        <w:jc w:val="both"/>
        <w:rPr>
          <w:rFonts w:cstheme="minorHAnsi"/>
          <w:lang w:val="en-US"/>
        </w:rPr>
      </w:pPr>
      <w:r w:rsidRPr="000F7E56">
        <w:rPr>
          <w:rFonts w:cstheme="minorHAnsi"/>
          <w:lang w:val="en-US"/>
        </w:rPr>
        <w:t>•</w:t>
      </w:r>
      <w:r w:rsidRPr="000F7E56">
        <w:rPr>
          <w:rFonts w:cstheme="minorHAnsi"/>
          <w:lang w:val="en-US"/>
        </w:rPr>
        <w:tab/>
        <w:t>understanding of the illness and the prognosis;</w:t>
      </w:r>
    </w:p>
    <w:p w14:paraId="12E3E3DF" w14:textId="77777777" w:rsidR="000F7E56" w:rsidRPr="000F7E56" w:rsidRDefault="000F7E56" w:rsidP="000F7E56">
      <w:pPr>
        <w:spacing w:after="120" w:line="360" w:lineRule="auto"/>
        <w:jc w:val="both"/>
        <w:rPr>
          <w:rFonts w:cstheme="minorHAnsi"/>
          <w:lang w:val="en-US"/>
        </w:rPr>
      </w:pPr>
      <w:r w:rsidRPr="000F7E56">
        <w:rPr>
          <w:rFonts w:cstheme="minorHAnsi"/>
          <w:lang w:val="en-US"/>
        </w:rPr>
        <w:t>•</w:t>
      </w:r>
      <w:r w:rsidRPr="000F7E56">
        <w:rPr>
          <w:rFonts w:cstheme="minorHAnsi"/>
          <w:lang w:val="en-US"/>
        </w:rPr>
        <w:tab/>
        <w:t>goals and values with regards to their future care;</w:t>
      </w:r>
    </w:p>
    <w:p w14:paraId="4BA99304" w14:textId="77777777" w:rsidR="000F7E56" w:rsidRPr="000F7E56" w:rsidRDefault="000F7E56" w:rsidP="000F7E56">
      <w:pPr>
        <w:spacing w:after="120" w:line="360" w:lineRule="auto"/>
        <w:ind w:left="720" w:hanging="720"/>
        <w:jc w:val="both"/>
        <w:rPr>
          <w:rFonts w:cstheme="minorHAnsi"/>
          <w:lang w:val="en-US"/>
        </w:rPr>
      </w:pPr>
      <w:r w:rsidRPr="000F7E56">
        <w:rPr>
          <w:rFonts w:cstheme="minorHAnsi"/>
          <w:lang w:val="en-US"/>
        </w:rPr>
        <w:t>•</w:t>
      </w:r>
      <w:r w:rsidRPr="000F7E56">
        <w:rPr>
          <w:rFonts w:cstheme="minorHAnsi"/>
          <w:lang w:val="en-US"/>
        </w:rPr>
        <w:tab/>
        <w:t>anticipation and thinking about the future, about decision-making and treatment preferences and the significant factors influencing these;</w:t>
      </w:r>
    </w:p>
    <w:p w14:paraId="4379D25A" w14:textId="77777777" w:rsidR="000F7E56" w:rsidRPr="000F7E56" w:rsidRDefault="000F7E56" w:rsidP="000F7E56">
      <w:pPr>
        <w:spacing w:after="120" w:line="360" w:lineRule="auto"/>
        <w:jc w:val="both"/>
        <w:rPr>
          <w:rFonts w:cstheme="minorHAnsi"/>
          <w:lang w:val="en-US"/>
        </w:rPr>
      </w:pPr>
      <w:r w:rsidRPr="000F7E56">
        <w:rPr>
          <w:rFonts w:cstheme="minorHAnsi"/>
          <w:lang w:val="en-US"/>
        </w:rPr>
        <w:t>•</w:t>
      </w:r>
      <w:r w:rsidRPr="000F7E56">
        <w:rPr>
          <w:rFonts w:cstheme="minorHAnsi"/>
          <w:lang w:val="en-US"/>
        </w:rPr>
        <w:tab/>
        <w:t>preferences in how such decisions are made;</w:t>
      </w:r>
    </w:p>
    <w:p w14:paraId="33878EA1" w14:textId="77777777" w:rsidR="000F7E56" w:rsidRPr="000F7E56" w:rsidRDefault="000F7E56" w:rsidP="000F7E56">
      <w:pPr>
        <w:spacing w:after="120" w:line="360" w:lineRule="auto"/>
        <w:ind w:left="720" w:hanging="720"/>
        <w:jc w:val="both"/>
        <w:rPr>
          <w:rFonts w:cstheme="minorHAnsi"/>
          <w:lang w:val="en-US"/>
        </w:rPr>
      </w:pPr>
      <w:r w:rsidRPr="000F7E56">
        <w:rPr>
          <w:rFonts w:cstheme="minorHAnsi"/>
          <w:lang w:val="en-US"/>
        </w:rPr>
        <w:t>•</w:t>
      </w:r>
      <w:r w:rsidRPr="000F7E56">
        <w:rPr>
          <w:rFonts w:cstheme="minorHAnsi"/>
          <w:lang w:val="en-US"/>
        </w:rPr>
        <w:tab/>
        <w:t xml:space="preserve">expectations and experiences of professional support and communication about deterioration, EOLC and EOLCP. </w:t>
      </w:r>
    </w:p>
    <w:p w14:paraId="72777859" w14:textId="3169EE3A" w:rsidR="000F7E56" w:rsidRPr="000F7E56" w:rsidRDefault="000F7E56" w:rsidP="000F7E56">
      <w:pPr>
        <w:spacing w:after="120" w:line="360" w:lineRule="auto"/>
        <w:rPr>
          <w:rFonts w:cstheme="minorHAnsi"/>
          <w:lang w:val="en-US"/>
        </w:rPr>
      </w:pPr>
      <w:r w:rsidRPr="000F7E56">
        <w:rPr>
          <w:rFonts w:cstheme="minorHAnsi"/>
          <w:lang w:val="en-US"/>
        </w:rPr>
        <w:t>We were mindful that the experience of taking part in the interviews may have had an influence on the individuals.’</w:t>
      </w:r>
      <w:r w:rsidRPr="000F7E56">
        <w:rPr>
          <w:rFonts w:cstheme="minorHAnsi"/>
          <w:lang w:val="en-US"/>
        </w:rPr>
        <w:fldChar w:fldCharType="begin"/>
      </w:r>
      <w:r w:rsidR="000D5597">
        <w:rPr>
          <w:rFonts w:cstheme="minorHAnsi"/>
          <w:lang w:val="en-US"/>
        </w:rPr>
        <w:instrText xml:space="preserve"> ADDIN ZOTERO_ITEM CSL_CITATION {"citationID":"d6gwCm8b","properties":{"formattedCitation":"\\super 127\\nosupersub{}","plainCitation":"127","noteIndex":0},"citationItems":[{"id":"aZbwIlcN/cre91yYG","uris":["http://zotero.org/users/6587080/items/SUBCL6QW"],"itemData":{"id":275,"type":"article-journal","abstract":"‘The Hawthorne Effect’ is a phrase frequently employed in textbooks and other academic discourse. It appears to have been coined over 50 years ago and alludes to the outcome of research undertaken two decades earlier. This paper seeks to elucidate how the term ‘Hawthorne Effect’ has come to be used. A variety of texts will be presented to demonstrate the many different and often contradictory meanings ascribed to the term. A consideration of Guerin's review of research in social facilitation suggests the complexity of issues that seem to be involved in the use of the term ‘Hawthorne Effect’ is such that greater precision is required. Ultimately, we conclude, the term has no useful role in the discussion of research findings. Copyright © 2006 John Wiley &amp; Sons, Ltd.","container-title":"European Journal of Social Psychology","DOI":"10.1002/ejsp.401","ISSN":"1099-0992","issue":"1","language":"en","page":"67-74","source":"Wiley Online Library","title":"Making sense of social research: how useful is the Hawthorne Effect?","title-short":"Making sense of social research","volume":"38","author":[{"family":"Chiesa","given":"Mecca"},{"family":"Hobbs","given":"Sandy"}],"issued":{"date-parts":[["2008"]]}}}],"schema":"https://github.com/citation-style-language/schema/raw/master/csl-citation.json"} </w:instrText>
      </w:r>
      <w:r w:rsidRPr="000F7E56">
        <w:rPr>
          <w:rFonts w:cstheme="minorHAnsi"/>
          <w:lang w:val="en-US"/>
        </w:rPr>
        <w:fldChar w:fldCharType="separate"/>
      </w:r>
      <w:r w:rsidR="000D5597" w:rsidRPr="000D5597">
        <w:rPr>
          <w:rFonts w:ascii="Calibri" w:hAnsi="Calibri" w:cs="Times New Roman"/>
          <w:szCs w:val="24"/>
          <w:vertAlign w:val="superscript"/>
        </w:rPr>
        <w:t>127</w:t>
      </w:r>
      <w:r w:rsidRPr="000F7E56">
        <w:rPr>
          <w:rFonts w:cstheme="minorHAnsi"/>
          <w:lang w:val="en-US"/>
        </w:rPr>
        <w:fldChar w:fldCharType="end"/>
      </w:r>
      <w:r w:rsidRPr="000F7E56">
        <w:rPr>
          <w:rFonts w:cstheme="minorHAnsi"/>
          <w:lang w:val="en-US"/>
        </w:rPr>
        <w:t xml:space="preserve"> Participation in the research has the potential to change the nature of the patient and their family’s way of living and coping with their illness and their future, and this will be incorporated as a topic in the interviews. The potential impact would be beneficial in that the patient/</w:t>
      </w:r>
      <w:proofErr w:type="spellStart"/>
      <w:r w:rsidRPr="000F7E56">
        <w:rPr>
          <w:rFonts w:cstheme="minorHAnsi"/>
          <w:lang w:val="en-US"/>
        </w:rPr>
        <w:t>carer</w:t>
      </w:r>
      <w:proofErr w:type="spellEnd"/>
      <w:r w:rsidRPr="000F7E56">
        <w:rPr>
          <w:rFonts w:cstheme="minorHAnsi"/>
          <w:lang w:val="en-US"/>
        </w:rPr>
        <w:t xml:space="preserve"> may communicate more effectively with care providers. The listening skills of the researcher and the facilitation of reflection and discussion may potentially change things for the participant. </w:t>
      </w:r>
    </w:p>
    <w:p w14:paraId="6C50E192" w14:textId="77777777" w:rsidR="000F7E56" w:rsidRPr="000F7E56" w:rsidRDefault="000F7E56" w:rsidP="000F7E56">
      <w:pPr>
        <w:spacing w:after="120" w:line="360" w:lineRule="auto"/>
        <w:rPr>
          <w:rFonts w:cstheme="minorHAnsi"/>
          <w:lang w:val="en-US"/>
        </w:rPr>
      </w:pPr>
      <w:r w:rsidRPr="000F7E56">
        <w:rPr>
          <w:rFonts w:cstheme="minorHAnsi"/>
          <w:lang w:val="en-US"/>
        </w:rPr>
        <w:lastRenderedPageBreak/>
        <w:t xml:space="preserve">In subsequent interviews we asked: How are things?; What’s changed in the illness?; Have they been thinking about the future?; Have they had any conversations with family/HCP about their illness/wishes and future death (if the patient brings this into the conversation)?; Do they think that they have done anything differently do they think as a result of having these conversations /being part of the study?. Such actions were explored as an outcome of the research and importantly such observations may provide information about potential facilitators for EOLCP as we shall discuss in the findings and discussion in Chapter 5.  </w:t>
      </w:r>
    </w:p>
    <w:p w14:paraId="75EA85F6" w14:textId="77777777" w:rsidR="000F7E56" w:rsidRPr="000F7E56" w:rsidRDefault="000F7E56" w:rsidP="000F7E56">
      <w:pPr>
        <w:spacing w:after="120" w:line="360" w:lineRule="auto"/>
        <w:rPr>
          <w:rFonts w:cstheme="minorHAnsi"/>
          <w:lang w:val="en-US"/>
        </w:rPr>
      </w:pPr>
      <w:r w:rsidRPr="000F7E56">
        <w:rPr>
          <w:rFonts w:cstheme="minorHAnsi"/>
          <w:lang w:val="en-US"/>
        </w:rPr>
        <w:t>The interview with HCPs also included the following themes:</w:t>
      </w:r>
    </w:p>
    <w:p w14:paraId="41222C2C" w14:textId="77777777" w:rsidR="000F7E56" w:rsidRPr="000F7E56" w:rsidRDefault="000F7E56" w:rsidP="000F7E56">
      <w:pPr>
        <w:spacing w:after="120" w:line="360" w:lineRule="auto"/>
        <w:rPr>
          <w:rFonts w:cstheme="minorHAnsi"/>
          <w:lang w:val="en-US"/>
        </w:rPr>
      </w:pPr>
      <w:r w:rsidRPr="000F7E56">
        <w:rPr>
          <w:rFonts w:cstheme="minorHAnsi"/>
          <w:lang w:val="en-US"/>
        </w:rPr>
        <w:t>- Their experience of providing care and support for the patient and family</w:t>
      </w:r>
    </w:p>
    <w:p w14:paraId="57056CEC" w14:textId="77777777" w:rsidR="000F7E56" w:rsidRPr="000F7E56" w:rsidRDefault="000F7E56" w:rsidP="000F7E56">
      <w:pPr>
        <w:spacing w:after="120" w:line="360" w:lineRule="auto"/>
        <w:rPr>
          <w:rFonts w:cstheme="minorHAnsi"/>
          <w:lang w:val="en-US"/>
        </w:rPr>
      </w:pPr>
      <w:r w:rsidRPr="000F7E56">
        <w:rPr>
          <w:rFonts w:cstheme="minorHAnsi"/>
          <w:lang w:val="en-US"/>
        </w:rPr>
        <w:t>- Barriers and enablers for their care of the patient and family in:</w:t>
      </w:r>
    </w:p>
    <w:p w14:paraId="06308AE1" w14:textId="77777777" w:rsidR="000F7E56" w:rsidRPr="000F7E56" w:rsidRDefault="000F7E56" w:rsidP="000F7E56">
      <w:pPr>
        <w:spacing w:after="120" w:line="360" w:lineRule="auto"/>
        <w:rPr>
          <w:rFonts w:cstheme="minorHAnsi"/>
          <w:lang w:val="en-US"/>
        </w:rPr>
      </w:pPr>
      <w:bookmarkStart w:id="157" w:name="_Hlk89263338"/>
      <w:r w:rsidRPr="000F7E56">
        <w:rPr>
          <w:rFonts w:cstheme="minorHAnsi"/>
          <w:lang w:val="en-US"/>
        </w:rPr>
        <w:t>•</w:t>
      </w:r>
      <w:r w:rsidRPr="000F7E56">
        <w:rPr>
          <w:rFonts w:cstheme="minorHAnsi"/>
          <w:lang w:val="en-US"/>
        </w:rPr>
        <w:tab/>
        <w:t xml:space="preserve">understanding the illness and prognosis; </w:t>
      </w:r>
    </w:p>
    <w:p w14:paraId="0F4C97DB" w14:textId="77777777" w:rsidR="000F7E56" w:rsidRPr="000F7E56" w:rsidRDefault="000F7E56" w:rsidP="000F7E56">
      <w:pPr>
        <w:spacing w:after="120" w:line="360" w:lineRule="auto"/>
        <w:rPr>
          <w:rFonts w:cstheme="minorHAnsi"/>
          <w:lang w:val="en-US"/>
        </w:rPr>
      </w:pPr>
      <w:r w:rsidRPr="000F7E56">
        <w:rPr>
          <w:rFonts w:cstheme="minorHAnsi"/>
          <w:lang w:val="en-US"/>
        </w:rPr>
        <w:t>•</w:t>
      </w:r>
      <w:r w:rsidRPr="000F7E56">
        <w:rPr>
          <w:rFonts w:cstheme="minorHAnsi"/>
          <w:lang w:val="en-US"/>
        </w:rPr>
        <w:tab/>
        <w:t>thinking about the future;</w:t>
      </w:r>
    </w:p>
    <w:p w14:paraId="086A764B" w14:textId="77777777" w:rsidR="000F7E56" w:rsidRPr="000F7E56" w:rsidRDefault="000F7E56" w:rsidP="000F7E56">
      <w:pPr>
        <w:spacing w:after="120" w:line="360" w:lineRule="auto"/>
        <w:rPr>
          <w:rFonts w:cstheme="minorHAnsi"/>
          <w:lang w:val="en-US"/>
        </w:rPr>
      </w:pPr>
      <w:r w:rsidRPr="000F7E56">
        <w:rPr>
          <w:rFonts w:cstheme="minorHAnsi"/>
          <w:lang w:val="en-US"/>
        </w:rPr>
        <w:t>•</w:t>
      </w:r>
      <w:r w:rsidRPr="000F7E56">
        <w:rPr>
          <w:rFonts w:cstheme="minorHAnsi"/>
          <w:lang w:val="en-US"/>
        </w:rPr>
        <w:tab/>
        <w:t>decision-making;</w:t>
      </w:r>
    </w:p>
    <w:p w14:paraId="7748C487" w14:textId="77777777" w:rsidR="000F7E56" w:rsidRPr="000F7E56" w:rsidRDefault="000F7E56" w:rsidP="000F7E56">
      <w:pPr>
        <w:spacing w:after="120" w:line="360" w:lineRule="auto"/>
        <w:rPr>
          <w:rFonts w:cstheme="minorHAnsi"/>
          <w:lang w:val="en-US"/>
        </w:rPr>
      </w:pPr>
      <w:r w:rsidRPr="000F7E56">
        <w:rPr>
          <w:rFonts w:cstheme="minorHAnsi"/>
          <w:lang w:val="en-US"/>
        </w:rPr>
        <w:t>•</w:t>
      </w:r>
      <w:r w:rsidRPr="000F7E56">
        <w:rPr>
          <w:rFonts w:cstheme="minorHAnsi"/>
          <w:lang w:val="en-US"/>
        </w:rPr>
        <w:tab/>
        <w:t>EOLCP.</w:t>
      </w:r>
    </w:p>
    <w:bookmarkEnd w:id="157"/>
    <w:p w14:paraId="3DA87278" w14:textId="77777777" w:rsidR="000F7E56" w:rsidRPr="000F7E56" w:rsidRDefault="000F7E56" w:rsidP="000F7E56">
      <w:pPr>
        <w:spacing w:after="120" w:line="360" w:lineRule="auto"/>
        <w:rPr>
          <w:rFonts w:cstheme="minorHAnsi"/>
          <w:lang w:val="en-US"/>
        </w:rPr>
      </w:pPr>
      <w:r w:rsidRPr="000F7E56">
        <w:rPr>
          <w:rFonts w:cstheme="minorHAnsi"/>
          <w:lang w:val="en-US"/>
        </w:rPr>
        <w:t>HCPs were also asked for their assessment about whether they felt being part of this study (either they themselves or the patient or FCG) has had an impact on their relationship with the patient/</w:t>
      </w:r>
      <w:proofErr w:type="spellStart"/>
      <w:r w:rsidRPr="000F7E56">
        <w:rPr>
          <w:rFonts w:cstheme="minorHAnsi"/>
          <w:lang w:val="en-US"/>
        </w:rPr>
        <w:t>carer</w:t>
      </w:r>
      <w:proofErr w:type="spellEnd"/>
      <w:r w:rsidRPr="000F7E56">
        <w:rPr>
          <w:rFonts w:cstheme="minorHAnsi"/>
          <w:lang w:val="en-US"/>
        </w:rPr>
        <w:t xml:space="preserve"> or any other research related outcomes. This will be further discussed in Findings Chapter 5  </w:t>
      </w:r>
    </w:p>
    <w:p w14:paraId="023C3027" w14:textId="77777777" w:rsidR="000F7E56" w:rsidRPr="000F7E56" w:rsidRDefault="000F7E56" w:rsidP="000F7E56">
      <w:pPr>
        <w:keepNext/>
        <w:keepLines/>
        <w:spacing w:before="40" w:after="0" w:line="360" w:lineRule="auto"/>
        <w:outlineLvl w:val="1"/>
        <w:rPr>
          <w:rFonts w:asciiTheme="majorHAnsi" w:eastAsiaTheme="majorEastAsia" w:hAnsiTheme="majorHAnsi" w:cstheme="majorBidi"/>
          <w:color w:val="2F5496" w:themeColor="accent1" w:themeShade="BF"/>
          <w:sz w:val="26"/>
          <w:szCs w:val="26"/>
          <w:lang w:val="en-US"/>
        </w:rPr>
      </w:pPr>
      <w:bookmarkStart w:id="158" w:name="_Toc106697791"/>
      <w:r w:rsidRPr="000F7E56">
        <w:rPr>
          <w:rFonts w:asciiTheme="majorHAnsi" w:eastAsiaTheme="majorEastAsia" w:hAnsiTheme="majorHAnsi" w:cstheme="majorBidi"/>
          <w:color w:val="2F5496" w:themeColor="accent1" w:themeShade="BF"/>
          <w:sz w:val="26"/>
          <w:szCs w:val="26"/>
          <w:lang w:val="en-US"/>
        </w:rPr>
        <w:t>Medical record review</w:t>
      </w:r>
      <w:bookmarkEnd w:id="158"/>
    </w:p>
    <w:p w14:paraId="5A0FF161" w14:textId="77777777" w:rsidR="000F7E56" w:rsidRPr="000F7E56" w:rsidRDefault="000F7E56" w:rsidP="000F7E56">
      <w:pPr>
        <w:spacing w:after="120" w:line="360" w:lineRule="auto"/>
        <w:rPr>
          <w:rFonts w:cstheme="minorHAnsi"/>
          <w:lang w:val="en-US"/>
        </w:rPr>
      </w:pPr>
      <w:r w:rsidRPr="000F7E56">
        <w:rPr>
          <w:rFonts w:cstheme="minorHAnsi"/>
          <w:lang w:val="en-US"/>
        </w:rPr>
        <w:t xml:space="preserve">Patients were asked to give permission for access to relevant parts of their medical records and related documents recording future care preferences. </w:t>
      </w:r>
    </w:p>
    <w:p w14:paraId="30ABEC56" w14:textId="77777777" w:rsidR="000F7E56" w:rsidRPr="000F7E56" w:rsidRDefault="000F7E56" w:rsidP="000F7E56">
      <w:pPr>
        <w:spacing w:after="120" w:line="360" w:lineRule="auto"/>
        <w:rPr>
          <w:rFonts w:cstheme="minorHAnsi"/>
          <w:lang w:val="en-US"/>
        </w:rPr>
      </w:pPr>
      <w:r w:rsidRPr="000F7E56">
        <w:rPr>
          <w:rFonts w:cstheme="minorHAnsi"/>
          <w:lang w:val="en-US"/>
        </w:rPr>
        <w:t xml:space="preserve">At the end of patient involvement in the study (6 to 9 months or at death) where possible the medical records, including nursing and allied health professional records, were sourced. This included: palliative care services, primary care, community service and hospitals services. The records were </w:t>
      </w:r>
      <w:proofErr w:type="spellStart"/>
      <w:r w:rsidRPr="000F7E56">
        <w:rPr>
          <w:rFonts w:cstheme="minorHAnsi"/>
          <w:lang w:val="en-US"/>
        </w:rPr>
        <w:t>scrutinised</w:t>
      </w:r>
      <w:proofErr w:type="spellEnd"/>
      <w:r w:rsidRPr="000F7E56">
        <w:rPr>
          <w:rFonts w:cstheme="minorHAnsi"/>
          <w:lang w:val="en-US"/>
        </w:rPr>
        <w:t xml:space="preserve"> for data concerning:</w:t>
      </w:r>
    </w:p>
    <w:p w14:paraId="4E965E68" w14:textId="77777777" w:rsidR="000F7E56" w:rsidRPr="000F7E56" w:rsidRDefault="000F7E56" w:rsidP="000F7E56">
      <w:pPr>
        <w:spacing w:after="120" w:line="360" w:lineRule="auto"/>
        <w:rPr>
          <w:rFonts w:cstheme="minorHAnsi"/>
          <w:lang w:val="en-US"/>
        </w:rPr>
      </w:pPr>
      <w:r w:rsidRPr="000F7E56">
        <w:rPr>
          <w:rFonts w:cstheme="minorHAnsi"/>
          <w:lang w:val="en-US"/>
        </w:rPr>
        <w:t>•</w:t>
      </w:r>
      <w:r w:rsidRPr="000F7E56">
        <w:rPr>
          <w:rFonts w:cstheme="minorHAnsi"/>
          <w:lang w:val="en-US"/>
        </w:rPr>
        <w:tab/>
        <w:t xml:space="preserve">discussions and information-sharing about prognosis, deterioration, dying, EOLC and EOLCP; </w:t>
      </w:r>
    </w:p>
    <w:p w14:paraId="79B09A56" w14:textId="77777777" w:rsidR="000F7E56" w:rsidRPr="000F7E56" w:rsidRDefault="000F7E56" w:rsidP="000F7E56">
      <w:pPr>
        <w:spacing w:after="120" w:line="360" w:lineRule="auto"/>
        <w:ind w:left="720" w:hanging="720"/>
        <w:rPr>
          <w:rFonts w:cstheme="minorHAnsi"/>
          <w:lang w:val="en-US"/>
        </w:rPr>
      </w:pPr>
      <w:r w:rsidRPr="000F7E56">
        <w:rPr>
          <w:rFonts w:cstheme="minorHAnsi"/>
          <w:lang w:val="en-US"/>
        </w:rPr>
        <w:t>•</w:t>
      </w:r>
      <w:r w:rsidRPr="000F7E56">
        <w:rPr>
          <w:rFonts w:cstheme="minorHAnsi"/>
          <w:lang w:val="en-US"/>
        </w:rPr>
        <w:tab/>
        <w:t>records relevant to recording patient views and wishes and EOLCP including advance care plan and DNACPR documentation;</w:t>
      </w:r>
    </w:p>
    <w:p w14:paraId="071DDE4A" w14:textId="77777777" w:rsidR="000F7E56" w:rsidRPr="000F7E56" w:rsidRDefault="000F7E56" w:rsidP="000F7E56">
      <w:pPr>
        <w:spacing w:after="120" w:line="360" w:lineRule="auto"/>
        <w:rPr>
          <w:rFonts w:cstheme="minorHAnsi"/>
          <w:lang w:val="en-US"/>
        </w:rPr>
      </w:pPr>
      <w:r w:rsidRPr="000F7E56">
        <w:rPr>
          <w:rFonts w:cstheme="minorHAnsi"/>
          <w:lang w:val="en-US"/>
        </w:rPr>
        <w:t>•</w:t>
      </w:r>
      <w:r w:rsidRPr="000F7E56">
        <w:rPr>
          <w:rFonts w:cstheme="minorHAnsi"/>
          <w:lang w:val="en-US"/>
        </w:rPr>
        <w:tab/>
        <w:t>preferences regarding place of death.</w:t>
      </w:r>
    </w:p>
    <w:p w14:paraId="1FE578E7" w14:textId="77777777" w:rsidR="000F7E56" w:rsidRPr="000F7E56" w:rsidRDefault="000F7E56" w:rsidP="000F7E56">
      <w:pPr>
        <w:spacing w:after="120" w:line="360" w:lineRule="auto"/>
        <w:rPr>
          <w:rFonts w:cstheme="minorHAnsi"/>
          <w:lang w:val="en-US"/>
        </w:rPr>
      </w:pPr>
    </w:p>
    <w:p w14:paraId="415BFC5A" w14:textId="77777777" w:rsidR="000F7E56" w:rsidRPr="000F7E56" w:rsidRDefault="000F7E56" w:rsidP="000F7E56">
      <w:pPr>
        <w:spacing w:after="120" w:line="360" w:lineRule="auto"/>
        <w:jc w:val="both"/>
        <w:rPr>
          <w:rFonts w:cstheme="minorHAnsi"/>
          <w:lang w:val="en-US"/>
        </w:rPr>
      </w:pPr>
    </w:p>
    <w:p w14:paraId="00ECD8A6" w14:textId="77777777" w:rsidR="000F7E56" w:rsidRPr="000F7E56" w:rsidRDefault="000F7E56" w:rsidP="000F7E56">
      <w:pPr>
        <w:spacing w:after="120" w:line="360" w:lineRule="auto"/>
        <w:rPr>
          <w:rFonts w:cstheme="minorHAnsi"/>
          <w:lang w:val="en-US"/>
        </w:rPr>
      </w:pPr>
      <w:r w:rsidRPr="000F7E56">
        <w:rPr>
          <w:rFonts w:cstheme="minorHAnsi"/>
          <w:lang w:val="en-US"/>
        </w:rPr>
        <w:lastRenderedPageBreak/>
        <w:t>Data from electronic and paper case notes were extracted verbatim and entered onto the electronic Case Report Form (CRF) for subsequent analysis. The date, place of discussion and role of the health care professional role was noted for each data extracted. The researcher additionally added an explanation of the circumstances of the discussion to provide context for the narrative.</w:t>
      </w:r>
    </w:p>
    <w:p w14:paraId="19400484" w14:textId="77777777" w:rsidR="000F7E56" w:rsidRPr="000F7E56" w:rsidRDefault="000F7E56" w:rsidP="000F7E56">
      <w:pPr>
        <w:spacing w:after="120" w:line="360" w:lineRule="auto"/>
        <w:rPr>
          <w:rFonts w:cstheme="minorHAnsi"/>
          <w:lang w:val="en-US"/>
        </w:rPr>
      </w:pPr>
      <w:r w:rsidRPr="000F7E56">
        <w:rPr>
          <w:rFonts w:cstheme="minorHAnsi"/>
          <w:lang w:val="en-US"/>
        </w:rPr>
        <w:t xml:space="preserve">Completed CRF’s were incorporated within the project data base and form part of the data set relating to each case. This is further discussed in Findings Chapter 5.  </w:t>
      </w:r>
    </w:p>
    <w:p w14:paraId="47F9F5E0" w14:textId="77777777" w:rsidR="000F7E56" w:rsidRPr="000F7E56" w:rsidRDefault="00A662A8" w:rsidP="000F7E56">
      <w:pPr>
        <w:keepNext/>
        <w:keepLines/>
        <w:spacing w:before="40" w:after="0" w:line="360" w:lineRule="auto"/>
        <w:outlineLvl w:val="1"/>
        <w:rPr>
          <w:rFonts w:asciiTheme="majorHAnsi" w:eastAsiaTheme="majorEastAsia" w:hAnsiTheme="majorHAnsi" w:cstheme="majorBidi"/>
          <w:color w:val="2F5496" w:themeColor="accent1" w:themeShade="BF"/>
          <w:sz w:val="26"/>
          <w:szCs w:val="26"/>
          <w:lang w:val="en-US"/>
        </w:rPr>
      </w:pPr>
      <w:bookmarkStart w:id="159" w:name="_Toc89665161"/>
      <w:bookmarkStart w:id="160" w:name="_Toc89671914"/>
      <w:bookmarkStart w:id="161" w:name="_Toc89763964"/>
      <w:bookmarkStart w:id="162" w:name="_Toc106697792"/>
      <w:r>
        <w:rPr>
          <w:rFonts w:asciiTheme="majorHAnsi" w:eastAsiaTheme="majorEastAsia" w:hAnsiTheme="majorHAnsi" w:cstheme="majorBidi"/>
          <w:color w:val="2F5496" w:themeColor="accent1" w:themeShade="BF"/>
          <w:sz w:val="26"/>
          <w:szCs w:val="26"/>
          <w:lang w:val="en-US"/>
        </w:rPr>
        <w:t>Work Stream 2:</w:t>
      </w:r>
      <w:r w:rsidR="000F7E56" w:rsidRPr="000F7E56">
        <w:rPr>
          <w:rFonts w:asciiTheme="majorHAnsi" w:eastAsiaTheme="majorEastAsia" w:hAnsiTheme="majorHAnsi" w:cstheme="majorBidi"/>
          <w:color w:val="2F5496" w:themeColor="accent1" w:themeShade="BF"/>
          <w:sz w:val="26"/>
          <w:szCs w:val="26"/>
          <w:lang w:val="en-US"/>
        </w:rPr>
        <w:t xml:space="preserve"> Data collection</w:t>
      </w:r>
      <w:bookmarkEnd w:id="159"/>
      <w:bookmarkEnd w:id="160"/>
      <w:bookmarkEnd w:id="161"/>
      <w:bookmarkEnd w:id="162"/>
    </w:p>
    <w:p w14:paraId="5B5A6103" w14:textId="77777777" w:rsidR="000F7E56" w:rsidRPr="000F7E56" w:rsidRDefault="000F7E56" w:rsidP="000F7E56">
      <w:pPr>
        <w:spacing w:after="120" w:line="360" w:lineRule="auto"/>
        <w:rPr>
          <w:rFonts w:cstheme="minorHAnsi"/>
          <w:lang w:val="en-US"/>
        </w:rPr>
      </w:pPr>
      <w:r w:rsidRPr="000F7E56">
        <w:rPr>
          <w:rFonts w:cstheme="minorHAnsi"/>
          <w:lang w:val="en-US"/>
        </w:rPr>
        <w:t xml:space="preserve">Interviews either face to face or by telephone, with recently bereaved FCGs of ED patients who died following a period of advanced disease and deterioration were conducted by experienced researchers in the participants’ primary language (using translation strategies described in WS1 above). The interviews explored participants’ perspectives of: </w:t>
      </w:r>
    </w:p>
    <w:p w14:paraId="35488EF3" w14:textId="77777777" w:rsidR="000F7E56" w:rsidRPr="000F7E56" w:rsidRDefault="000F7E56" w:rsidP="000F7E56">
      <w:pPr>
        <w:spacing w:after="120" w:line="360" w:lineRule="auto"/>
        <w:rPr>
          <w:rFonts w:cstheme="minorHAnsi"/>
          <w:lang w:val="en-US"/>
        </w:rPr>
      </w:pPr>
      <w:r w:rsidRPr="000F7E56">
        <w:rPr>
          <w:rFonts w:cstheme="minorHAnsi"/>
          <w:lang w:val="en-US"/>
        </w:rPr>
        <w:t>•</w:t>
      </w:r>
      <w:r w:rsidRPr="000F7E56">
        <w:rPr>
          <w:rFonts w:cstheme="minorHAnsi"/>
          <w:lang w:val="en-US"/>
        </w:rPr>
        <w:tab/>
        <w:t xml:space="preserve">living with serious illness and end-of-life care; </w:t>
      </w:r>
    </w:p>
    <w:p w14:paraId="3BA0D878" w14:textId="77777777" w:rsidR="000F7E56" w:rsidRPr="000F7E56" w:rsidRDefault="000F7E56" w:rsidP="000F7E56">
      <w:pPr>
        <w:spacing w:after="120" w:line="360" w:lineRule="auto"/>
        <w:rPr>
          <w:rFonts w:cstheme="minorHAnsi"/>
          <w:lang w:val="en-US"/>
        </w:rPr>
      </w:pPr>
      <w:r w:rsidRPr="000F7E56">
        <w:rPr>
          <w:rFonts w:cstheme="minorHAnsi"/>
          <w:lang w:val="en-US"/>
        </w:rPr>
        <w:t>•</w:t>
      </w:r>
      <w:r w:rsidRPr="000F7E56">
        <w:rPr>
          <w:rFonts w:cstheme="minorHAnsi"/>
          <w:lang w:val="en-US"/>
        </w:rPr>
        <w:tab/>
        <w:t xml:space="preserve">thinking ahead about deterioration and dying; </w:t>
      </w:r>
    </w:p>
    <w:p w14:paraId="249D456B" w14:textId="77777777" w:rsidR="000F7E56" w:rsidRPr="000F7E56" w:rsidRDefault="000F7E56" w:rsidP="000F7E56">
      <w:pPr>
        <w:spacing w:after="120" w:line="360" w:lineRule="auto"/>
        <w:ind w:left="720" w:hanging="720"/>
        <w:rPr>
          <w:rFonts w:cstheme="minorHAnsi"/>
          <w:lang w:val="en-US"/>
        </w:rPr>
      </w:pPr>
      <w:r w:rsidRPr="000F7E56">
        <w:rPr>
          <w:rFonts w:cstheme="minorHAnsi"/>
          <w:lang w:val="en-US"/>
        </w:rPr>
        <w:t>•</w:t>
      </w:r>
      <w:r w:rsidRPr="000F7E56">
        <w:rPr>
          <w:rFonts w:cstheme="minorHAnsi"/>
          <w:lang w:val="en-US"/>
        </w:rPr>
        <w:tab/>
        <w:t xml:space="preserve">information sharing, communication and decision-making in illness deterioration with the patient, family members and HCPs involved in providing care; </w:t>
      </w:r>
    </w:p>
    <w:p w14:paraId="407CDAD6" w14:textId="77777777" w:rsidR="000F7E56" w:rsidRPr="000F7E56" w:rsidRDefault="000F7E56" w:rsidP="000F7E56">
      <w:pPr>
        <w:spacing w:after="120" w:line="360" w:lineRule="auto"/>
        <w:rPr>
          <w:rFonts w:cstheme="minorHAnsi"/>
          <w:lang w:val="en-US"/>
        </w:rPr>
      </w:pPr>
      <w:r w:rsidRPr="000F7E56">
        <w:rPr>
          <w:rFonts w:cstheme="minorHAnsi"/>
          <w:lang w:val="en-US"/>
        </w:rPr>
        <w:t>•</w:t>
      </w:r>
      <w:r w:rsidRPr="000F7E56">
        <w:rPr>
          <w:rFonts w:cstheme="minorHAnsi"/>
          <w:lang w:val="en-US"/>
        </w:rPr>
        <w:tab/>
        <w:t xml:space="preserve">the role and value of EOLCP; </w:t>
      </w:r>
    </w:p>
    <w:p w14:paraId="10E409BA" w14:textId="77777777" w:rsidR="000F7E56" w:rsidRPr="000F7E56" w:rsidRDefault="000F7E56" w:rsidP="000F7E56">
      <w:pPr>
        <w:spacing w:after="120" w:line="360" w:lineRule="auto"/>
        <w:rPr>
          <w:rFonts w:cstheme="minorHAnsi"/>
          <w:lang w:val="en-US"/>
        </w:rPr>
      </w:pPr>
      <w:r w:rsidRPr="000F7E56">
        <w:rPr>
          <w:rFonts w:cstheme="minorHAnsi"/>
          <w:lang w:val="en-US"/>
        </w:rPr>
        <w:t>•</w:t>
      </w:r>
      <w:r w:rsidRPr="000F7E56">
        <w:rPr>
          <w:rFonts w:cstheme="minorHAnsi"/>
          <w:lang w:val="en-US"/>
        </w:rPr>
        <w:tab/>
        <w:t>the role of HCP in helping patients and family prepare for deterioration and dying.</w:t>
      </w:r>
    </w:p>
    <w:p w14:paraId="1755F113" w14:textId="77777777" w:rsidR="000F7E56" w:rsidRPr="000F7E56" w:rsidRDefault="000F7E56" w:rsidP="000F7E56">
      <w:pPr>
        <w:keepNext/>
        <w:keepLines/>
        <w:spacing w:before="40" w:after="0" w:line="360" w:lineRule="auto"/>
        <w:outlineLvl w:val="1"/>
        <w:rPr>
          <w:rFonts w:asciiTheme="majorHAnsi" w:eastAsiaTheme="majorEastAsia" w:hAnsiTheme="majorHAnsi" w:cstheme="majorBidi"/>
          <w:color w:val="2F5496" w:themeColor="accent1" w:themeShade="BF"/>
          <w:sz w:val="24"/>
          <w:szCs w:val="24"/>
          <w:lang w:val="en-US"/>
        </w:rPr>
      </w:pPr>
      <w:bookmarkStart w:id="163" w:name="_Toc89665162"/>
      <w:bookmarkStart w:id="164" w:name="_Toc89671915"/>
      <w:bookmarkStart w:id="165" w:name="_Toc89763965"/>
      <w:bookmarkStart w:id="166" w:name="_Toc106697793"/>
      <w:r w:rsidRPr="000F7E56">
        <w:rPr>
          <w:rFonts w:asciiTheme="majorHAnsi" w:eastAsiaTheme="majorEastAsia" w:hAnsiTheme="majorHAnsi" w:cstheme="majorBidi"/>
          <w:color w:val="2F5496" w:themeColor="accent1" w:themeShade="BF"/>
          <w:sz w:val="24"/>
          <w:szCs w:val="24"/>
          <w:lang w:val="en-US"/>
        </w:rPr>
        <w:t>Interpreters and transcription of interviews</w:t>
      </w:r>
      <w:bookmarkEnd w:id="163"/>
      <w:bookmarkEnd w:id="164"/>
      <w:bookmarkEnd w:id="165"/>
      <w:bookmarkEnd w:id="166"/>
    </w:p>
    <w:p w14:paraId="570E2AD6" w14:textId="7B7C2CCC" w:rsidR="000F7E56" w:rsidRPr="000F7E56" w:rsidRDefault="000F7E56" w:rsidP="000F7E56">
      <w:pPr>
        <w:spacing w:after="120" w:line="360" w:lineRule="auto"/>
        <w:rPr>
          <w:rFonts w:cstheme="minorHAnsi"/>
          <w:lang w:val="en-US"/>
        </w:rPr>
      </w:pPr>
      <w:r w:rsidRPr="000F7E56">
        <w:rPr>
          <w:rFonts w:cstheme="minorHAnsi"/>
          <w:lang w:val="en-US"/>
        </w:rPr>
        <w:t>Our research team have considerable language skills to conduct interviews in the language preferred by the participant and one of the bereaved FCG interviews was conducted by the bilingual PI (ZI) in Punjabi. Here ZI translated the audio recorded interview into a English recorded version before a professional transcriber transcribed the interview. This method has previously been employed by ZI.</w:t>
      </w:r>
      <w:r w:rsidRPr="000F7E56">
        <w:rPr>
          <w:rFonts w:cstheme="minorHAnsi"/>
          <w:lang w:val="en-US"/>
        </w:rPr>
        <w:fldChar w:fldCharType="begin"/>
      </w:r>
      <w:r w:rsidR="000D5597">
        <w:rPr>
          <w:rFonts w:cstheme="minorHAnsi"/>
          <w:lang w:val="en-US"/>
        </w:rPr>
        <w:instrText xml:space="preserve"> ADDIN ZOTERO_ITEM CSL_CITATION {"citationID":"ttZXoYlj","properties":{"formattedCitation":"\\super 128\\nosupersub{}","plainCitation":"128","noteIndex":0},"citationItems":[{"id":113,"uris":["http://zotero.org/users/8748280/items/L3TJMCAN"],"itemData":{"id":113,"type":"report","title":"Ethnicity, detention and early intervention : reducing inequalities and improving outcomes for black and minority ethnic","author":[{"family":"Singh","given":"SP"},{"literal":"Z Islam"},{"literal":"LJ Brown"},{"family":"R Gajwani","given":"R Jasani","suffix":"F Rabiee and H Parsons"}],"issued":{"date-parts":[["2013"]]}}}],"schema":"https://github.com/citation-style-language/schema/raw/master/csl-citation.json"} </w:instrText>
      </w:r>
      <w:r w:rsidRPr="000F7E56">
        <w:rPr>
          <w:rFonts w:cstheme="minorHAnsi"/>
          <w:lang w:val="en-US"/>
        </w:rPr>
        <w:fldChar w:fldCharType="separate"/>
      </w:r>
      <w:r w:rsidR="000D5597" w:rsidRPr="000D5597">
        <w:rPr>
          <w:rFonts w:ascii="Calibri" w:hAnsi="Calibri" w:cs="Times New Roman"/>
          <w:szCs w:val="24"/>
          <w:vertAlign w:val="superscript"/>
        </w:rPr>
        <w:t>128</w:t>
      </w:r>
      <w:r w:rsidRPr="000F7E56">
        <w:rPr>
          <w:rFonts w:cstheme="minorHAnsi"/>
          <w:lang w:val="en-US"/>
        </w:rPr>
        <w:fldChar w:fldCharType="end"/>
      </w:r>
      <w:r w:rsidRPr="000F7E56">
        <w:rPr>
          <w:rFonts w:cstheme="minorHAnsi"/>
          <w:lang w:val="en-US"/>
        </w:rPr>
        <w:t xml:space="preserve">  Professional interpreters were </w:t>
      </w:r>
      <w:proofErr w:type="spellStart"/>
      <w:r w:rsidRPr="000F7E56">
        <w:rPr>
          <w:rFonts w:cstheme="minorHAnsi"/>
          <w:lang w:val="en-US"/>
        </w:rPr>
        <w:t>utilised</w:t>
      </w:r>
      <w:proofErr w:type="spellEnd"/>
      <w:r w:rsidRPr="000F7E56">
        <w:rPr>
          <w:rFonts w:cstheme="minorHAnsi"/>
          <w:lang w:val="en-US"/>
        </w:rPr>
        <w:t xml:space="preserve"> for patient participants in four of the case studies. </w:t>
      </w:r>
    </w:p>
    <w:p w14:paraId="558E31C7" w14:textId="77777777" w:rsidR="000F7E56" w:rsidRPr="000F7E56" w:rsidRDefault="000F7E56" w:rsidP="000F7E56">
      <w:pPr>
        <w:spacing w:after="120" w:line="360" w:lineRule="auto"/>
        <w:rPr>
          <w:lang w:val="en-US"/>
        </w:rPr>
      </w:pPr>
      <w:r w:rsidRPr="000F7E56">
        <w:rPr>
          <w:rFonts w:cstheme="minorHAnsi"/>
          <w:lang w:val="en-US"/>
        </w:rPr>
        <w:t xml:space="preserve">There is limited guidance available for how to appropriately brief and debrief interpreters   before/after each interview. So, the research team developed their own to ensure that the interpreters felt suitably prepared for the types of questions that would be posed and the sensitive nature of these. ZI also checked that each interpreter was able to pose the questions and obtain responses in debrief meetings especially where they may not have been any literal translations for certain words. The debrief meeting also added further explanation and understanding to data collected. This was particularly pertinent in one case where the interpreter was able to explain reasoning behind certain cultural beliefs as they held the same beliefs as the participant.   </w:t>
      </w:r>
    </w:p>
    <w:p w14:paraId="4B18778F" w14:textId="280CE40D" w:rsidR="000F7E56" w:rsidRPr="000F7E56" w:rsidRDefault="000F7E56" w:rsidP="000F7E56">
      <w:pPr>
        <w:spacing w:after="120" w:line="360" w:lineRule="auto"/>
        <w:rPr>
          <w:rFonts w:cstheme="minorHAnsi"/>
          <w:lang w:val="en-US"/>
        </w:rPr>
      </w:pPr>
      <w:r w:rsidRPr="000F7E56">
        <w:rPr>
          <w:rFonts w:cstheme="minorHAnsi"/>
          <w:lang w:val="en-US"/>
        </w:rPr>
        <w:lastRenderedPageBreak/>
        <w:t xml:space="preserve">All interviews were audio recorded. Interviews in English were transcribed verbatim. Interviews in other languages recorded ZI asking the question in English and the interpreter then repeating this in the participants first language. After the participant responded in their first language the interpreter would then repeat the response in English. The English parts of the audio recording were then transcribed verbatim.  </w:t>
      </w:r>
      <w:bookmarkStart w:id="167" w:name="_Hlk89160010"/>
      <w:r w:rsidRPr="000F7E56">
        <w:rPr>
          <w:rFonts w:cstheme="minorHAnsi"/>
          <w:lang w:val="en-US"/>
        </w:rPr>
        <w:t>Again this method has previously been employed by ZI</w:t>
      </w:r>
      <w:bookmarkEnd w:id="167"/>
      <w:r w:rsidRPr="000F7E56">
        <w:rPr>
          <w:rFonts w:cstheme="minorHAnsi"/>
          <w:lang w:val="en-US"/>
        </w:rPr>
        <w:t>.</w:t>
      </w:r>
      <w:r w:rsidRPr="000F7E56">
        <w:rPr>
          <w:rFonts w:cstheme="minorHAnsi"/>
          <w:lang w:val="en-US"/>
        </w:rPr>
        <w:fldChar w:fldCharType="begin"/>
      </w:r>
      <w:r w:rsidR="000D5597">
        <w:rPr>
          <w:rFonts w:cstheme="minorHAnsi"/>
          <w:lang w:val="en-US"/>
        </w:rPr>
        <w:instrText xml:space="preserve"> ADDIN ZOTERO_ITEM CSL_CITATION {"citationID":"TksaCYeX","properties":{"formattedCitation":"\\super 128\\nosupersub{}","plainCitation":"128","noteIndex":0},"citationItems":[{"id":113,"uris":["http://zotero.org/users/8748280/items/L3TJMCAN"],"itemData":{"id":113,"type":"report","title":"Ethnicity, detention and early intervention : reducing inequalities and improving outcomes for black and minority ethnic","author":[{"family":"Singh","given":"SP"},{"literal":"Z Islam"},{"literal":"LJ Brown"},{"family":"R Gajwani","given":"R Jasani","suffix":"F Rabiee and H Parsons"}],"issued":{"date-parts":[["2013"]]}}}],"schema":"https://github.com/citation-style-language/schema/raw/master/csl-citation.json"} </w:instrText>
      </w:r>
      <w:r w:rsidRPr="000F7E56">
        <w:rPr>
          <w:rFonts w:cstheme="minorHAnsi"/>
          <w:lang w:val="en-US"/>
        </w:rPr>
        <w:fldChar w:fldCharType="separate"/>
      </w:r>
      <w:r w:rsidR="000D5597" w:rsidRPr="000D5597">
        <w:rPr>
          <w:rFonts w:ascii="Calibri" w:hAnsi="Calibri" w:cs="Times New Roman"/>
          <w:szCs w:val="24"/>
          <w:vertAlign w:val="superscript"/>
        </w:rPr>
        <w:t>128</w:t>
      </w:r>
      <w:r w:rsidRPr="000F7E56">
        <w:rPr>
          <w:rFonts w:cstheme="minorHAnsi"/>
          <w:lang w:val="en-US"/>
        </w:rPr>
        <w:fldChar w:fldCharType="end"/>
      </w:r>
    </w:p>
    <w:p w14:paraId="04AF81BE" w14:textId="77777777" w:rsidR="000F7E56" w:rsidRPr="000F7E56" w:rsidRDefault="000F7E56" w:rsidP="000F7E56">
      <w:pPr>
        <w:spacing w:after="120" w:line="360" w:lineRule="auto"/>
        <w:rPr>
          <w:rFonts w:cstheme="minorHAnsi"/>
          <w:lang w:val="en-US"/>
        </w:rPr>
      </w:pPr>
      <w:r w:rsidRPr="000F7E56">
        <w:rPr>
          <w:rFonts w:cstheme="minorHAnsi"/>
          <w:lang w:val="en-US"/>
        </w:rPr>
        <w:t xml:space="preserve"> All transcripts were checked for accuracy against the audio file and </w:t>
      </w:r>
      <w:proofErr w:type="spellStart"/>
      <w:r w:rsidRPr="000F7E56">
        <w:rPr>
          <w:rFonts w:cstheme="minorHAnsi"/>
          <w:lang w:val="en-US"/>
        </w:rPr>
        <w:t>anonymised</w:t>
      </w:r>
      <w:proofErr w:type="spellEnd"/>
      <w:r w:rsidRPr="000F7E56">
        <w:rPr>
          <w:rFonts w:cstheme="minorHAnsi"/>
          <w:lang w:val="en-US"/>
        </w:rPr>
        <w:t>. Turns of phrase, idioms and metaphors were sometimes complex to translate and a note was made on the transcript of literal translation as well as the meaning constructed by the translation during the interview by ZI. These notes were an important aspect of quality assurance and data accuracy.</w:t>
      </w:r>
    </w:p>
    <w:p w14:paraId="5C1112DD" w14:textId="77777777" w:rsidR="000F7E56" w:rsidRPr="000F7E56" w:rsidRDefault="000F7E56" w:rsidP="000F7E56">
      <w:pPr>
        <w:keepNext/>
        <w:keepLines/>
        <w:spacing w:before="40" w:after="0" w:line="360" w:lineRule="auto"/>
        <w:outlineLvl w:val="1"/>
        <w:rPr>
          <w:rFonts w:asciiTheme="majorHAnsi" w:eastAsiaTheme="majorEastAsia" w:hAnsiTheme="majorHAnsi" w:cstheme="majorBidi"/>
          <w:color w:val="2F5496" w:themeColor="accent1" w:themeShade="BF"/>
          <w:sz w:val="24"/>
          <w:szCs w:val="24"/>
          <w:lang w:val="en-US"/>
        </w:rPr>
      </w:pPr>
      <w:bookmarkStart w:id="168" w:name="_Toc89665163"/>
      <w:bookmarkStart w:id="169" w:name="_Toc89671916"/>
      <w:bookmarkStart w:id="170" w:name="_Toc89763966"/>
      <w:bookmarkStart w:id="171" w:name="_Toc106697794"/>
      <w:r w:rsidRPr="000F7E56">
        <w:rPr>
          <w:rFonts w:asciiTheme="majorHAnsi" w:eastAsiaTheme="majorEastAsia" w:hAnsiTheme="majorHAnsi" w:cstheme="majorBidi"/>
          <w:color w:val="2F5496" w:themeColor="accent1" w:themeShade="BF"/>
          <w:sz w:val="24"/>
          <w:szCs w:val="24"/>
          <w:lang w:val="en-US"/>
        </w:rPr>
        <w:t>W</w:t>
      </w:r>
      <w:r w:rsidR="00A662A8">
        <w:rPr>
          <w:rFonts w:asciiTheme="majorHAnsi" w:eastAsiaTheme="majorEastAsia" w:hAnsiTheme="majorHAnsi" w:cstheme="majorBidi"/>
          <w:color w:val="2F5496" w:themeColor="accent1" w:themeShade="BF"/>
          <w:sz w:val="24"/>
          <w:szCs w:val="24"/>
          <w:lang w:val="en-US"/>
        </w:rPr>
        <w:t xml:space="preserve">ork Stream </w:t>
      </w:r>
      <w:r w:rsidRPr="000F7E56">
        <w:rPr>
          <w:rFonts w:asciiTheme="majorHAnsi" w:eastAsiaTheme="majorEastAsia" w:hAnsiTheme="majorHAnsi" w:cstheme="majorBidi"/>
          <w:color w:val="2F5496" w:themeColor="accent1" w:themeShade="BF"/>
          <w:sz w:val="24"/>
          <w:szCs w:val="24"/>
          <w:lang w:val="en-US"/>
        </w:rPr>
        <w:t>3: Public and professional virtual workshops</w:t>
      </w:r>
      <w:bookmarkEnd w:id="168"/>
      <w:bookmarkEnd w:id="169"/>
      <w:bookmarkEnd w:id="170"/>
      <w:bookmarkEnd w:id="171"/>
      <w:r w:rsidRPr="000F7E56">
        <w:rPr>
          <w:rFonts w:asciiTheme="majorHAnsi" w:eastAsiaTheme="majorEastAsia" w:hAnsiTheme="majorHAnsi" w:cstheme="majorBidi"/>
          <w:color w:val="2F5496" w:themeColor="accent1" w:themeShade="BF"/>
          <w:sz w:val="24"/>
          <w:szCs w:val="24"/>
          <w:lang w:val="en-US"/>
        </w:rPr>
        <w:t xml:space="preserve">  </w:t>
      </w:r>
    </w:p>
    <w:p w14:paraId="160D9502" w14:textId="77777777" w:rsidR="000F7E56" w:rsidRPr="000F7E56" w:rsidRDefault="000F7E56" w:rsidP="000F7E56">
      <w:pPr>
        <w:spacing w:after="120" w:line="360" w:lineRule="auto"/>
        <w:rPr>
          <w:rFonts w:cstheme="minorHAnsi"/>
          <w:lang w:val="en-US"/>
        </w:rPr>
      </w:pPr>
      <w:r w:rsidRPr="000F7E56">
        <w:rPr>
          <w:rFonts w:cstheme="minorHAnsi"/>
          <w:lang w:val="en-US"/>
        </w:rPr>
        <w:t xml:space="preserve">WS3 involved conducting virtual stakeholder workshops with participants joining a virtual workshop or participants completing a workbook. Based on the findings in WS1 and 2 we developed topic guides for workshops and workbooks. These had commonalities but also included materials that were specific to each of the different participant groups and iteratively evolved during the course of the workshops. Stakeholders were </w:t>
      </w:r>
      <w:proofErr w:type="spellStart"/>
      <w:r w:rsidRPr="000F7E56">
        <w:rPr>
          <w:rFonts w:cstheme="minorHAnsi"/>
          <w:lang w:val="en-US"/>
        </w:rPr>
        <w:t>categorised</w:t>
      </w:r>
      <w:proofErr w:type="spellEnd"/>
      <w:r w:rsidRPr="000F7E56">
        <w:rPr>
          <w:rFonts w:cstheme="minorHAnsi"/>
          <w:lang w:val="en-US"/>
        </w:rPr>
        <w:t xml:space="preserve"> as members of the public from diverse ethnic backgrounds (lay), community and faith leaders, academics, educators and healthcare professionals. </w:t>
      </w:r>
    </w:p>
    <w:p w14:paraId="221A36B5" w14:textId="77777777" w:rsidR="000F7E56" w:rsidRPr="000F7E56" w:rsidRDefault="00A662A8" w:rsidP="000F7E56">
      <w:pPr>
        <w:keepNext/>
        <w:keepLines/>
        <w:spacing w:before="40" w:after="0" w:line="360" w:lineRule="auto"/>
        <w:outlineLvl w:val="1"/>
        <w:rPr>
          <w:rFonts w:asciiTheme="majorHAnsi" w:eastAsiaTheme="majorEastAsia" w:hAnsiTheme="majorHAnsi" w:cstheme="majorBidi"/>
          <w:color w:val="2F5496" w:themeColor="accent1" w:themeShade="BF"/>
          <w:sz w:val="24"/>
          <w:szCs w:val="24"/>
          <w:lang w:val="en-US"/>
        </w:rPr>
      </w:pPr>
      <w:bookmarkStart w:id="172" w:name="_Toc89665164"/>
      <w:bookmarkStart w:id="173" w:name="_Toc89671917"/>
      <w:bookmarkStart w:id="174" w:name="_Toc89763967"/>
      <w:bookmarkStart w:id="175" w:name="_Toc106697795"/>
      <w:r>
        <w:rPr>
          <w:rFonts w:asciiTheme="majorHAnsi" w:eastAsiaTheme="majorEastAsia" w:hAnsiTheme="majorHAnsi" w:cstheme="majorBidi"/>
          <w:color w:val="2F5496" w:themeColor="accent1" w:themeShade="BF"/>
          <w:sz w:val="24"/>
          <w:szCs w:val="24"/>
          <w:lang w:val="en-US"/>
        </w:rPr>
        <w:t>Work Stream 3:</w:t>
      </w:r>
      <w:r w:rsidR="000F7E56" w:rsidRPr="000F7E56">
        <w:rPr>
          <w:rFonts w:asciiTheme="majorHAnsi" w:eastAsiaTheme="majorEastAsia" w:hAnsiTheme="majorHAnsi" w:cstheme="majorBidi"/>
          <w:color w:val="2F5496" w:themeColor="accent1" w:themeShade="BF"/>
          <w:sz w:val="24"/>
          <w:szCs w:val="24"/>
          <w:lang w:val="en-US"/>
        </w:rPr>
        <w:t xml:space="preserve"> Sampling and recruitment</w:t>
      </w:r>
      <w:bookmarkEnd w:id="172"/>
      <w:bookmarkEnd w:id="173"/>
      <w:bookmarkEnd w:id="174"/>
      <w:bookmarkEnd w:id="175"/>
      <w:r w:rsidR="000F7E56" w:rsidRPr="000F7E56">
        <w:rPr>
          <w:rFonts w:asciiTheme="majorHAnsi" w:eastAsiaTheme="majorEastAsia" w:hAnsiTheme="majorHAnsi" w:cstheme="majorBidi"/>
          <w:color w:val="2F5496" w:themeColor="accent1" w:themeShade="BF"/>
          <w:sz w:val="24"/>
          <w:szCs w:val="24"/>
          <w:lang w:val="en-US"/>
        </w:rPr>
        <w:t xml:space="preserve"> </w:t>
      </w:r>
    </w:p>
    <w:p w14:paraId="62B19472" w14:textId="77777777" w:rsidR="000F7E56" w:rsidRPr="000F7E56" w:rsidRDefault="000F7E56" w:rsidP="000F7E56">
      <w:pPr>
        <w:spacing w:after="120" w:line="360" w:lineRule="auto"/>
        <w:rPr>
          <w:rFonts w:cstheme="minorHAnsi"/>
          <w:lang w:val="en-US"/>
        </w:rPr>
      </w:pPr>
      <w:r w:rsidRPr="000F7E56">
        <w:rPr>
          <w:rFonts w:cstheme="minorHAnsi"/>
          <w:lang w:val="en-US"/>
        </w:rPr>
        <w:t>For WS3 we purposively recruited and sampled across the range of stakeholders. The recruitment of stakeholder participants was via a process of snowballing. Here the study team and all collaborators including members of the PCBR identified potential participants via local small world networks. Study flyers and email were circulated. Through this process over 140 potential participants were contacted. Potential participants were contacted by e-mail and sent a participant information leaflet and reply slip</w:t>
      </w:r>
      <w:r w:rsidRPr="000F7E56">
        <w:t xml:space="preserve"> </w:t>
      </w:r>
      <w:r w:rsidRPr="000F7E56">
        <w:rPr>
          <w:rFonts w:cstheme="minorHAnsi"/>
          <w:lang w:val="en-US"/>
        </w:rPr>
        <w:t xml:space="preserve">and offered the opportunity to attend a workshop or compete a workbook in their own time </w:t>
      </w:r>
    </w:p>
    <w:p w14:paraId="5198B952" w14:textId="77777777" w:rsidR="000F7E56" w:rsidRPr="000F7E56" w:rsidRDefault="00A662A8" w:rsidP="000F7E56">
      <w:pPr>
        <w:keepNext/>
        <w:keepLines/>
        <w:spacing w:before="40" w:after="0" w:line="360" w:lineRule="auto"/>
        <w:outlineLvl w:val="1"/>
        <w:rPr>
          <w:rFonts w:asciiTheme="majorHAnsi" w:eastAsiaTheme="majorEastAsia" w:hAnsiTheme="majorHAnsi" w:cstheme="majorBidi"/>
          <w:color w:val="2F5496" w:themeColor="accent1" w:themeShade="BF"/>
          <w:sz w:val="24"/>
          <w:szCs w:val="24"/>
          <w:lang w:val="en-US"/>
        </w:rPr>
      </w:pPr>
      <w:bookmarkStart w:id="176" w:name="_Toc89665165"/>
      <w:bookmarkStart w:id="177" w:name="_Toc89671918"/>
      <w:bookmarkStart w:id="178" w:name="_Toc89763968"/>
      <w:bookmarkStart w:id="179" w:name="_Toc106697796"/>
      <w:r>
        <w:rPr>
          <w:rFonts w:asciiTheme="majorHAnsi" w:eastAsiaTheme="majorEastAsia" w:hAnsiTheme="majorHAnsi" w:cstheme="majorBidi"/>
          <w:color w:val="2F5496" w:themeColor="accent1" w:themeShade="BF"/>
          <w:sz w:val="24"/>
          <w:szCs w:val="24"/>
          <w:lang w:val="en-US"/>
        </w:rPr>
        <w:t>Work Stream 3:</w:t>
      </w:r>
      <w:r w:rsidR="000F7E56" w:rsidRPr="000F7E56">
        <w:rPr>
          <w:rFonts w:asciiTheme="majorHAnsi" w:eastAsiaTheme="majorEastAsia" w:hAnsiTheme="majorHAnsi" w:cstheme="majorBidi"/>
          <w:color w:val="2F5496" w:themeColor="accent1" w:themeShade="BF"/>
          <w:sz w:val="24"/>
          <w:szCs w:val="24"/>
          <w:lang w:val="en-US"/>
        </w:rPr>
        <w:t xml:space="preserve"> Data collection</w:t>
      </w:r>
      <w:bookmarkEnd w:id="176"/>
      <w:bookmarkEnd w:id="177"/>
      <w:bookmarkEnd w:id="178"/>
      <w:bookmarkEnd w:id="179"/>
    </w:p>
    <w:p w14:paraId="6B0A6BCF" w14:textId="77777777" w:rsidR="000F7E56" w:rsidRPr="000F7E56" w:rsidRDefault="000F7E56" w:rsidP="000F7E56">
      <w:pPr>
        <w:spacing w:after="120" w:line="360" w:lineRule="auto"/>
        <w:rPr>
          <w:rFonts w:cstheme="minorHAnsi"/>
          <w:lang w:val="en-US"/>
        </w:rPr>
      </w:pPr>
      <w:r w:rsidRPr="000F7E56">
        <w:rPr>
          <w:rFonts w:cstheme="minorHAnsi"/>
          <w:lang w:val="en-US"/>
        </w:rPr>
        <w:t xml:space="preserve">Based on the findings in WS1 and WS2, eight </w:t>
      </w:r>
      <w:proofErr w:type="spellStart"/>
      <w:r w:rsidRPr="000F7E56">
        <w:rPr>
          <w:rFonts w:cstheme="minorHAnsi"/>
          <w:lang w:val="en-US"/>
        </w:rPr>
        <w:t>fictionalised</w:t>
      </w:r>
      <w:proofErr w:type="spellEnd"/>
      <w:r w:rsidRPr="000F7E56">
        <w:rPr>
          <w:rFonts w:cstheme="minorHAnsi"/>
          <w:lang w:val="en-US"/>
        </w:rPr>
        <w:t xml:space="preserve"> stories were developed for use in the workshops. Each of the stories highlighted key themes identified in WS1 and 2. A topic guide for workshops and workbooks for those unable to attend workshops were drafted for each of the different stakeholders’ groups. These draft stories, topic guides and accompanying workbooks were piloted with our PPI lead (IM) and members of our PCBR and refined with their comments and after further discussion within the core research team. The HCP topic guide and accompanying stories were additionally piloted with professionals with subsequent further refinement. </w:t>
      </w:r>
    </w:p>
    <w:p w14:paraId="09D6C90E" w14:textId="77777777" w:rsidR="000F7E56" w:rsidRPr="000F7E56" w:rsidRDefault="000F7E56" w:rsidP="000F7E56">
      <w:pPr>
        <w:spacing w:after="120" w:line="360" w:lineRule="auto"/>
        <w:rPr>
          <w:rFonts w:cstheme="minorHAnsi"/>
          <w:lang w:val="en-US"/>
        </w:rPr>
      </w:pPr>
      <w:r w:rsidRPr="000F7E56">
        <w:rPr>
          <w:rFonts w:cstheme="minorHAnsi"/>
          <w:lang w:val="en-US"/>
        </w:rPr>
        <w:t xml:space="preserve">The workbooks and topic guides had some commonalities for instance all participants were asked to identify challenges within each story and best practice for HCPs in supporting patients in end-of-life care </w:t>
      </w:r>
      <w:r w:rsidRPr="000F7E56">
        <w:rPr>
          <w:rFonts w:cstheme="minorHAnsi"/>
          <w:lang w:val="en-US"/>
        </w:rPr>
        <w:lastRenderedPageBreak/>
        <w:t xml:space="preserve">discussions and planning and to comment on the implication of these best practices for training and for service delivery. Key questions being: What are the ‘generic’ issues; Are there any specific ED issues; How do ED backgrounds overlay/increase complexity of the generic issues; How do professionals make ‘best-interests’ decisions in the cross-cultural context? </w:t>
      </w:r>
    </w:p>
    <w:p w14:paraId="0FEBE472" w14:textId="369D451D" w:rsidR="000F7E56" w:rsidRPr="000F7E56" w:rsidRDefault="000F7E56" w:rsidP="000F7E56">
      <w:pPr>
        <w:spacing w:after="120" w:line="360" w:lineRule="auto"/>
        <w:rPr>
          <w:rFonts w:cstheme="minorHAnsi"/>
          <w:lang w:val="en-US"/>
        </w:rPr>
      </w:pPr>
      <w:r w:rsidRPr="000F7E56">
        <w:rPr>
          <w:rFonts w:cstheme="minorHAnsi"/>
          <w:lang w:val="en-US"/>
        </w:rPr>
        <w:t>Each stakeholder workshop also included material that was tailored to each of the different groups and iteratively evolved during the course of the workshops. The stories and the key themes highlighted in each will be further discussed in Chapter 6 and are available in</w:t>
      </w:r>
      <w:r w:rsidR="00AD6C9D">
        <w:rPr>
          <w:rFonts w:cstheme="minorHAnsi"/>
          <w:lang w:val="en-US"/>
        </w:rPr>
        <w:t xml:space="preserve"> </w:t>
      </w:r>
      <w:r w:rsidRPr="000F7E56">
        <w:rPr>
          <w:rFonts w:cstheme="minorHAnsi"/>
          <w:lang w:val="en-US"/>
        </w:rPr>
        <w:t xml:space="preserve">Appendix </w:t>
      </w:r>
      <w:r w:rsidR="00A22068">
        <w:rPr>
          <w:rFonts w:cstheme="minorHAnsi"/>
          <w:lang w:val="en-US"/>
        </w:rPr>
        <w:t>1</w:t>
      </w:r>
      <w:r w:rsidRPr="000F7E56">
        <w:rPr>
          <w:rFonts w:cstheme="minorHAnsi"/>
          <w:lang w:val="en-US"/>
        </w:rPr>
        <w:t xml:space="preserve">.  </w:t>
      </w:r>
    </w:p>
    <w:p w14:paraId="67A7B264" w14:textId="77777777" w:rsidR="000F7E56" w:rsidRPr="000F7E56" w:rsidRDefault="000F7E56" w:rsidP="000F7E56">
      <w:pPr>
        <w:spacing w:after="120" w:line="360" w:lineRule="auto"/>
        <w:rPr>
          <w:rFonts w:cstheme="minorHAnsi"/>
          <w:lang w:val="en-US"/>
        </w:rPr>
      </w:pPr>
      <w:r w:rsidRPr="000F7E56">
        <w:rPr>
          <w:rFonts w:cstheme="minorHAnsi"/>
          <w:lang w:val="en-US"/>
        </w:rPr>
        <w:t>Each virtual workshop had a maximum of five participants. Data resulting from the workbook tasks, contemporaneous field notes, audio recordings of workshop interactions and semi-structured questionnaires captured the participants’ views and will be discussed in Chapter 6. Demographic information was also gathered together with feedback on the workshop or workbook materials to inform iterative development of the WS3 and the educational outputs from the study.</w:t>
      </w:r>
    </w:p>
    <w:p w14:paraId="2773A363" w14:textId="77777777" w:rsidR="000F7E56" w:rsidRPr="000F7E56" w:rsidRDefault="00A662A8" w:rsidP="000F7E56">
      <w:pPr>
        <w:keepNext/>
        <w:keepLines/>
        <w:spacing w:before="40" w:after="0" w:line="360" w:lineRule="auto"/>
        <w:outlineLvl w:val="1"/>
        <w:rPr>
          <w:rFonts w:asciiTheme="majorHAnsi" w:eastAsiaTheme="majorEastAsia" w:hAnsiTheme="majorHAnsi" w:cstheme="majorBidi"/>
          <w:color w:val="2F5496" w:themeColor="accent1" w:themeShade="BF"/>
          <w:sz w:val="24"/>
          <w:szCs w:val="24"/>
          <w:lang w:val="en-US"/>
        </w:rPr>
      </w:pPr>
      <w:bookmarkStart w:id="180" w:name="_Toc89665166"/>
      <w:bookmarkStart w:id="181" w:name="_Toc89671919"/>
      <w:bookmarkStart w:id="182" w:name="_Toc89763969"/>
      <w:bookmarkStart w:id="183" w:name="_Toc106697797"/>
      <w:r>
        <w:rPr>
          <w:rFonts w:asciiTheme="majorHAnsi" w:eastAsiaTheme="majorEastAsia" w:hAnsiTheme="majorHAnsi" w:cstheme="majorBidi"/>
          <w:color w:val="2F5496" w:themeColor="accent1" w:themeShade="BF"/>
          <w:sz w:val="24"/>
          <w:szCs w:val="24"/>
          <w:lang w:val="en-US"/>
        </w:rPr>
        <w:t>Work Stream 3:</w:t>
      </w:r>
      <w:r w:rsidR="000F7E56" w:rsidRPr="000F7E56">
        <w:rPr>
          <w:rFonts w:asciiTheme="majorHAnsi" w:eastAsiaTheme="majorEastAsia" w:hAnsiTheme="majorHAnsi" w:cstheme="majorBidi"/>
          <w:color w:val="2F5496" w:themeColor="accent1" w:themeShade="BF"/>
          <w:sz w:val="24"/>
          <w:szCs w:val="24"/>
          <w:lang w:val="en-US"/>
        </w:rPr>
        <w:t xml:space="preserve"> Process and consent</w:t>
      </w:r>
      <w:bookmarkEnd w:id="180"/>
      <w:bookmarkEnd w:id="181"/>
      <w:bookmarkEnd w:id="182"/>
      <w:bookmarkEnd w:id="183"/>
    </w:p>
    <w:p w14:paraId="1A4FC683" w14:textId="77777777" w:rsidR="000F7E56" w:rsidRPr="000F7E56" w:rsidRDefault="000F7E56" w:rsidP="000F7E56">
      <w:pPr>
        <w:spacing w:after="120" w:line="360" w:lineRule="auto"/>
        <w:rPr>
          <w:rFonts w:cstheme="minorHAnsi"/>
          <w:lang w:val="en-US"/>
        </w:rPr>
      </w:pPr>
      <w:r w:rsidRPr="000F7E56">
        <w:rPr>
          <w:rFonts w:cstheme="minorHAnsi"/>
          <w:lang w:val="en-US"/>
        </w:rPr>
        <w:t>On the day of the workshop, the chair of the session the CI (CF) welcomed everyone joining the workshop and led the introduction of team the zoom etiquette, and went through each item on the consent form, asking them to initial and sign accordingly and return by post or email. Upon receipt of a signed participant consent form the study RA (MH) also signed and dated the form and allocated each participant a ID number before returning a copy to the participant. Participants completing workbooks were also required to read the information leaflet before completing their consent form and the workbooks. Upon receipt of completed and signed participant consent form and completed workbooks, for both participants who attended virtual workshops and the ones who completed individual workbooks, MH sent each participant thankyou vouchers.</w:t>
      </w:r>
    </w:p>
    <w:p w14:paraId="017F5640" w14:textId="300694F6" w:rsidR="000F7E56" w:rsidRPr="000F7E56" w:rsidRDefault="000F7E56" w:rsidP="000F7E56">
      <w:pPr>
        <w:keepNext/>
        <w:keepLines/>
        <w:spacing w:before="40" w:after="0" w:line="360" w:lineRule="auto"/>
        <w:outlineLvl w:val="1"/>
        <w:rPr>
          <w:rFonts w:asciiTheme="majorHAnsi" w:eastAsiaTheme="majorEastAsia" w:hAnsiTheme="majorHAnsi" w:cstheme="majorBidi"/>
          <w:color w:val="2F5496" w:themeColor="accent1" w:themeShade="BF"/>
          <w:sz w:val="24"/>
          <w:szCs w:val="24"/>
          <w:lang w:val="en-US"/>
        </w:rPr>
      </w:pPr>
      <w:bookmarkStart w:id="184" w:name="_Toc89665167"/>
      <w:bookmarkStart w:id="185" w:name="_Toc89671920"/>
      <w:bookmarkStart w:id="186" w:name="_Toc89763970"/>
      <w:bookmarkStart w:id="187" w:name="_Toc106697798"/>
      <w:r w:rsidRPr="000F7E56">
        <w:rPr>
          <w:rFonts w:asciiTheme="majorHAnsi" w:eastAsiaTheme="majorEastAsia" w:hAnsiTheme="majorHAnsi" w:cstheme="majorBidi"/>
          <w:color w:val="2F5496" w:themeColor="accent1" w:themeShade="BF"/>
          <w:sz w:val="24"/>
          <w:szCs w:val="24"/>
          <w:lang w:val="en-US"/>
        </w:rPr>
        <w:t xml:space="preserve">Analysis of </w:t>
      </w:r>
      <w:r w:rsidR="00A662A8">
        <w:rPr>
          <w:rFonts w:asciiTheme="majorHAnsi" w:eastAsiaTheme="majorEastAsia" w:hAnsiTheme="majorHAnsi" w:cstheme="majorBidi"/>
          <w:color w:val="2F5496" w:themeColor="accent1" w:themeShade="BF"/>
          <w:sz w:val="24"/>
          <w:szCs w:val="24"/>
          <w:lang w:val="en-US"/>
        </w:rPr>
        <w:t>Work Stream 1, Work Stream 2 and Work Stream 3: multiple datasets</w:t>
      </w:r>
      <w:bookmarkEnd w:id="184"/>
      <w:bookmarkEnd w:id="185"/>
      <w:bookmarkEnd w:id="186"/>
      <w:bookmarkEnd w:id="187"/>
    </w:p>
    <w:p w14:paraId="0D1C93BE" w14:textId="77777777" w:rsidR="000F7E56" w:rsidRPr="000F7E56" w:rsidRDefault="000F7E56" w:rsidP="000F7E56">
      <w:pPr>
        <w:spacing w:after="120" w:line="360" w:lineRule="auto"/>
        <w:rPr>
          <w:rFonts w:cstheme="minorHAnsi"/>
          <w:lang w:val="en-US"/>
        </w:rPr>
      </w:pPr>
      <w:r w:rsidRPr="000F7E56">
        <w:rPr>
          <w:rFonts w:cstheme="minorHAnsi"/>
          <w:lang w:val="en-US"/>
        </w:rPr>
        <w:t>There were several data sets for analysis.</w:t>
      </w:r>
    </w:p>
    <w:p w14:paraId="1C5CA63C" w14:textId="17A83F2C" w:rsidR="000F7E56" w:rsidRPr="000F7E56" w:rsidRDefault="000F7E56" w:rsidP="000F7E56">
      <w:pPr>
        <w:numPr>
          <w:ilvl w:val="0"/>
          <w:numId w:val="4"/>
        </w:numPr>
        <w:spacing w:after="120" w:line="360" w:lineRule="auto"/>
        <w:rPr>
          <w:rFonts w:cstheme="minorHAnsi"/>
          <w:lang w:val="en-US"/>
        </w:rPr>
      </w:pPr>
      <w:r w:rsidRPr="000F7E56">
        <w:rPr>
          <w:rFonts w:cstheme="minorHAnsi"/>
          <w:lang w:val="en-US"/>
        </w:rPr>
        <w:t>WS1:</w:t>
      </w:r>
      <w:r w:rsidR="008555B3">
        <w:rPr>
          <w:rFonts w:cstheme="minorHAnsi"/>
          <w:lang w:val="en-US"/>
        </w:rPr>
        <w:t xml:space="preserve"> </w:t>
      </w:r>
      <w:r w:rsidRPr="000F7E56">
        <w:rPr>
          <w:rFonts w:cstheme="minorHAnsi"/>
          <w:lang w:val="en-US"/>
        </w:rPr>
        <w:t>18 patient-based case studies comprising 93 interviews across three stakeholder groups; comprising patients, FCGs and HCPs. Review of medical records for 13 cases;</w:t>
      </w:r>
    </w:p>
    <w:p w14:paraId="29621258" w14:textId="77777777" w:rsidR="000F7E56" w:rsidRPr="000F7E56" w:rsidRDefault="000F7E56" w:rsidP="000F7E56">
      <w:pPr>
        <w:numPr>
          <w:ilvl w:val="0"/>
          <w:numId w:val="4"/>
        </w:numPr>
        <w:spacing w:after="200" w:line="360" w:lineRule="auto"/>
        <w:jc w:val="both"/>
        <w:rPr>
          <w:rFonts w:cstheme="minorHAnsi"/>
          <w:lang w:val="en-US"/>
        </w:rPr>
      </w:pPr>
      <w:r w:rsidRPr="000F7E56">
        <w:rPr>
          <w:rFonts w:cstheme="minorHAnsi"/>
          <w:lang w:val="en-US"/>
        </w:rPr>
        <w:t>WS2: 19 interviews with bereaved FCGs;</w:t>
      </w:r>
    </w:p>
    <w:p w14:paraId="32668130" w14:textId="77777777" w:rsidR="000F7E56" w:rsidRPr="000F7E56" w:rsidRDefault="000F7E56" w:rsidP="000F7E56">
      <w:pPr>
        <w:numPr>
          <w:ilvl w:val="0"/>
          <w:numId w:val="4"/>
        </w:numPr>
        <w:spacing w:after="200" w:line="360" w:lineRule="auto"/>
        <w:jc w:val="both"/>
        <w:rPr>
          <w:rFonts w:cstheme="minorHAnsi"/>
          <w:lang w:val="en-US"/>
        </w:rPr>
      </w:pPr>
      <w:r w:rsidRPr="000F7E56">
        <w:rPr>
          <w:rFonts w:cstheme="minorHAnsi"/>
          <w:lang w:val="en-US"/>
        </w:rPr>
        <w:t xml:space="preserve">WS3: workshop reflection notes, recordings and workbook responses. </w:t>
      </w:r>
    </w:p>
    <w:p w14:paraId="2176EE03" w14:textId="3B490DAE" w:rsidR="000F7E56" w:rsidRPr="000F7E56" w:rsidRDefault="000F7E56" w:rsidP="000F7E56">
      <w:pPr>
        <w:spacing w:after="120" w:line="360" w:lineRule="auto"/>
        <w:rPr>
          <w:rFonts w:cstheme="minorHAnsi"/>
          <w:lang w:val="en-US"/>
        </w:rPr>
      </w:pPr>
      <w:r w:rsidRPr="000F7E56">
        <w:rPr>
          <w:rFonts w:cstheme="minorHAnsi"/>
          <w:lang w:val="en-US"/>
        </w:rPr>
        <w:t>In WS1 each data set was subjected to both separate and integrated thematic analysis through constant comparison.</w:t>
      </w:r>
      <w:r w:rsidRPr="000F7E56">
        <w:rPr>
          <w:rFonts w:cstheme="minorHAnsi"/>
          <w:lang w:val="en-US"/>
        </w:rPr>
        <w:fldChar w:fldCharType="begin"/>
      </w:r>
      <w:r w:rsidR="000D5597">
        <w:rPr>
          <w:rFonts w:cstheme="minorHAnsi"/>
          <w:lang w:val="en-US"/>
        </w:rPr>
        <w:instrText xml:space="preserve"> ADDIN ZOTERO_ITEM CSL_CITATION {"citationID":"IakOea1x","properties":{"formattedCitation":"\\super 111,129\\nosupersub{}","plainCitation":"111,129","noteIndex":0},"citationItems":[{"id":"aZbwIlcN/KI9uIJEf","uris":["http://zotero.org/users/6587080/items/6RLVK2KX"],"itemData":{"id":"AMorj3u4/JtTMx9qt","type":"article-journal","abstract":"Introduction: “Themes will be identified.…” Reliance on the identification of themes as the goal of analysis is endemic in qualitative research. Often, in funding proposals, there will be a lengthy description of how qualitative data are going to be gathered, but the only thing said about how these data are going to be managed or analysed is that ‘themes will be identified in the data’. Similarly, writers of journal articles often simply identify and discuss four or five ‘themes’ as their analysis of the qualitative data in the study, with no attempt to link those themes into a more comprehensive model of what they have found.","container-title":"THE MALAYSIAN JOURNAL OF QUALITATIVE RESEARCH","issue":"2","language":"en","page":"18","source":"Zotero","title":"Analysing Qualitative Data: More Than ‘Identifying Themes’","volume":"2","author":[{"family":"Bazeley","given":"Pat"}],"issued":{"date-parts":[["2009"]]}}},{"id":114,"uris":["http://zotero.org/users/8748280/items/UH7NWHGY"],"itemData":{"id":114,"type":"book","abstract":"Lecturers/instructors only - request a free digital inspection copy here  Written by an experienced researcher in the field of qualitative methods, this dynamic new book provides a definitive introduction to analysing qualitative data.  It is a clear, accessible and practical guide to each stage of the process, including: - Designing and managing qualitative data for analysis - Working with data through interpretive, comparative, pattern and relational analyses - Developing explanatory theory and coherent conclusions, based on qualitative data.  The book pairs theoretical discussion with practical advice using a host of examples from diverse projects across the social sciences. It describes data analysis strategies in actionable steps and helpfully links to the use of computer software where relevant. This is an exciting new addition to the literature on qualitative data analysis and a must-read for anyone who has collected, or is preparing to collect, their own data.","edition":"1 edition","event-place":"London","ISBN":"978-1-84920-303-6","language":"English","number-of-pages":"472","publisher":"SAGE Publications Ltd","publisher-place":"London","source":"Amazon","title":"Qualitative Data Analysis: Practical Strategies","title-short":"Qualitative Data Analysis","author":[{"family":"Bazeley","given":"Patricia"}],"issued":{"date-parts":[["2013",2,28]]}}}],"schema":"https://github.com/citation-style-language/schema/raw/master/csl-citation.json"} </w:instrText>
      </w:r>
      <w:r w:rsidRPr="000F7E56">
        <w:rPr>
          <w:rFonts w:cstheme="minorHAnsi"/>
          <w:lang w:val="en-US"/>
        </w:rPr>
        <w:fldChar w:fldCharType="separate"/>
      </w:r>
      <w:r w:rsidR="000D5597" w:rsidRPr="000D5597">
        <w:rPr>
          <w:rFonts w:ascii="Calibri" w:hAnsi="Calibri" w:cs="Times New Roman"/>
          <w:szCs w:val="24"/>
          <w:vertAlign w:val="superscript"/>
        </w:rPr>
        <w:t>111,129</w:t>
      </w:r>
      <w:r w:rsidRPr="000F7E56">
        <w:rPr>
          <w:rFonts w:cstheme="minorHAnsi"/>
          <w:lang w:val="en-US"/>
        </w:rPr>
        <w:fldChar w:fldCharType="end"/>
      </w:r>
      <w:r w:rsidRPr="000F7E56">
        <w:rPr>
          <w:rFonts w:cstheme="minorHAnsi"/>
          <w:lang w:val="en-US"/>
        </w:rPr>
        <w:t xml:space="preserve"> The qualitative software program NVivo facilitated the management and coding of data sets and allowed for cross-stakeholder and cross-Work Stream coding and queries. Analysis proceeded through a process of open coding of initial manuscripts by at least two researchers independently, and then </w:t>
      </w:r>
      <w:r w:rsidRPr="000F7E56">
        <w:rPr>
          <w:rFonts w:cstheme="minorHAnsi"/>
          <w:lang w:val="en-US"/>
        </w:rPr>
        <w:lastRenderedPageBreak/>
        <w:t xml:space="preserve">development of the coding frame through discussion of the themes between core team researchers (AP, MH, ZI, CF and KP). Coding has involved ‘coding’ segments of interview transcripts to one or more broad 'nodes' (or themes) within NVivo to capture all text relating to an idea or topic. The coding frame was developed through an iterative process of reading, coding and discussion of data elements within the research team to identify, compare and link 'themes' occurring within and across the interviews. A more refined and selective process of coding-on from individual nodes was undertaken largely by AP and by KP (Co-applicant) to explore, differentiate, </w:t>
      </w:r>
      <w:proofErr w:type="spellStart"/>
      <w:r w:rsidRPr="000F7E56">
        <w:rPr>
          <w:rFonts w:cstheme="minorHAnsi"/>
          <w:lang w:val="en-US"/>
        </w:rPr>
        <w:t>reorganise</w:t>
      </w:r>
      <w:proofErr w:type="spellEnd"/>
      <w:r w:rsidRPr="000F7E56">
        <w:rPr>
          <w:rFonts w:cstheme="minorHAnsi"/>
          <w:lang w:val="en-US"/>
        </w:rPr>
        <w:t xml:space="preserve"> and relate the themes identified as of greatest relevance to the study objectives. </w:t>
      </w:r>
    </w:p>
    <w:p w14:paraId="6A95A392" w14:textId="3613DB85" w:rsidR="000F7E56" w:rsidRPr="000F7E56" w:rsidRDefault="000F7E56" w:rsidP="000F7E56">
      <w:pPr>
        <w:spacing w:after="120" w:line="360" w:lineRule="auto"/>
        <w:rPr>
          <w:rFonts w:cstheme="minorHAnsi"/>
          <w:lang w:val="en-US"/>
        </w:rPr>
      </w:pPr>
      <w:r w:rsidRPr="000F7E56">
        <w:rPr>
          <w:rFonts w:cstheme="minorHAnsi"/>
          <w:lang w:val="en-US"/>
        </w:rPr>
        <w:t>In WS1 patient-centered narrative case studies have been developed for each of the 18 cases individually by the researcher undertaking interviews in each case and one other core researcher and then further refined after discussion between core researchers. These triangulate different stakeholder perspectives and data sources, including a review of medical records. Each case study involved an holistic in-depth analysis of each case to enable an understanding of how ‘thinking ahead’ and EOLCP evolve over time and also a systematic cross-case comparison to discover patterns in the characteristics of the cases and to identify and examine any relationship between themes within a coordinated explanatory model of study findings.</w:t>
      </w:r>
      <w:r w:rsidRPr="000F7E56">
        <w:rPr>
          <w:rFonts w:cstheme="minorHAnsi"/>
          <w:lang w:val="en-US"/>
        </w:rPr>
        <w:fldChar w:fldCharType="begin"/>
      </w:r>
      <w:r w:rsidR="000D5597">
        <w:rPr>
          <w:rFonts w:cstheme="minorHAnsi"/>
          <w:lang w:val="en-US"/>
        </w:rPr>
        <w:instrText xml:space="preserve"> ADDIN ZOTERO_ITEM CSL_CITATION {"citationID":"y70cvRYY","properties":{"formattedCitation":"\\super 116,129\\nosupersub{}","plainCitation":"116,129","noteIndex":0},"citationItems":[{"id":"aZbwIlcN/8xen9ifI","uris":["http://zotero.org/users/6587080/items/7YYAEGXK"],"itemData":{"id":712,"type":"book","abstract":"Winner of the 2011 Special Career Award in Qualitative Inquiry from the International Congress for Qualitative Inquiry! Examining situational complexity is a vital part of social and behavioral science research. This engaging text provides an effective process for studying multiple cases - such as sets of teachers, staff development sessions, or clinics operating in different locations - within one complex program. The process also can be used to investigate broadly occurring phenomena without programmatic links, such as leadership or sibling rivalry. Readers learn to design, analyze, and report studies that balance common issues across the group of cases with the unique features and context of each case. Three actual case reports from a transnational early childhood program illustrate the author's approach, and helpful reproducible worksheets facilitate multicase recording and analysis.","edition":"1 edition","event-place":"New York","ISBN":"978-1-59385-248-1","language":"English","number-of-pages":"342","publisher":"Guilford Press","publisher-place":"New York","source":"Amazon","title":"Multiple Case Study Analysis","author":[{"family":"Stake","given":"Robert E."}],"issued":{"date-parts":[["2006"]]}}},{"id":"aZbwIlcN/KI9uIJEf","uris":["http://zotero.org/users/6587080/items/6RLVK2KX"],"itemData":{"id":285,"type":"article-journal","abstract":"Introduction: “Themes will be identified.…” Reliance on the identification of themes as the goal of analysis is endemic in qualitative research. Often, in funding proposals, there will be a lengthy description of how qualitative data are going to be gathered, but the only thing said about how these data are going to be managed or analysed is that ‘themes will be identified in the data’. Similarly, writers of journal articles often simply identify and discuss four or five ‘themes’ as their analysis of the qualitative data in the study, with no attempt to link those themes into a more comprehensive model of what they have found.","container-title":"THE MALAYSIAN JOURNAL OF QUALITATIVE RESEARCH","issue":"2","language":"en","page":"18","source":"Zotero","title":"Analysing Qualitative Data: More Than ‘Identifying Themes’","volume":"2","author":[{"family":"Bazeley","given":"Pat"}],"issued":{"date-parts":[["2009"]]}}}],"schema":"https://github.com/citation-style-language/schema/raw/master/csl-citation.json"} </w:instrText>
      </w:r>
      <w:r w:rsidRPr="000F7E56">
        <w:rPr>
          <w:rFonts w:cstheme="minorHAnsi"/>
          <w:lang w:val="en-US"/>
        </w:rPr>
        <w:fldChar w:fldCharType="separate"/>
      </w:r>
      <w:r w:rsidR="000D5597" w:rsidRPr="000D5597">
        <w:rPr>
          <w:rFonts w:ascii="Calibri" w:hAnsi="Calibri" w:cs="Times New Roman"/>
          <w:szCs w:val="24"/>
          <w:vertAlign w:val="superscript"/>
        </w:rPr>
        <w:t>116,129</w:t>
      </w:r>
      <w:r w:rsidRPr="000F7E56">
        <w:rPr>
          <w:rFonts w:cstheme="minorHAnsi"/>
          <w:lang w:val="en-US"/>
        </w:rPr>
        <w:fldChar w:fldCharType="end"/>
      </w:r>
      <w:r w:rsidRPr="000F7E56">
        <w:rPr>
          <w:rFonts w:cstheme="minorHAnsi"/>
          <w:lang w:val="en-US"/>
        </w:rPr>
        <w:t xml:space="preserve"> Serial follow up interview data goes beyond cross-sectional and static accounts of specific participants and groups of stakeholders and  enables an understanding of how EOLCP is managed and experienced over time within a complex network of care. The additional comparative dimension afforded by thematic analysis of each participant group interviews  completed the triangulation of the different data sets.</w:t>
      </w:r>
      <w:r w:rsidRPr="000F7E56">
        <w:rPr>
          <w:rFonts w:cstheme="minorHAnsi"/>
          <w:lang w:val="en-US"/>
        </w:rPr>
        <w:fldChar w:fldCharType="begin"/>
      </w:r>
      <w:r w:rsidR="000D5597">
        <w:rPr>
          <w:rFonts w:cstheme="minorHAnsi"/>
          <w:lang w:val="en-US"/>
        </w:rPr>
        <w:instrText xml:space="preserve"> ADDIN ZOTERO_ITEM CSL_CITATION {"citationID":"HwGcookt","properties":{"formattedCitation":"\\super 117\\nosupersub{}","plainCitation":"117","noteIndex":0},"citationItems":[{"id":"aZbwIlcN/mNwnLK0e","uris":["http://zotero.org/users/6587080/items/UA72JPNE"],"itemData":{"id":2326,"type":"book","event-place":"London:","publisher":"SAGE.","publisher-place":"London:","title":"Case Study Research, Design and Method. 4th ed.","author":[{"family":"Yin","given":"Robert K."}],"issued":{"date-parts":[["2008"]]}}}],"schema":"https://github.com/citation-style-language/schema/raw/master/csl-citation.json"} </w:instrText>
      </w:r>
      <w:r w:rsidRPr="000F7E56">
        <w:rPr>
          <w:rFonts w:cstheme="minorHAnsi"/>
          <w:lang w:val="en-US"/>
        </w:rPr>
        <w:fldChar w:fldCharType="separate"/>
      </w:r>
      <w:r w:rsidR="000D5597" w:rsidRPr="000D5597">
        <w:rPr>
          <w:rFonts w:ascii="Calibri" w:hAnsi="Calibri" w:cs="Times New Roman"/>
          <w:szCs w:val="24"/>
          <w:vertAlign w:val="superscript"/>
        </w:rPr>
        <w:t>117</w:t>
      </w:r>
      <w:r w:rsidRPr="000F7E56">
        <w:rPr>
          <w:rFonts w:cstheme="minorHAnsi"/>
          <w:lang w:val="en-US"/>
        </w:rPr>
        <w:fldChar w:fldCharType="end"/>
      </w:r>
    </w:p>
    <w:p w14:paraId="09B0FC42" w14:textId="77777777" w:rsidR="000F7E56" w:rsidRPr="000F7E56" w:rsidRDefault="000F7E56" w:rsidP="000F7E56">
      <w:pPr>
        <w:spacing w:after="120" w:line="360" w:lineRule="auto"/>
        <w:rPr>
          <w:rFonts w:cstheme="minorHAnsi"/>
          <w:lang w:val="en-US"/>
        </w:rPr>
      </w:pPr>
      <w:r w:rsidRPr="000F7E56">
        <w:rPr>
          <w:rFonts w:cstheme="minorHAnsi"/>
          <w:lang w:val="en-US"/>
        </w:rPr>
        <w:t>Analysis of interview data for WS2 was similar to that of WS1: this was coded in terms of overall themes and subthemes occurring in the data though filtering in NVivo. Here further exploration by comparing themes between WS1 and WS2 and triangulating findings was undertaken to enable an understanding of the key issues relating to EOLCP when bereaved relatives reflect on their experience and the degree of difference, overlap and mutual understanding that exists between them and FCGs involved in current, active care of a patient with advanced illness, patients and HCPs.</w:t>
      </w:r>
    </w:p>
    <w:p w14:paraId="65CA3476" w14:textId="77777777" w:rsidR="000F7E56" w:rsidRPr="000F7E56" w:rsidRDefault="000F7E56" w:rsidP="000F7E56">
      <w:pPr>
        <w:spacing w:after="120" w:line="360" w:lineRule="auto"/>
        <w:rPr>
          <w:rFonts w:cstheme="minorHAnsi"/>
          <w:lang w:val="en-US"/>
        </w:rPr>
      </w:pPr>
      <w:r w:rsidRPr="000F7E56">
        <w:rPr>
          <w:rFonts w:cstheme="minorHAnsi"/>
          <w:lang w:val="en-US"/>
        </w:rPr>
        <w:t xml:space="preserve">Within NVivo data was initially coded for each of the stakeholder groups using a coding frame developed by (at least) double coding of a range of interviews from each data set. Common threads were then drawn together from across the stakeholder groups. Relevant ‘nodes’ in NVivo were then drawn together around these common threads (for example communication, professional support). These were then interrogated further for example enablers and barriers for good communication; enablers and barriers for effectively ‘knowing’ a patient and family. These were coded on to arrive at enablers and barriers for several aspects. For other sets of data, it was more appropriate to interrogate and code these further, using categories of ‘what worked’ and ‘what did not work’ (for example when scrutinizing positive experiences and negative </w:t>
      </w:r>
      <w:r w:rsidRPr="000F7E56">
        <w:rPr>
          <w:rFonts w:cstheme="minorHAnsi"/>
          <w:lang w:val="en-US"/>
        </w:rPr>
        <w:lastRenderedPageBreak/>
        <w:t xml:space="preserve">experiences of receiving healthcare support). In this way the coding frame looked both within and across stakeholder groups, which facilitated all stakeholders’ perspectives on particular emerging themes/issues. </w:t>
      </w:r>
    </w:p>
    <w:p w14:paraId="194B6D75" w14:textId="77777777" w:rsidR="000F7E56" w:rsidRPr="000F7E56" w:rsidRDefault="00A662A8" w:rsidP="000F7E56">
      <w:pPr>
        <w:keepNext/>
        <w:keepLines/>
        <w:spacing w:before="40" w:after="0" w:line="360" w:lineRule="auto"/>
        <w:outlineLvl w:val="1"/>
        <w:rPr>
          <w:rFonts w:asciiTheme="majorHAnsi" w:eastAsiaTheme="majorEastAsia" w:hAnsiTheme="majorHAnsi" w:cstheme="majorBidi"/>
          <w:color w:val="2F5496" w:themeColor="accent1" w:themeShade="BF"/>
          <w:sz w:val="24"/>
          <w:szCs w:val="24"/>
          <w:lang w:val="en-US"/>
        </w:rPr>
      </w:pPr>
      <w:bookmarkStart w:id="188" w:name="_Toc89665168"/>
      <w:bookmarkStart w:id="189" w:name="_Toc89671921"/>
      <w:bookmarkStart w:id="190" w:name="_Toc89763971"/>
      <w:bookmarkStart w:id="191" w:name="_Toc106697799"/>
      <w:r>
        <w:rPr>
          <w:rFonts w:asciiTheme="majorHAnsi" w:eastAsiaTheme="majorEastAsia" w:hAnsiTheme="majorHAnsi" w:cstheme="majorBidi"/>
          <w:color w:val="2F5496" w:themeColor="accent1" w:themeShade="BF"/>
          <w:sz w:val="24"/>
          <w:szCs w:val="24"/>
          <w:lang w:val="en-US"/>
        </w:rPr>
        <w:t>Work Stream 3:</w:t>
      </w:r>
      <w:r w:rsidR="000F7E56" w:rsidRPr="000F7E56">
        <w:rPr>
          <w:rFonts w:asciiTheme="majorHAnsi" w:eastAsiaTheme="majorEastAsia" w:hAnsiTheme="majorHAnsi" w:cstheme="majorBidi"/>
          <w:color w:val="2F5496" w:themeColor="accent1" w:themeShade="BF"/>
          <w:sz w:val="24"/>
          <w:szCs w:val="24"/>
          <w:lang w:val="en-US"/>
        </w:rPr>
        <w:t xml:space="preserve"> Analysis</w:t>
      </w:r>
      <w:bookmarkEnd w:id="188"/>
      <w:bookmarkEnd w:id="189"/>
      <w:bookmarkEnd w:id="190"/>
      <w:bookmarkEnd w:id="191"/>
    </w:p>
    <w:p w14:paraId="7DB2EC21" w14:textId="517FFDE6" w:rsidR="000F7E56" w:rsidRPr="000F7E56" w:rsidRDefault="000F7E56" w:rsidP="000F7E56">
      <w:pPr>
        <w:spacing w:after="120" w:line="360" w:lineRule="auto"/>
        <w:rPr>
          <w:rFonts w:cstheme="minorHAnsi"/>
          <w:lang w:val="en-US"/>
        </w:rPr>
      </w:pPr>
      <w:r w:rsidRPr="000F7E56">
        <w:rPr>
          <w:rFonts w:cstheme="minorHAnsi"/>
          <w:lang w:val="en-US"/>
        </w:rPr>
        <w:t>Analysis of WS3 involved a separate pragmatic thematic analysis of each workshop field notes by ZI and MH. Field notes from each of the workshops were coded in to themes and sub-themes through a process of constant comparison similar to that employed in WS1 and WS2.</w:t>
      </w:r>
      <w:r w:rsidRPr="000F7E56">
        <w:rPr>
          <w:rFonts w:cstheme="minorHAnsi"/>
          <w:lang w:val="en-US"/>
        </w:rPr>
        <w:fldChar w:fldCharType="begin"/>
      </w:r>
      <w:r w:rsidR="000D5597">
        <w:rPr>
          <w:rFonts w:cstheme="minorHAnsi"/>
          <w:lang w:val="en-US"/>
        </w:rPr>
        <w:instrText xml:space="preserve"> ADDIN ZOTERO_ITEM CSL_CITATION {"citationID":"qqvICHbC","properties":{"formattedCitation":"\\super 111,129\\nosupersub{}","plainCitation":"111,129","noteIndex":0},"citationItems":[{"id":"aZbwIlcN/KI9uIJEf","uris":["http://zotero.org/users/6587080/items/6RLVK2KX"],"itemData":{"id":"AMorj3u4/JtTMx9qt","type":"article-journal","abstract":"Introduction: “Themes will be identified.…” Reliance on the identification of themes as the goal of analysis is endemic in qualitative research. Often, in funding proposals, there will be a lengthy description of how qualitative data are going to be gathered, but the only thing said about how these data are going to be managed or analysed is that ‘themes will be identified in the data’. Similarly, writers of journal articles often simply identify and discuss four or five ‘themes’ as their analysis of the qualitative data in the study, with no attempt to link those themes into a more comprehensive model of what they have found.","container-title":"THE MALAYSIAN JOURNAL OF QUALITATIVE RESEARCH","issue":"2","language":"en","page":"18","source":"Zotero","title":"Analysing Qualitative Data: More Than ‘Identifying Themes’","volume":"2","author":[{"family":"Bazeley","given":"Pat"}],"issued":{"date-parts":[["2009"]]}}},{"id":114,"uris":["http://zotero.org/users/8748280/items/UH7NWHGY"],"itemData":{"id":114,"type":"book","abstract":"Lecturers/instructors only - request a free digital inspection copy here  Written by an experienced researcher in the field of qualitative methods, this dynamic new book provides a definitive introduction to analysing qualitative data.  It is a clear, accessible and practical guide to each stage of the process, including: - Designing and managing qualitative data for analysis - Working with data through interpretive, comparative, pattern and relational analyses - Developing explanatory theory and coherent conclusions, based on qualitative data.  The book pairs theoretical discussion with practical advice using a host of examples from diverse projects across the social sciences. It describes data analysis strategies in actionable steps and helpfully links to the use of computer software where relevant. This is an exciting new addition to the literature on qualitative data analysis and a must-read for anyone who has collected, or is preparing to collect, their own data.","edition":"1 edition","event-place":"London","ISBN":"978-1-84920-303-6","language":"English","number-of-pages":"472","publisher":"SAGE Publications Ltd","publisher-place":"London","source":"Amazon","title":"Qualitative Data Analysis: Practical Strategies","title-short":"Qualitative Data Analysis","author":[{"family":"Bazeley","given":"Patricia"}],"issued":{"date-parts":[["2013",2,28]]}}}],"schema":"https://github.com/citation-style-language/schema/raw/master/csl-citation.json"} </w:instrText>
      </w:r>
      <w:r w:rsidRPr="000F7E56">
        <w:rPr>
          <w:rFonts w:cstheme="minorHAnsi"/>
          <w:lang w:val="en-US"/>
        </w:rPr>
        <w:fldChar w:fldCharType="separate"/>
      </w:r>
      <w:r w:rsidR="000D5597" w:rsidRPr="000D5597">
        <w:rPr>
          <w:rFonts w:ascii="Calibri" w:hAnsi="Calibri" w:cs="Times New Roman"/>
          <w:szCs w:val="24"/>
          <w:vertAlign w:val="superscript"/>
        </w:rPr>
        <w:t>111,129</w:t>
      </w:r>
      <w:r w:rsidRPr="000F7E56">
        <w:rPr>
          <w:rFonts w:cstheme="minorHAnsi"/>
          <w:lang w:val="en-US"/>
        </w:rPr>
        <w:fldChar w:fldCharType="end"/>
      </w:r>
      <w:r w:rsidRPr="000F7E56">
        <w:rPr>
          <w:rFonts w:cstheme="minorHAnsi"/>
          <w:lang w:val="en-US"/>
        </w:rPr>
        <w:t xml:space="preserve"> In this researchers focused on identifying themes and sub-themes relating to the specific questions addressed in each workshop. Emerging themes were compared and grouped individually in relation to each category of stakeholder workshops and workbooks by the ZI and MH and then further refined after discussion with the rest of the core research team. The qualitative software program NVivo facilitated the management of this pragmatic thematic approach. </w:t>
      </w:r>
    </w:p>
    <w:p w14:paraId="5419AAE5" w14:textId="5D02EA6C" w:rsidR="000F7E56" w:rsidRPr="000F7E56" w:rsidRDefault="000F7E56" w:rsidP="000F7E56">
      <w:pPr>
        <w:spacing w:after="120" w:line="360" w:lineRule="auto"/>
        <w:rPr>
          <w:rFonts w:cstheme="minorHAnsi"/>
          <w:lang w:val="en-US"/>
        </w:rPr>
      </w:pPr>
      <w:r w:rsidRPr="000F7E56">
        <w:rPr>
          <w:rFonts w:cstheme="minorHAnsi"/>
          <w:lang w:val="en-US"/>
        </w:rPr>
        <w:t xml:space="preserve">One of the Co-applicants (LW) undertook a separate analysis of the HCP workshop field notes. Analyses used two implementation science approaches. The first used a psychological approach to identify </w:t>
      </w:r>
      <w:proofErr w:type="spellStart"/>
      <w:r w:rsidRPr="000F7E56">
        <w:rPr>
          <w:rFonts w:cstheme="minorHAnsi"/>
          <w:lang w:val="en-US"/>
        </w:rPr>
        <w:t>behaviour</w:t>
      </w:r>
      <w:proofErr w:type="spellEnd"/>
      <w:r w:rsidRPr="000F7E56">
        <w:rPr>
          <w:rFonts w:cstheme="minorHAnsi"/>
          <w:lang w:val="en-US"/>
        </w:rPr>
        <w:t xml:space="preserve"> change techniques (BCTs) in the discussion of behaviors change by practitioners and family members. A BCT is an observable, replicable, and irreducible component of an intervention designed to alter or redirect causal processes that regulate </w:t>
      </w:r>
      <w:proofErr w:type="spellStart"/>
      <w:r w:rsidRPr="000F7E56">
        <w:rPr>
          <w:rFonts w:cstheme="minorHAnsi"/>
          <w:lang w:val="en-US"/>
        </w:rPr>
        <w:t>behaviour</w:t>
      </w:r>
      <w:proofErr w:type="spellEnd"/>
      <w:r w:rsidRPr="000F7E56">
        <w:rPr>
          <w:rFonts w:cstheme="minorHAnsi"/>
          <w:lang w:val="en-US"/>
        </w:rPr>
        <w:t xml:space="preserve">; that is a technique is proposed to be an </w:t>
      </w:r>
      <w:r w:rsidR="0003460A">
        <w:rPr>
          <w:rFonts w:cstheme="minorHAnsi"/>
          <w:lang w:val="en-US"/>
        </w:rPr>
        <w:t>‘</w:t>
      </w:r>
      <w:r w:rsidRPr="000F7E56">
        <w:rPr>
          <w:rFonts w:cstheme="minorHAnsi"/>
          <w:lang w:val="en-US"/>
        </w:rPr>
        <w:t>active ingredient</w:t>
      </w:r>
      <w:r w:rsidR="0003460A">
        <w:rPr>
          <w:rFonts w:cstheme="minorHAnsi"/>
          <w:lang w:val="en-US"/>
        </w:rPr>
        <w:t>’</w:t>
      </w:r>
      <w:r w:rsidRPr="000F7E56">
        <w:rPr>
          <w:rFonts w:cstheme="minorHAnsi"/>
          <w:lang w:val="en-US"/>
        </w:rPr>
        <w:t>.</w:t>
      </w:r>
      <w:r w:rsidRPr="000F7E56">
        <w:rPr>
          <w:rFonts w:cstheme="minorHAnsi"/>
          <w:lang w:val="en-US"/>
        </w:rPr>
        <w:fldChar w:fldCharType="begin"/>
      </w:r>
      <w:r w:rsidR="000D5597">
        <w:rPr>
          <w:rFonts w:cstheme="minorHAnsi"/>
          <w:lang w:val="en-US"/>
        </w:rPr>
        <w:instrText xml:space="preserve"> ADDIN ZOTERO_ITEM CSL_CITATION {"citationID":"WOcf9mTw","properties":{"formattedCitation":"\\super 130\\nosupersub{}","plainCitation":"130","noteIndex":0},"citationItems":[{"id":"aZbwIlcN/DZJTePu5","uris":["http://zotero.org/users/6587080/items/948SXUNX"],"itemData":{"id":2618,"type":"article-journal","abstract":"\"BCT taxonomy v1,\" an extensive taxonomy of 93 consensually agreed, distinct BCTs, offers a step change as a method for specifying interventions, but we anticipate further development and evaluation based on international, interdisciplinary consensus.","container-title":"Annals of behavioral medicine : a publication of the Society of Behavioral Medicine","DOI":"10.1007/s12160-013-9486-6","ISSN":"1532-4796","issue":"1","language":"en","note":"publisher: Ann Behav Med\nPMID: 23512568","source":"pubmed.ncbi.nlm.nih.gov","title":"The behavior change technique taxonomy (v1) of 93 hierarchically clustered techniques: building an international consensus for the reporting of behavior change interventions","title-short":"The behavior change technique taxonomy (v1) of 93 hierarchically clustered techniques","URL":"https://pubmed.ncbi.nlm.nih.gov/23512568/","volume":"46","author":[{"family":"Michie","given":"Susan"},{"family":"M","given":"Richardson"},{"family":"M","given":"Johnston"},{"family":"C","given":"Abraham"},{"family":"J","given":"Francis"},{"family":"W","given":"Hardeman"},{"family":"Mp","given":"Eccles"},{"family":"J","given":"Cane"},{"family":"Ce","given":"Wood"}],"accessed":{"date-parts":[["2021",7,24]]},"issued":{"date-parts":[["2013",8]]}}}],"schema":"https://github.com/citation-style-language/schema/raw/master/csl-citation.json"} </w:instrText>
      </w:r>
      <w:r w:rsidRPr="000F7E56">
        <w:rPr>
          <w:rFonts w:cstheme="minorHAnsi"/>
          <w:lang w:val="en-US"/>
        </w:rPr>
        <w:fldChar w:fldCharType="separate"/>
      </w:r>
      <w:r w:rsidR="000D5597" w:rsidRPr="000D5597">
        <w:rPr>
          <w:rFonts w:ascii="Calibri" w:hAnsi="Calibri" w:cs="Times New Roman"/>
          <w:szCs w:val="24"/>
          <w:vertAlign w:val="superscript"/>
        </w:rPr>
        <w:t>130</w:t>
      </w:r>
      <w:r w:rsidRPr="000F7E56">
        <w:rPr>
          <w:rFonts w:cstheme="minorHAnsi"/>
          <w:lang w:val="en-US"/>
        </w:rPr>
        <w:fldChar w:fldCharType="end"/>
      </w:r>
      <w:r w:rsidRPr="000F7E56">
        <w:rPr>
          <w:rFonts w:cstheme="minorHAnsi"/>
          <w:lang w:val="en-US"/>
        </w:rPr>
        <w:t xml:space="preserve"> The 91 item taxonomy was applied to the transcripts of the workshops. The second approach is an organization level based in sociology, </w:t>
      </w:r>
      <w:proofErr w:type="spellStart"/>
      <w:r w:rsidRPr="000F7E56">
        <w:rPr>
          <w:rFonts w:cstheme="minorHAnsi"/>
          <w:lang w:val="en-US"/>
        </w:rPr>
        <w:t>Normalisation</w:t>
      </w:r>
      <w:proofErr w:type="spellEnd"/>
      <w:r w:rsidRPr="000F7E56">
        <w:rPr>
          <w:rFonts w:cstheme="minorHAnsi"/>
          <w:lang w:val="en-US"/>
        </w:rPr>
        <w:t xml:space="preserve"> Process Theory (NPT).</w:t>
      </w:r>
      <w:r w:rsidRPr="000F7E56">
        <w:rPr>
          <w:rFonts w:cstheme="minorHAnsi"/>
          <w:lang w:val="en-US"/>
        </w:rPr>
        <w:fldChar w:fldCharType="begin"/>
      </w:r>
      <w:r w:rsidR="000D5597">
        <w:rPr>
          <w:rFonts w:cstheme="minorHAnsi"/>
          <w:lang w:val="en-US"/>
        </w:rPr>
        <w:instrText xml:space="preserve"> ADDIN ZOTERO_ITEM CSL_CITATION {"citationID":"4A6XfDbQ","properties":{"formattedCitation":"\\super 131\\nosupersub{}","plainCitation":"131","noteIndex":0},"citationItems":[{"id":"aZbwIlcN/xgUBzyYa","uris":["http://zotero.org/users/6587080/items/T7IVCSVP"],"itemData":{"id":2622,"type":"article-journal","abstract":"The past decade has seen considerable interest in the development and evaluation of complex interventions to improve health. Such interventions can only have a significant impact on health and health care if they are shown to be effective when tested, are capable of being widely implemented and can be normalised into routine practice. To date, there is still a problematic gap between research and implementation. The Normalisation Process Theory (NPT) addresses the factors needed for successful implementation and integration of interventions into routine work (normalisation). In this paper, we suggest that the NPT can act as a sensitising tool, enabling researchers to think through issues of implementation while designing a complex intervention and its evaluation. The need to ensure trial procedures that are feasible and compatible with clinical practice is not limited to trials of complex interventions, and NPT may improve trial design by highlighting potential problems with recruitment or data collection, as well as ensuring the intervention has good implementation potential. The NPT is a new theory which offers trialists a consistent framework that can be used to describe, assess and enhance implementation potential. We encourage trialists to consider using it in their next trial.","container-title":"BMC Medicine","DOI":"10.1186/1741-7015-8-63","ISSN":"1741-7015","issue":"1","journalAbbreviation":"BMC Med","language":"en","note":"number: 1\npublisher: BioMed Central","page":"1-11","source":"link.springer.com","title":"Normalisation process theory: a framework for developing, evaluating and implementing complex interventions","title-short":"Normalisation process theory","volume":"8","author":[{"family":"Murray","given":"Elizabeth"},{"family":"Treweek","given":"Shaun"},{"family":"Pope","given":"Catherine"},{"family":"MacFarlane","given":"Anne"},{"family":"Ballini","given":"Luciana"},{"family":"Dowrick","given":"Christopher"},{"family":"Finch","given":"Tracy"},{"family":"Kennedy","given":"Anne"},{"family":"Mair","given":"Frances"},{"family":"O'Donnell","given":"Catherine"},{"family":"Ong","given":"Bie Nio"},{"family":"Rapley","given":"Tim"},{"family":"Rogers","given":"Anne"},{"family":"May","given":"Carl"}],"issued":{"date-parts":[["2010",12]]}}}],"schema":"https://github.com/citation-style-language/schema/raw/master/csl-citation.json"} </w:instrText>
      </w:r>
      <w:r w:rsidRPr="000F7E56">
        <w:rPr>
          <w:rFonts w:cstheme="minorHAnsi"/>
          <w:lang w:val="en-US"/>
        </w:rPr>
        <w:fldChar w:fldCharType="separate"/>
      </w:r>
      <w:r w:rsidR="000D5597" w:rsidRPr="000D5597">
        <w:rPr>
          <w:rFonts w:ascii="Calibri" w:hAnsi="Calibri" w:cs="Times New Roman"/>
          <w:szCs w:val="24"/>
          <w:vertAlign w:val="superscript"/>
        </w:rPr>
        <w:t>131</w:t>
      </w:r>
      <w:r w:rsidRPr="000F7E56">
        <w:rPr>
          <w:rFonts w:cstheme="minorHAnsi"/>
          <w:lang w:val="en-US"/>
        </w:rPr>
        <w:fldChar w:fldCharType="end"/>
      </w:r>
      <w:r w:rsidRPr="000F7E56">
        <w:rPr>
          <w:rFonts w:cstheme="minorHAnsi"/>
          <w:lang w:val="en-US"/>
        </w:rPr>
        <w:t xml:space="preserve"> It is a mid-range theory of the implementation, embedding and integration of </w:t>
      </w:r>
      <w:proofErr w:type="spellStart"/>
      <w:r w:rsidRPr="000F7E56">
        <w:rPr>
          <w:rFonts w:cstheme="minorHAnsi"/>
          <w:lang w:val="en-US"/>
        </w:rPr>
        <w:t>organisational</w:t>
      </w:r>
      <w:proofErr w:type="spellEnd"/>
      <w:r w:rsidRPr="000F7E56">
        <w:rPr>
          <w:rFonts w:cstheme="minorHAnsi"/>
          <w:lang w:val="en-US"/>
        </w:rPr>
        <w:t xml:space="preserve"> innovations, as result of individual and collective agency. This agency is developed through four processes</w:t>
      </w:r>
      <w:r w:rsidR="000F4960">
        <w:rPr>
          <w:rFonts w:cstheme="minorHAnsi"/>
          <w:lang w:val="en-US"/>
        </w:rPr>
        <w:t xml:space="preserve">: </w:t>
      </w:r>
      <w:r w:rsidRPr="000F7E56">
        <w:rPr>
          <w:rFonts w:cstheme="minorHAnsi"/>
          <w:lang w:val="en-US"/>
        </w:rPr>
        <w:t>sense making (coherence) work</w:t>
      </w:r>
      <w:r w:rsidR="000F4960">
        <w:rPr>
          <w:rFonts w:cstheme="minorHAnsi"/>
          <w:lang w:val="en-US"/>
        </w:rPr>
        <w:t>;</w:t>
      </w:r>
      <w:r w:rsidRPr="000F7E56">
        <w:rPr>
          <w:rFonts w:cstheme="minorHAnsi"/>
          <w:lang w:val="en-US"/>
        </w:rPr>
        <w:t xml:space="preserve"> engagement work (cognitive participation)</w:t>
      </w:r>
      <w:r w:rsidR="000F4960">
        <w:rPr>
          <w:rFonts w:cstheme="minorHAnsi"/>
          <w:lang w:val="en-US"/>
        </w:rPr>
        <w:t>;</w:t>
      </w:r>
      <w:r w:rsidRPr="000F7E56">
        <w:rPr>
          <w:rFonts w:cstheme="minorHAnsi"/>
          <w:lang w:val="en-US"/>
        </w:rPr>
        <w:t xml:space="preserve"> enacting a practice (collective action</w:t>
      </w:r>
      <w:r w:rsidR="008E20ED">
        <w:rPr>
          <w:rFonts w:cstheme="minorHAnsi"/>
          <w:lang w:val="en-US"/>
        </w:rPr>
        <w:t>)</w:t>
      </w:r>
      <w:r w:rsidR="000F4960">
        <w:rPr>
          <w:rFonts w:cstheme="minorHAnsi"/>
          <w:lang w:val="en-US"/>
        </w:rPr>
        <w:t>;</w:t>
      </w:r>
      <w:r w:rsidRPr="000F7E56">
        <w:rPr>
          <w:rFonts w:cstheme="minorHAnsi"/>
          <w:lang w:val="en-US"/>
        </w:rPr>
        <w:t xml:space="preserve"> and how the intervention has impact and on whom (reflexive action). Each of these four processes has four further components, making a 16-item framework applicable to any complex intervention or innovative practice involving adoption of new practices. This approach was used to ascertain how the HCPs discussed the practices around </w:t>
      </w:r>
      <w:r w:rsidR="0003460A">
        <w:rPr>
          <w:rFonts w:cstheme="minorHAnsi"/>
          <w:lang w:val="en-US"/>
        </w:rPr>
        <w:t>‘</w:t>
      </w:r>
      <w:r w:rsidRPr="000F7E56">
        <w:rPr>
          <w:rFonts w:cstheme="minorHAnsi"/>
          <w:lang w:val="en-US"/>
        </w:rPr>
        <w:t>thinking ahead</w:t>
      </w:r>
      <w:r w:rsidR="0003460A">
        <w:rPr>
          <w:rFonts w:cstheme="minorHAnsi"/>
          <w:lang w:val="en-US"/>
        </w:rPr>
        <w:t>’</w:t>
      </w:r>
      <w:r w:rsidRPr="000F7E56">
        <w:rPr>
          <w:rFonts w:cstheme="minorHAnsi"/>
          <w:lang w:val="en-US"/>
        </w:rPr>
        <w:t xml:space="preserve"> and EOLCP as applied to the stories and discussions in the workshops. </w:t>
      </w:r>
      <w:r w:rsidR="00F75231" w:rsidRPr="00F75231">
        <w:rPr>
          <w:rFonts w:cstheme="minorHAnsi"/>
          <w:lang w:val="en-US"/>
        </w:rPr>
        <w:t>These analyses informed the content of the learning resource.</w:t>
      </w:r>
    </w:p>
    <w:bookmarkEnd w:id="93"/>
    <w:p w14:paraId="77BDE53C" w14:textId="77777777" w:rsidR="000F7E56" w:rsidRPr="000F7E56" w:rsidRDefault="000F7E56" w:rsidP="000F7E56">
      <w:pPr>
        <w:spacing w:after="120" w:line="360" w:lineRule="auto"/>
        <w:rPr>
          <w:rFonts w:cstheme="minorHAnsi"/>
          <w:lang w:val="en-US"/>
        </w:rPr>
      </w:pPr>
      <w:r w:rsidRPr="000F7E56">
        <w:rPr>
          <w:rFonts w:cstheme="minorHAnsi"/>
          <w:lang w:val="en-US"/>
        </w:rPr>
        <w:br w:type="page"/>
      </w:r>
    </w:p>
    <w:p w14:paraId="4B102B07" w14:textId="77777777" w:rsidR="000F7E56" w:rsidRPr="000F7E56" w:rsidRDefault="000F7E56" w:rsidP="000F7E56">
      <w:pPr>
        <w:keepNext/>
        <w:keepLines/>
        <w:spacing w:before="240" w:after="120" w:line="240" w:lineRule="auto"/>
        <w:ind w:firstLine="720"/>
        <w:jc w:val="center"/>
        <w:outlineLvl w:val="0"/>
        <w:rPr>
          <w:rFonts w:asciiTheme="majorHAnsi" w:eastAsiaTheme="majorEastAsia" w:hAnsiTheme="majorHAnsi" w:cstheme="majorHAnsi"/>
          <w:color w:val="2F5496" w:themeColor="accent1" w:themeShade="BF"/>
          <w:sz w:val="56"/>
          <w:szCs w:val="56"/>
        </w:rPr>
      </w:pPr>
      <w:bookmarkStart w:id="192" w:name="_Ref37939315"/>
      <w:bookmarkStart w:id="193" w:name="_Toc38365606"/>
      <w:bookmarkStart w:id="194" w:name="_Toc89665169"/>
      <w:bookmarkStart w:id="195" w:name="_Toc89671922"/>
      <w:bookmarkStart w:id="196" w:name="_Toc89763972"/>
      <w:bookmarkStart w:id="197" w:name="_Toc106697800"/>
      <w:bookmarkStart w:id="198" w:name="_Hlk89349996"/>
      <w:r w:rsidRPr="000F7E56">
        <w:rPr>
          <w:rFonts w:asciiTheme="majorHAnsi" w:eastAsiaTheme="majorEastAsia" w:hAnsiTheme="majorHAnsi" w:cstheme="majorHAnsi"/>
          <w:color w:val="2F5496" w:themeColor="accent1" w:themeShade="BF"/>
          <w:sz w:val="56"/>
          <w:szCs w:val="56"/>
        </w:rPr>
        <w:lastRenderedPageBreak/>
        <w:t>Chapter 3: Patient and Public Involvement</w:t>
      </w:r>
      <w:bookmarkEnd w:id="192"/>
      <w:bookmarkEnd w:id="193"/>
      <w:r w:rsidRPr="000F7E56">
        <w:rPr>
          <w:rFonts w:asciiTheme="majorHAnsi" w:eastAsiaTheme="majorEastAsia" w:hAnsiTheme="majorHAnsi" w:cstheme="majorHAnsi"/>
          <w:color w:val="2F5496" w:themeColor="accent1" w:themeShade="BF"/>
          <w:sz w:val="56"/>
          <w:szCs w:val="56"/>
        </w:rPr>
        <w:t xml:space="preserve"> (PPI)</w:t>
      </w:r>
      <w:bookmarkEnd w:id="194"/>
      <w:bookmarkEnd w:id="195"/>
      <w:bookmarkEnd w:id="196"/>
      <w:bookmarkEnd w:id="197"/>
    </w:p>
    <w:p w14:paraId="464F8BAD" w14:textId="77777777" w:rsidR="000F7E56" w:rsidRPr="000F7E56" w:rsidRDefault="000F7E56" w:rsidP="000F7E56">
      <w:pPr>
        <w:keepNext/>
        <w:keepLines/>
        <w:spacing w:before="40" w:after="0" w:line="360" w:lineRule="auto"/>
        <w:outlineLvl w:val="1"/>
        <w:rPr>
          <w:rFonts w:asciiTheme="majorHAnsi" w:eastAsiaTheme="majorEastAsia" w:hAnsiTheme="majorHAnsi" w:cstheme="majorBidi"/>
          <w:color w:val="2F5496" w:themeColor="accent1" w:themeShade="BF"/>
          <w:sz w:val="24"/>
          <w:szCs w:val="24"/>
        </w:rPr>
      </w:pPr>
      <w:bookmarkStart w:id="199" w:name="_Toc38365607"/>
      <w:bookmarkStart w:id="200" w:name="_Toc89665170"/>
      <w:bookmarkStart w:id="201" w:name="_Toc89671923"/>
      <w:bookmarkStart w:id="202" w:name="_Toc89763973"/>
      <w:bookmarkStart w:id="203" w:name="_Toc106697801"/>
      <w:r w:rsidRPr="000F7E56">
        <w:rPr>
          <w:rFonts w:asciiTheme="majorHAnsi" w:eastAsiaTheme="majorEastAsia" w:hAnsiTheme="majorHAnsi" w:cstheme="majorBidi"/>
          <w:color w:val="2F5496" w:themeColor="accent1" w:themeShade="BF"/>
          <w:sz w:val="24"/>
          <w:szCs w:val="24"/>
        </w:rPr>
        <w:t>Introduction</w:t>
      </w:r>
      <w:bookmarkEnd w:id="199"/>
      <w:bookmarkEnd w:id="200"/>
      <w:bookmarkEnd w:id="201"/>
      <w:bookmarkEnd w:id="202"/>
      <w:bookmarkEnd w:id="203"/>
    </w:p>
    <w:p w14:paraId="74AE4768" w14:textId="45C1ABB2" w:rsidR="000F7E56" w:rsidRPr="000F7E56" w:rsidRDefault="003B3805" w:rsidP="000F7E56">
      <w:pPr>
        <w:spacing w:after="120" w:line="360" w:lineRule="auto"/>
        <w:rPr>
          <w:rFonts w:cstheme="minorHAnsi"/>
        </w:rPr>
      </w:pPr>
      <w:r>
        <w:rPr>
          <w:rFonts w:cstheme="minorHAnsi"/>
        </w:rPr>
        <w:t>PPI</w:t>
      </w:r>
      <w:r w:rsidR="000F7E56" w:rsidRPr="000F7E56">
        <w:rPr>
          <w:rFonts w:cstheme="minorHAnsi"/>
        </w:rPr>
        <w:t xml:space="preserve"> is a central characteristic of this project in ensuring that it was grounded in the concerns and experience of patients and FCGs and conducted in an appropriate and sensitive manner. The project team included a PPI co-applicant IM. We are greatly appreciative of the invaluable contribution and considerable work of members of the </w:t>
      </w:r>
      <w:bookmarkStart w:id="204" w:name="_Hlk89268200"/>
      <w:r w:rsidR="000F7E56" w:rsidRPr="000F7E56">
        <w:rPr>
          <w:rFonts w:cstheme="minorHAnsi"/>
        </w:rPr>
        <w:t xml:space="preserve">Public, Carers and Bereaved Relatives group (PCBR) </w:t>
      </w:r>
      <w:bookmarkEnd w:id="204"/>
      <w:r w:rsidR="000F7E56" w:rsidRPr="000F7E56">
        <w:rPr>
          <w:rFonts w:cstheme="minorHAnsi"/>
        </w:rPr>
        <w:t xml:space="preserve">and IM to this work and thank them greatly for this.  </w:t>
      </w:r>
    </w:p>
    <w:p w14:paraId="5CF65FA2" w14:textId="77777777" w:rsidR="000F7E56" w:rsidRPr="000F7E56" w:rsidRDefault="000F7E56" w:rsidP="000F7E56">
      <w:pPr>
        <w:keepNext/>
        <w:keepLines/>
        <w:spacing w:before="40" w:after="0" w:line="360" w:lineRule="auto"/>
        <w:outlineLvl w:val="1"/>
        <w:rPr>
          <w:rFonts w:asciiTheme="majorHAnsi" w:eastAsiaTheme="majorEastAsia" w:hAnsiTheme="majorHAnsi" w:cstheme="majorBidi"/>
          <w:color w:val="2F5496" w:themeColor="accent1" w:themeShade="BF"/>
          <w:sz w:val="24"/>
          <w:szCs w:val="24"/>
        </w:rPr>
      </w:pPr>
      <w:bookmarkStart w:id="205" w:name="_Toc89665171"/>
      <w:bookmarkStart w:id="206" w:name="_Toc89671924"/>
      <w:bookmarkStart w:id="207" w:name="_Toc89763974"/>
      <w:bookmarkStart w:id="208" w:name="_Toc106697802"/>
      <w:r w:rsidRPr="000F7E56">
        <w:rPr>
          <w:rFonts w:asciiTheme="majorHAnsi" w:eastAsiaTheme="majorEastAsia" w:hAnsiTheme="majorHAnsi" w:cstheme="majorBidi"/>
          <w:color w:val="2F5496" w:themeColor="accent1" w:themeShade="BF"/>
          <w:sz w:val="24"/>
          <w:szCs w:val="24"/>
        </w:rPr>
        <w:t>Pre-award engagement</w:t>
      </w:r>
      <w:bookmarkEnd w:id="205"/>
      <w:bookmarkEnd w:id="206"/>
      <w:bookmarkEnd w:id="207"/>
      <w:bookmarkEnd w:id="208"/>
    </w:p>
    <w:p w14:paraId="72BFB79E" w14:textId="2328C050" w:rsidR="000F7E56" w:rsidRPr="000F7E56" w:rsidRDefault="000F7E56" w:rsidP="000F7E56">
      <w:pPr>
        <w:spacing w:after="120" w:line="360" w:lineRule="auto"/>
        <w:rPr>
          <w:rFonts w:cstheme="minorHAnsi"/>
        </w:rPr>
      </w:pPr>
      <w:r w:rsidRPr="000F7E56">
        <w:rPr>
          <w:rFonts w:cstheme="minorHAnsi"/>
        </w:rPr>
        <w:t xml:space="preserve">Prior to proposal submission we obtained public involvement funding (PIF award) from East Midlands Research Development Services to develop a </w:t>
      </w:r>
      <w:bookmarkStart w:id="209" w:name="_Hlk87521195"/>
      <w:r w:rsidRPr="000F7E56">
        <w:rPr>
          <w:rFonts w:cstheme="minorHAnsi"/>
        </w:rPr>
        <w:t>public, carers and bereaved relatives research consultation group</w:t>
      </w:r>
      <w:bookmarkEnd w:id="209"/>
      <w:r w:rsidRPr="000F7E56">
        <w:rPr>
          <w:rFonts w:cstheme="minorHAnsi"/>
        </w:rPr>
        <w:t xml:space="preserve"> (PCBR group). This group identified key areas of concern and discussed the proposed research topic and its significance to them and their loved ones. This group prioritised the research related to interdependence of professionals, patients and families in successfully navigating the end-of-life. They also highlighted the importance of the professionals in acting as a guide and support in this. Some of these group members were part of the </w:t>
      </w:r>
      <w:bookmarkStart w:id="210" w:name="_Hlk89268239"/>
      <w:r w:rsidRPr="000F7E56">
        <w:rPr>
          <w:rFonts w:cstheme="minorHAnsi"/>
        </w:rPr>
        <w:t xml:space="preserve">Broadening Horizons (BH) project </w:t>
      </w:r>
      <w:bookmarkEnd w:id="210"/>
      <w:r w:rsidRPr="000F7E56">
        <w:rPr>
          <w:rFonts w:cstheme="minorHAnsi"/>
        </w:rPr>
        <w:t>which commenced in 2011 and our PPI engagement builds on and is informed by this extensive earlier involvement with PPI.</w:t>
      </w:r>
      <w:r w:rsidRPr="000F7E56">
        <w:rPr>
          <w:rFonts w:cstheme="minorHAnsi"/>
        </w:rPr>
        <w:fldChar w:fldCharType="begin"/>
      </w:r>
      <w:r w:rsidR="000D5597">
        <w:rPr>
          <w:rFonts w:cstheme="minorHAnsi"/>
        </w:rPr>
        <w:instrText xml:space="preserve"> ADDIN ZOTERO_ITEM CSL_CITATION {"citationID":"ru7Lukjd","properties":{"formattedCitation":"\\super 64\\nosupersub{}","plainCitation":"64","noteIndex":0},"citationItems":[{"id":134,"uris":["http://zotero.org/users/8748280/items/I8TN6BEQ"],"itemData":{"id":134,"type":"article-journal","abstract":"In the UK, Black and Asian Minority Ethnic (BAME) patients are less likely to access palliative care services than their White counterparts. An increasingly diverse population makes this a cause for concern. This paper describes a project in Leicester to discover what members of the BAME communities knew about palliative care and the providers of hospice services; what they thought the barriers were to their use of these services; and how they would like to ﬁnd out about them.","container-title":"Diversity &amp; Equality in Health and Care","DOI":"10.21767/2049-5471.100016","ISSN":"20495471","issue":"03","language":"en","source":"Crossref","title":"I never knew that! Why do people from Black and Asian Minority Ethnic groups in Leicester access hospice services less than other groups? A discussion with community groups","title-short":"I never knew that! Why do people from Black and Asian Minority Ethnic groups in Leicester access hospice services less than other groups?","URL":"http://diversityhealthcare.imedpub.com/i-never-knew-that-why-do-people-from-black-and-asian-minority-ethnic-groups-in-leicester-access-hospice-services-less-than-other-groups-a-discussion-with-community-groups.pdf","volume":"11","author":[{"family":"Markham","given":"Sheila"}],"accessed":{"date-parts":[["2019",2,1]]},"issued":{"date-parts":[["2014"]]}}}],"schema":"https://github.com/citation-style-language/schema/raw/master/csl-citation.json"} </w:instrText>
      </w:r>
      <w:r w:rsidRPr="000F7E56">
        <w:rPr>
          <w:rFonts w:cstheme="minorHAnsi"/>
        </w:rPr>
        <w:fldChar w:fldCharType="separate"/>
      </w:r>
      <w:r w:rsidR="00496C3B" w:rsidRPr="00496C3B">
        <w:rPr>
          <w:rFonts w:ascii="Calibri" w:hAnsi="Calibri" w:cs="Calibri"/>
          <w:szCs w:val="24"/>
          <w:vertAlign w:val="superscript"/>
        </w:rPr>
        <w:t>64</w:t>
      </w:r>
      <w:r w:rsidRPr="000F7E56">
        <w:rPr>
          <w:rFonts w:cstheme="minorHAnsi"/>
        </w:rPr>
        <w:fldChar w:fldCharType="end"/>
      </w:r>
      <w:r w:rsidRPr="000F7E56">
        <w:rPr>
          <w:rFonts w:cstheme="minorHAnsi"/>
        </w:rPr>
        <w:t xml:space="preserve"> In BH we held 10 informal discussion groups (n= 135 participants) with users of 10 local voluntary and community organisations, to gain understanding of why the local ethnic minority communities were not using hospice services, the perceived barriers to using these, the information they would welcome about end-of-life care and services. The project then recruited and trained volunteers from the communities, to engage locally, raise awareness of services and provide a mechanism to hear of unmet needs and dissatisfaction with care. The work of the BH project and the ongoing work of the BH volunteers with their communities was fundamental to generating the research questions for the Thinking Ahead project.</w:t>
      </w:r>
    </w:p>
    <w:p w14:paraId="3FF42C93" w14:textId="77777777" w:rsidR="000F7E56" w:rsidRPr="000F7E56" w:rsidRDefault="000F7E56" w:rsidP="000F7E56">
      <w:pPr>
        <w:keepNext/>
        <w:keepLines/>
        <w:spacing w:before="40" w:after="0" w:line="360" w:lineRule="auto"/>
        <w:outlineLvl w:val="1"/>
        <w:rPr>
          <w:rFonts w:asciiTheme="majorHAnsi" w:eastAsiaTheme="majorEastAsia" w:hAnsiTheme="majorHAnsi" w:cstheme="majorBidi"/>
          <w:color w:val="2F5496" w:themeColor="accent1" w:themeShade="BF"/>
          <w:sz w:val="24"/>
          <w:szCs w:val="24"/>
        </w:rPr>
      </w:pPr>
      <w:bookmarkStart w:id="211" w:name="_Toc89665172"/>
      <w:bookmarkStart w:id="212" w:name="_Toc89671925"/>
      <w:bookmarkStart w:id="213" w:name="_Toc89763975"/>
      <w:bookmarkStart w:id="214" w:name="_Toc106697803"/>
      <w:r w:rsidRPr="000F7E56">
        <w:rPr>
          <w:rFonts w:asciiTheme="majorHAnsi" w:eastAsiaTheme="majorEastAsia" w:hAnsiTheme="majorHAnsi" w:cstheme="majorBidi"/>
          <w:color w:val="2F5496" w:themeColor="accent1" w:themeShade="BF"/>
          <w:sz w:val="24"/>
          <w:szCs w:val="24"/>
        </w:rPr>
        <w:t>The PCBR group</w:t>
      </w:r>
      <w:bookmarkEnd w:id="211"/>
      <w:bookmarkEnd w:id="212"/>
      <w:bookmarkEnd w:id="213"/>
      <w:bookmarkEnd w:id="214"/>
    </w:p>
    <w:p w14:paraId="155EC6C4" w14:textId="77777777" w:rsidR="000F7E56" w:rsidRPr="000F7E56" w:rsidRDefault="000F7E56" w:rsidP="000F7E56">
      <w:pPr>
        <w:spacing w:after="120" w:line="360" w:lineRule="auto"/>
        <w:rPr>
          <w:rFonts w:cstheme="minorHAnsi"/>
        </w:rPr>
      </w:pPr>
      <w:r w:rsidRPr="000F7E56">
        <w:rPr>
          <w:rFonts w:cstheme="minorHAnsi"/>
        </w:rPr>
        <w:t>The PIF award enabled us to develop the PCBR group of 10 people from diverse ethnic and faith backgrounds including:</w:t>
      </w:r>
    </w:p>
    <w:p w14:paraId="6FFC0BFE" w14:textId="77777777" w:rsidR="000F7E56" w:rsidRPr="000F7E56" w:rsidRDefault="000F7E56" w:rsidP="000F7E56">
      <w:pPr>
        <w:numPr>
          <w:ilvl w:val="0"/>
          <w:numId w:val="5"/>
        </w:numPr>
        <w:spacing w:after="120" w:line="360" w:lineRule="auto"/>
        <w:contextualSpacing/>
        <w:rPr>
          <w:rFonts w:cstheme="minorHAnsi"/>
          <w:noProof/>
        </w:rPr>
      </w:pPr>
      <w:r w:rsidRPr="000F7E56">
        <w:rPr>
          <w:rFonts w:cstheme="minorHAnsi"/>
        </w:rPr>
        <w:t xml:space="preserve">BH volunteers; </w:t>
      </w:r>
    </w:p>
    <w:p w14:paraId="3364F15B" w14:textId="77777777" w:rsidR="000F7E56" w:rsidRPr="000F7E56" w:rsidRDefault="000F7E56" w:rsidP="000F7E56">
      <w:pPr>
        <w:numPr>
          <w:ilvl w:val="0"/>
          <w:numId w:val="5"/>
        </w:numPr>
        <w:spacing w:after="120" w:line="360" w:lineRule="auto"/>
        <w:contextualSpacing/>
        <w:rPr>
          <w:rFonts w:cstheme="minorHAnsi"/>
          <w:noProof/>
        </w:rPr>
      </w:pPr>
      <w:r w:rsidRPr="000F7E56">
        <w:rPr>
          <w:rFonts w:cstheme="minorHAnsi"/>
        </w:rPr>
        <w:t xml:space="preserve">family of those in receipt of palliative care service within Leicestershire and Rutland; </w:t>
      </w:r>
    </w:p>
    <w:p w14:paraId="428C010E" w14:textId="77777777" w:rsidR="000F7E56" w:rsidRPr="000F7E56" w:rsidRDefault="000F7E56" w:rsidP="000F7E56">
      <w:pPr>
        <w:numPr>
          <w:ilvl w:val="0"/>
          <w:numId w:val="5"/>
        </w:numPr>
        <w:spacing w:after="120" w:line="360" w:lineRule="auto"/>
        <w:contextualSpacing/>
        <w:rPr>
          <w:rFonts w:cstheme="minorHAnsi"/>
          <w:noProof/>
        </w:rPr>
      </w:pPr>
      <w:r w:rsidRPr="000F7E56">
        <w:rPr>
          <w:rFonts w:cstheme="minorHAnsi"/>
        </w:rPr>
        <w:t>members of ED communities from the local inter-faith group; (https://www.interfaith.org.uk/involved/groups/local-inter-faith/east-midlands);</w:t>
      </w:r>
    </w:p>
    <w:p w14:paraId="10115D7D" w14:textId="77777777" w:rsidR="000F7E56" w:rsidRPr="000F7E56" w:rsidRDefault="000F7E56" w:rsidP="000F7E56">
      <w:pPr>
        <w:numPr>
          <w:ilvl w:val="0"/>
          <w:numId w:val="5"/>
        </w:numPr>
        <w:spacing w:after="120" w:line="360" w:lineRule="auto"/>
        <w:contextualSpacing/>
        <w:rPr>
          <w:rFonts w:cstheme="minorHAnsi"/>
          <w:noProof/>
        </w:rPr>
      </w:pPr>
      <w:r w:rsidRPr="000F7E56">
        <w:rPr>
          <w:rFonts w:cstheme="minorHAnsi"/>
        </w:rPr>
        <w:t>members of local user and carer groups listed in the RDS directory of local groups;</w:t>
      </w:r>
    </w:p>
    <w:p w14:paraId="053C515E" w14:textId="77777777" w:rsidR="000F7E56" w:rsidRPr="000F7E56" w:rsidRDefault="000F7E56" w:rsidP="000F7E56">
      <w:pPr>
        <w:numPr>
          <w:ilvl w:val="0"/>
          <w:numId w:val="5"/>
        </w:numPr>
        <w:spacing w:after="120" w:line="360" w:lineRule="auto"/>
        <w:contextualSpacing/>
        <w:rPr>
          <w:rFonts w:cstheme="minorHAnsi"/>
        </w:rPr>
      </w:pPr>
      <w:r w:rsidRPr="000F7E56">
        <w:rPr>
          <w:rFonts w:cstheme="minorHAnsi"/>
        </w:rPr>
        <w:lastRenderedPageBreak/>
        <w:t>volunteers at LOROS.</w:t>
      </w:r>
    </w:p>
    <w:p w14:paraId="760A252A" w14:textId="77777777" w:rsidR="000F7E56" w:rsidRPr="000F7E56" w:rsidRDefault="000F7E56" w:rsidP="000F7E56">
      <w:pPr>
        <w:spacing w:after="120" w:line="360" w:lineRule="auto"/>
        <w:ind w:left="820"/>
        <w:contextualSpacing/>
        <w:rPr>
          <w:rFonts w:cstheme="minorHAnsi"/>
        </w:rPr>
      </w:pPr>
    </w:p>
    <w:p w14:paraId="7E40A7ED" w14:textId="77777777" w:rsidR="000F7E56" w:rsidRPr="000F7E56" w:rsidRDefault="000F7E56" w:rsidP="000F7E56">
      <w:pPr>
        <w:spacing w:after="120" w:line="360" w:lineRule="auto"/>
        <w:ind w:left="-261"/>
        <w:rPr>
          <w:rFonts w:cstheme="minorHAnsi"/>
          <w:noProof/>
        </w:rPr>
      </w:pPr>
      <w:r w:rsidRPr="000F7E56">
        <w:rPr>
          <w:rFonts w:cstheme="minorHAnsi"/>
          <w:noProof/>
        </w:rPr>
        <w:t xml:space="preserve">Two meetings were held with our PCBR group prior to submission of the full-proposal for Thinking Ahead. </w:t>
      </w:r>
    </w:p>
    <w:p w14:paraId="1177300D" w14:textId="77777777" w:rsidR="000F7E56" w:rsidRPr="000F7E56" w:rsidRDefault="000F7E56" w:rsidP="000F7E56">
      <w:pPr>
        <w:spacing w:after="120" w:line="360" w:lineRule="auto"/>
        <w:ind w:left="-261"/>
        <w:rPr>
          <w:rFonts w:cstheme="minorHAnsi"/>
          <w:noProof/>
        </w:rPr>
      </w:pPr>
      <w:r w:rsidRPr="000F7E56">
        <w:rPr>
          <w:rFonts w:cstheme="minorHAnsi"/>
          <w:noProof/>
        </w:rPr>
        <w:t xml:space="preserve">Meeting one: the PCBR group members were presented with lay summary and research questions.  The lay summary, research questions and design were revised as a result of this initial meeting by the research team. </w:t>
      </w:r>
    </w:p>
    <w:p w14:paraId="247B2D6E" w14:textId="77777777" w:rsidR="000F7E56" w:rsidRPr="000F7E56" w:rsidRDefault="000F7E56" w:rsidP="000F7E56">
      <w:pPr>
        <w:spacing w:after="120" w:line="360" w:lineRule="auto"/>
        <w:ind w:left="-261"/>
        <w:rPr>
          <w:rFonts w:cstheme="minorHAnsi"/>
        </w:rPr>
      </w:pPr>
      <w:r w:rsidRPr="000F7E56">
        <w:rPr>
          <w:rFonts w:cstheme="minorHAnsi"/>
          <w:noProof/>
        </w:rPr>
        <w:t>Meeting two: Pior to the second meeting participants were given the option of reading and advising on the lay summary.  Thoughts were discussed and further revisions were made in light of this second meeting.</w:t>
      </w:r>
      <w:r w:rsidRPr="000F7E56">
        <w:rPr>
          <w:rFonts w:cstheme="minorHAnsi"/>
        </w:rPr>
        <w:t xml:space="preserve"> </w:t>
      </w:r>
    </w:p>
    <w:p w14:paraId="248A8C1C" w14:textId="77777777" w:rsidR="000F7E56" w:rsidRPr="000F7E56" w:rsidRDefault="000F7E56" w:rsidP="000F7E56">
      <w:pPr>
        <w:spacing w:after="120" w:line="360" w:lineRule="auto"/>
        <w:ind w:left="-261"/>
        <w:rPr>
          <w:rFonts w:cstheme="minorHAnsi"/>
          <w:noProof/>
        </w:rPr>
      </w:pPr>
      <w:r w:rsidRPr="000F7E56">
        <w:rPr>
          <w:rFonts w:cstheme="minorHAnsi"/>
          <w:noProof/>
        </w:rPr>
        <w:t>Public  and patient involvement was evaluated by a feedback questionnaire at the end of each meeting. This was a simple tick box questionnaire with the option of expanding on certain responses if they wished to do so. Their  thoughts were collated with repsect to: communication  and organisation of meeting before the meeting; How they felt the meeting went; and how this could be improved. Participants were also asked to comment on any other concerns they may have with regards to the research or other areas of importance to them in relation to end-of-life care.</w:t>
      </w:r>
    </w:p>
    <w:p w14:paraId="722DDC05" w14:textId="77777777" w:rsidR="000F7E56" w:rsidRPr="000F7E56" w:rsidRDefault="000F7E56" w:rsidP="000F7E56">
      <w:pPr>
        <w:spacing w:after="120" w:line="360" w:lineRule="auto"/>
        <w:ind w:left="-261"/>
        <w:rPr>
          <w:rFonts w:cstheme="minorHAnsi"/>
          <w:noProof/>
        </w:rPr>
      </w:pPr>
      <w:r w:rsidRPr="000F7E56">
        <w:rPr>
          <w:rFonts w:cstheme="minorHAnsi"/>
        </w:rPr>
        <w:t xml:space="preserve">The PCBR group supported the delivery of the research throughout the project as detailed below.  In pre COVID-19 times this was done via four face-to-face meetings and during the COVID-19 pandemic a fifth meeting took place virtually using video. Some members also wished to contribute via one-to-one video meetings and for those less technically oriented we spoke via telephone calls.  There has also been ongoing consultation with members of the whole group via email.  This mix of communication methods has enabled members to stay safe, but remain closely involved throughout the whole project, even during periods of ‘lockdown’. </w:t>
      </w:r>
    </w:p>
    <w:p w14:paraId="645EA174" w14:textId="0AE33ABA" w:rsidR="000F7E56" w:rsidRPr="000F7E56" w:rsidRDefault="000F7E56" w:rsidP="000F7E56">
      <w:pPr>
        <w:spacing w:after="120" w:line="360" w:lineRule="auto"/>
        <w:ind w:left="-260"/>
        <w:rPr>
          <w:rFonts w:cstheme="minorHAnsi"/>
        </w:rPr>
      </w:pPr>
      <w:r w:rsidRPr="000F7E56">
        <w:rPr>
          <w:rFonts w:cstheme="minorHAnsi"/>
        </w:rPr>
        <w:t xml:space="preserve">IM convened and facilitated the PCBR group meetings with support from the research team and acted as PPI representative at project management and steering group meetings. IM provided informal mentoring and support for each of the PCBR group members. In line with INVOLVE guidance each of the group members were </w:t>
      </w:r>
      <w:r w:rsidR="000F4960">
        <w:rPr>
          <w:rFonts w:cstheme="minorHAnsi"/>
        </w:rPr>
        <w:t xml:space="preserve">gifted </w:t>
      </w:r>
      <w:r w:rsidRPr="000F7E56">
        <w:rPr>
          <w:rFonts w:cstheme="minorHAnsi"/>
        </w:rPr>
        <w:t>£50 as a ‘thank you’ for attending each group meeting. Members were also invited to attend a research methods course run by the project PI.</w:t>
      </w:r>
      <w:r w:rsidRPr="000F7E56">
        <w:rPr>
          <w:rFonts w:cstheme="minorHAnsi"/>
        </w:rPr>
        <w:fldChar w:fldCharType="begin"/>
      </w:r>
      <w:r w:rsidR="000D5597">
        <w:rPr>
          <w:rFonts w:cstheme="minorHAnsi"/>
        </w:rPr>
        <w:instrText xml:space="preserve"> ADDIN ZOTERO_ITEM CSL_CITATION {"citationID":"6X88Gojr","properties":{"formattedCitation":"\\super 132\\nosupersub{}","plainCitation":"132","noteIndex":0},"citationItems":[{"id":1544,"uris":["http://zotero.org/users/8748280/items/BFNBXWSX"],"itemData":{"id":1544,"type":"article-journal","container-title":"NIHR","title":"INVOLVE: Budgeting for involvement: Practical advice on budgeting for actively involving the public in research studies","URL":"chrome-extension://efaidnbmnnnibpcajpcglclefindmkaj/viewer.html?pdfurl=https%3A%2F%2Fwww.invo.org.uk%2Fwp-content%2Fuploads%2F2013%2F07%2FINVOLVEMHRNBudgeting09Jul2013.pdf&amp;clen=262707&amp;chunk=true","author":[{"family":"Cartwright, Julia","given":""},{"family":"Kabir, Thomas","given":""},{"family":"Simons, Lucy","given":""}],"issued":{"date-parts":[["2013",6]]}}}],"schema":"https://github.com/citation-style-language/schema/raw/master/csl-citation.json"} </w:instrText>
      </w:r>
      <w:r w:rsidRPr="000F7E56">
        <w:rPr>
          <w:rFonts w:cstheme="minorHAnsi"/>
        </w:rPr>
        <w:fldChar w:fldCharType="separate"/>
      </w:r>
      <w:r w:rsidR="000D5597" w:rsidRPr="000D5597">
        <w:rPr>
          <w:rFonts w:ascii="Calibri" w:hAnsi="Calibri" w:cs="Times New Roman"/>
          <w:szCs w:val="24"/>
          <w:vertAlign w:val="superscript"/>
        </w:rPr>
        <w:t>132</w:t>
      </w:r>
      <w:r w:rsidRPr="000F7E56">
        <w:rPr>
          <w:rFonts w:cstheme="minorHAnsi"/>
        </w:rPr>
        <w:fldChar w:fldCharType="end"/>
      </w:r>
      <w:bookmarkStart w:id="215" w:name="_Toc89665173"/>
      <w:r w:rsidRPr="000F7E56">
        <w:rPr>
          <w:rFonts w:cstheme="minorHAnsi"/>
        </w:rPr>
        <w:t xml:space="preserve"> </w:t>
      </w:r>
    </w:p>
    <w:p w14:paraId="1D64BFE0" w14:textId="77777777" w:rsidR="000F7E56" w:rsidRPr="000F7E56" w:rsidRDefault="000F7E56" w:rsidP="000F7E56">
      <w:pPr>
        <w:spacing w:after="120" w:line="360" w:lineRule="auto"/>
        <w:ind w:left="-260"/>
        <w:rPr>
          <w:rFonts w:cstheme="minorHAnsi"/>
          <w:noProof/>
        </w:rPr>
      </w:pPr>
      <w:r w:rsidRPr="000F7E56">
        <w:rPr>
          <w:rFonts w:asciiTheme="majorHAnsi" w:eastAsiaTheme="majorEastAsia" w:hAnsiTheme="majorHAnsi" w:cstheme="majorHAnsi"/>
          <w:color w:val="2F5496" w:themeColor="accent1" w:themeShade="BF"/>
          <w:sz w:val="24"/>
          <w:szCs w:val="24"/>
        </w:rPr>
        <w:t>Preparation of project materials</w:t>
      </w:r>
    </w:p>
    <w:p w14:paraId="3D21BAF5" w14:textId="77777777" w:rsidR="000F7E56" w:rsidRPr="000F7E56" w:rsidRDefault="000F7E56" w:rsidP="000F7E56">
      <w:pPr>
        <w:spacing w:after="120" w:line="360" w:lineRule="auto"/>
        <w:ind w:left="-260"/>
        <w:rPr>
          <w:rFonts w:cstheme="minorHAnsi"/>
          <w:noProof/>
        </w:rPr>
      </w:pPr>
      <w:r w:rsidRPr="000F7E56">
        <w:rPr>
          <w:rFonts w:cstheme="minorHAnsi"/>
        </w:rPr>
        <w:t>PCBR members were involved in discussing the protocol, methodology and materials for recruitment and data collection, ensuring that they were developed and implemented in an acceptable and feasible way.</w:t>
      </w:r>
    </w:p>
    <w:p w14:paraId="7E223F29" w14:textId="06080C4E" w:rsidR="0003460A" w:rsidRDefault="000F7E56" w:rsidP="0003460A">
      <w:pPr>
        <w:spacing w:after="120" w:line="360" w:lineRule="auto"/>
        <w:ind w:left="-260"/>
        <w:rPr>
          <w:rFonts w:cstheme="minorHAnsi"/>
        </w:rPr>
      </w:pPr>
      <w:r w:rsidRPr="000F7E56">
        <w:rPr>
          <w:rFonts w:cstheme="minorHAnsi"/>
        </w:rPr>
        <w:t>The group also offered their diverse language skills in aiding the piloting of interviews in both English and in other languages (i.e. Gujarati and Hindi). They advised on the language use in the topic guides in WS1 and WS2 to ensure sensitivity, cultural appropriateness, as well as clarity for a lay audience. They have supported the translation of information sheets to ensure that the written and spoken versions o</w:t>
      </w:r>
      <w:r w:rsidR="000F4960">
        <w:rPr>
          <w:rFonts w:cstheme="minorHAnsi"/>
        </w:rPr>
        <w:t>f</w:t>
      </w:r>
      <w:r w:rsidRPr="000F7E56">
        <w:rPr>
          <w:rFonts w:cstheme="minorHAnsi"/>
        </w:rPr>
        <w:t xml:space="preserve"> the participant </w:t>
      </w:r>
      <w:r w:rsidRPr="000F7E56">
        <w:rPr>
          <w:rFonts w:cstheme="minorHAnsi"/>
        </w:rPr>
        <w:lastRenderedPageBreak/>
        <w:t xml:space="preserve">information sheets in WS1 and project flyers in both WS1 </w:t>
      </w:r>
      <w:bookmarkStart w:id="216" w:name="_Hlk89268611"/>
      <w:r w:rsidRPr="000F7E56">
        <w:rPr>
          <w:rFonts w:cstheme="minorHAnsi"/>
        </w:rPr>
        <w:t xml:space="preserve">and WS2 </w:t>
      </w:r>
      <w:r w:rsidR="00C75976">
        <w:rPr>
          <w:rFonts w:cstheme="minorHAnsi"/>
        </w:rPr>
        <w:t>were</w:t>
      </w:r>
      <w:r w:rsidRPr="000F7E56">
        <w:rPr>
          <w:rFonts w:cstheme="minorHAnsi"/>
        </w:rPr>
        <w:t xml:space="preserve"> translated to a standard which </w:t>
      </w:r>
      <w:r w:rsidR="00C75976">
        <w:rPr>
          <w:rFonts w:cstheme="minorHAnsi"/>
        </w:rPr>
        <w:t xml:space="preserve">was </w:t>
      </w:r>
      <w:r w:rsidRPr="000F7E56">
        <w:rPr>
          <w:rFonts w:cstheme="minorHAnsi"/>
        </w:rPr>
        <w:t xml:space="preserve">understandable to lay participants who speak Gujarati. </w:t>
      </w:r>
      <w:bookmarkEnd w:id="216"/>
    </w:p>
    <w:p w14:paraId="03F6C329" w14:textId="305D1603" w:rsidR="000F7E56" w:rsidRPr="0003460A" w:rsidRDefault="000F7E56" w:rsidP="0003460A">
      <w:pPr>
        <w:pStyle w:val="Heading2"/>
        <w:rPr>
          <w:rFonts w:cstheme="minorHAnsi"/>
          <w:sz w:val="24"/>
          <w:szCs w:val="24"/>
        </w:rPr>
      </w:pPr>
      <w:bookmarkStart w:id="217" w:name="_Toc106697804"/>
      <w:r w:rsidRPr="0003460A">
        <w:rPr>
          <w:sz w:val="24"/>
          <w:szCs w:val="24"/>
        </w:rPr>
        <w:t>Enhancing interpretations of finding</w:t>
      </w:r>
      <w:r w:rsidR="0003460A" w:rsidRPr="0003460A">
        <w:rPr>
          <w:sz w:val="24"/>
          <w:szCs w:val="24"/>
        </w:rPr>
        <w:t>s</w:t>
      </w:r>
      <w:bookmarkEnd w:id="217"/>
    </w:p>
    <w:p w14:paraId="2CA9B691" w14:textId="77777777" w:rsidR="000F7E56" w:rsidRPr="0003460A" w:rsidRDefault="000F7E56" w:rsidP="000F7E56">
      <w:pPr>
        <w:spacing w:after="120" w:line="360" w:lineRule="auto"/>
        <w:ind w:left="-260"/>
        <w:rPr>
          <w:rFonts w:cstheme="minorHAnsi"/>
          <w:noProof/>
        </w:rPr>
      </w:pPr>
      <w:r w:rsidRPr="0003460A">
        <w:rPr>
          <w:rFonts w:cstheme="minorHAnsi"/>
        </w:rPr>
        <w:t>The PCBR group have supported us with analysis through commenting upon and discussing an excerpt provided from WS1 data, see Box 1 below. Their thoughts and interpretation were in line with the researchers which was important in our quality assurance process. This discussion also promoted sharing examples of how their own beliefs/cultural beliefs influence behaviour during the life course and at key life events including birth, dying and death, which allowed for deeper discussion around the data collected and the interpretation of this.</w:t>
      </w:r>
      <w:bookmarkEnd w:id="215"/>
    </w:p>
    <w:p w14:paraId="05CD94C6" w14:textId="77777777" w:rsidR="000F7E56" w:rsidRPr="000F7E56" w:rsidRDefault="000F7E56" w:rsidP="000F7E56">
      <w:pPr>
        <w:autoSpaceDE w:val="0"/>
        <w:autoSpaceDN w:val="0"/>
        <w:adjustRightInd w:val="0"/>
        <w:spacing w:after="0" w:line="240" w:lineRule="auto"/>
        <w:rPr>
          <w:rFonts w:cstheme="minorHAnsi"/>
          <w:sz w:val="24"/>
          <w:szCs w:val="24"/>
        </w:rPr>
      </w:pPr>
      <w:r w:rsidRPr="000F7E56">
        <w:rPr>
          <w:rFonts w:cstheme="minorHAnsi"/>
          <w:noProof/>
          <w:sz w:val="24"/>
          <w:szCs w:val="24"/>
          <w:lang w:eastAsia="en-GB"/>
        </w:rPr>
        <mc:AlternateContent>
          <mc:Choice Requires="wps">
            <w:drawing>
              <wp:anchor distT="0" distB="0" distL="114300" distR="114300" simplePos="0" relativeHeight="251660288" behindDoc="0" locked="0" layoutInCell="1" allowOverlap="1" wp14:anchorId="0E239D8C" wp14:editId="075FAFB2">
                <wp:simplePos x="0" y="0"/>
                <wp:positionH relativeFrom="column">
                  <wp:posOffset>-40640</wp:posOffset>
                </wp:positionH>
                <wp:positionV relativeFrom="paragraph">
                  <wp:posOffset>15876</wp:posOffset>
                </wp:positionV>
                <wp:extent cx="6161198" cy="4946650"/>
                <wp:effectExtent l="0" t="0" r="11430" b="25400"/>
                <wp:wrapNone/>
                <wp:docPr id="3" name="Rounded Rectangle 3"/>
                <wp:cNvGraphicFramePr/>
                <a:graphic xmlns:a="http://schemas.openxmlformats.org/drawingml/2006/main">
                  <a:graphicData uri="http://schemas.microsoft.com/office/word/2010/wordprocessingShape">
                    <wps:wsp>
                      <wps:cNvSpPr/>
                      <wps:spPr>
                        <a:xfrm>
                          <a:off x="0" y="0"/>
                          <a:ext cx="6161198" cy="4946650"/>
                        </a:xfrm>
                        <a:prstGeom prst="roundRect">
                          <a:avLst/>
                        </a:prstGeom>
                        <a:solidFill>
                          <a:srgbClr val="4472C4">
                            <a:lumMod val="20000"/>
                            <a:lumOff val="80000"/>
                          </a:srgbClr>
                        </a:solidFill>
                        <a:ln w="12700" cap="flat" cmpd="sng" algn="ctr">
                          <a:solidFill>
                            <a:srgbClr val="4472C4">
                              <a:shade val="50000"/>
                            </a:srgbClr>
                          </a:solidFill>
                          <a:prstDash val="solid"/>
                          <a:miter lim="800000"/>
                        </a:ln>
                        <a:effectLst/>
                      </wps:spPr>
                      <wps:txbx>
                        <w:txbxContent>
                          <w:p w14:paraId="6558CF73" w14:textId="77777777" w:rsidR="00AD6C9D" w:rsidRDefault="00AD6C9D" w:rsidP="000F7E56">
                            <w:pPr>
                              <w:jc w:val="center"/>
                              <w:rPr>
                                <w:rFonts w:cstheme="minorHAnsi"/>
                                <w:b/>
                                <w:color w:val="000000" w:themeColor="text1"/>
                                <w:sz w:val="20"/>
                                <w:szCs w:val="20"/>
                              </w:rPr>
                            </w:pPr>
                            <w:r>
                              <w:rPr>
                                <w:rFonts w:cstheme="minorHAnsi"/>
                                <w:b/>
                                <w:color w:val="000000" w:themeColor="text1"/>
                                <w:sz w:val="20"/>
                                <w:szCs w:val="20"/>
                              </w:rPr>
                              <w:t>EXAMPLE ACTIVITY WITH PCBR MEMBERS</w:t>
                            </w:r>
                          </w:p>
                          <w:p w14:paraId="1B1B6371" w14:textId="77777777" w:rsidR="00AD6C9D" w:rsidRPr="00B052C0" w:rsidRDefault="00AD6C9D" w:rsidP="000F7E56">
                            <w:pPr>
                              <w:jc w:val="center"/>
                              <w:rPr>
                                <w:rFonts w:cstheme="minorHAnsi"/>
                                <w:b/>
                                <w:color w:val="000000" w:themeColor="text1"/>
                                <w:sz w:val="20"/>
                                <w:szCs w:val="20"/>
                              </w:rPr>
                            </w:pPr>
                            <w:r>
                              <w:rPr>
                                <w:rFonts w:cstheme="minorHAnsi"/>
                                <w:b/>
                                <w:color w:val="000000" w:themeColor="text1"/>
                                <w:sz w:val="20"/>
                                <w:szCs w:val="20"/>
                              </w:rPr>
                              <w:t xml:space="preserve"> </w:t>
                            </w:r>
                            <w:r w:rsidRPr="00B329F6">
                              <w:rPr>
                                <w:rFonts w:cstheme="minorHAnsi"/>
                                <w:color w:val="000000" w:themeColor="text1"/>
                                <w:sz w:val="20"/>
                                <w:szCs w:val="20"/>
                              </w:rPr>
                              <w:t xml:space="preserve">The </w:t>
                            </w:r>
                            <w:r>
                              <w:rPr>
                                <w:rFonts w:cstheme="minorHAnsi"/>
                                <w:color w:val="000000" w:themeColor="text1"/>
                                <w:sz w:val="20"/>
                                <w:szCs w:val="20"/>
                              </w:rPr>
                              <w:t xml:space="preserve">text </w:t>
                            </w:r>
                            <w:r w:rsidRPr="00B329F6">
                              <w:rPr>
                                <w:rFonts w:cstheme="minorHAnsi"/>
                                <w:color w:val="000000" w:themeColor="text1"/>
                                <w:sz w:val="20"/>
                                <w:szCs w:val="20"/>
                              </w:rPr>
                              <w:t xml:space="preserve">below comes from a </w:t>
                            </w:r>
                            <w:r w:rsidRPr="00B329F6">
                              <w:rPr>
                                <w:rFonts w:cstheme="minorHAnsi"/>
                                <w:b/>
                                <w:color w:val="000000" w:themeColor="text1"/>
                                <w:sz w:val="20"/>
                                <w:szCs w:val="20"/>
                              </w:rPr>
                              <w:t>patient</w:t>
                            </w:r>
                            <w:r w:rsidRPr="00B329F6">
                              <w:rPr>
                                <w:rFonts w:cstheme="minorHAnsi"/>
                                <w:color w:val="000000" w:themeColor="text1"/>
                                <w:sz w:val="20"/>
                                <w:szCs w:val="20"/>
                              </w:rPr>
                              <w:t xml:space="preserve"> interview conducted as part of the </w:t>
                            </w:r>
                            <w:r>
                              <w:rPr>
                                <w:rFonts w:cstheme="minorHAnsi"/>
                                <w:color w:val="000000" w:themeColor="text1"/>
                                <w:sz w:val="20"/>
                                <w:szCs w:val="20"/>
                              </w:rPr>
                              <w:t>project Work Stream</w:t>
                            </w:r>
                            <w:r w:rsidRPr="00B329F6">
                              <w:rPr>
                                <w:rFonts w:cstheme="minorHAnsi"/>
                                <w:color w:val="000000" w:themeColor="text1"/>
                                <w:sz w:val="20"/>
                                <w:szCs w:val="20"/>
                              </w:rPr>
                              <w:t xml:space="preserve"> 1</w:t>
                            </w:r>
                            <w:r>
                              <w:rPr>
                                <w:rFonts w:cstheme="minorHAnsi"/>
                                <w:color w:val="000000" w:themeColor="text1"/>
                                <w:sz w:val="20"/>
                                <w:szCs w:val="20"/>
                              </w:rPr>
                              <w:t xml:space="preserve"> </w:t>
                            </w:r>
                            <w:r w:rsidRPr="00B329F6">
                              <w:rPr>
                                <w:rFonts w:cstheme="minorHAnsi"/>
                                <w:color w:val="000000" w:themeColor="text1"/>
                                <w:sz w:val="20"/>
                                <w:szCs w:val="20"/>
                              </w:rPr>
                              <w:t>(</w:t>
                            </w:r>
                            <w:r>
                              <w:rPr>
                                <w:rFonts w:cstheme="minorHAnsi"/>
                                <w:color w:val="000000" w:themeColor="text1"/>
                                <w:sz w:val="20"/>
                                <w:szCs w:val="20"/>
                              </w:rPr>
                              <w:t xml:space="preserve">interviews </w:t>
                            </w:r>
                            <w:r w:rsidRPr="00B329F6">
                              <w:rPr>
                                <w:rFonts w:cstheme="minorHAnsi"/>
                                <w:color w:val="000000" w:themeColor="text1"/>
                                <w:sz w:val="20"/>
                                <w:szCs w:val="20"/>
                              </w:rPr>
                              <w:t xml:space="preserve">with patients, family care-givers and health care professionals) </w:t>
                            </w:r>
                          </w:p>
                          <w:p w14:paraId="04C2B8C7" w14:textId="77777777" w:rsidR="00AD6C9D" w:rsidRPr="00B329F6" w:rsidRDefault="00AD6C9D" w:rsidP="000F7E56">
                            <w:pPr>
                              <w:rPr>
                                <w:rFonts w:cstheme="minorHAnsi"/>
                                <w:i/>
                                <w:color w:val="000000" w:themeColor="text1"/>
                                <w:sz w:val="20"/>
                                <w:szCs w:val="20"/>
                              </w:rPr>
                            </w:pPr>
                            <w:r w:rsidRPr="00B329F6">
                              <w:rPr>
                                <w:rFonts w:cstheme="minorHAnsi"/>
                                <w:i/>
                                <w:color w:val="000000" w:themeColor="text1"/>
                                <w:sz w:val="20"/>
                                <w:szCs w:val="20"/>
                              </w:rPr>
                              <w:t>‘But I personally it has not been easy to talk about death in our communities because over 70 percent of the black population in one sense were Christian and by Christian I don't just mean Catholic or Methodist I mean Pentecostal Christians who believe in the power of the holy spirit and direct divine healing. And actually even when my mother was ill, because that's what she solely depended upon, there was a point where I was thinking she just needs to get to the hospital and get some help. And my father tried actually the church tried. We know nowadays that it’s not necessarily the church leaders that are encouraging people not to have treatments, some, some will even say to you I have had it said to me a couple of times because we have a family history oh you need to deal with that generational curse. Now this is happening not just in black churches its happening in many Pentecostal churches where there is a body of movement that believes that if more than one family member is affected or you are ill that it’s a spiritual curse. It’s not something that my family believes though I have met individuals who are on the outskirts of the family who have been to certain services or read certain books where they do believe this. Or they can't say certain words because it means that you will be inviting that to happen to you. So for example people will say to you if you say, because you do sometimes say because you are living with it, and it happened in one of the support groups where I did invite somebody in to speak and one of the members said my cancer and this person was from the faith group and she said don't say my cancer don't own it. Well actually she can own it and counsellors will tell you that you need to allow people to express where they are.’</w:t>
                            </w:r>
                          </w:p>
                          <w:p w14:paraId="3D374BC9" w14:textId="77777777" w:rsidR="00AD6C9D" w:rsidRPr="00B329F6" w:rsidRDefault="00AD6C9D" w:rsidP="000F7E56">
                            <w:pPr>
                              <w:rPr>
                                <w:rFonts w:cstheme="minorHAnsi"/>
                                <w:b/>
                                <w:color w:val="000000" w:themeColor="text1"/>
                                <w:sz w:val="20"/>
                                <w:szCs w:val="20"/>
                              </w:rPr>
                            </w:pPr>
                            <w:r w:rsidRPr="00B329F6">
                              <w:rPr>
                                <w:rFonts w:cstheme="minorHAnsi"/>
                                <w:b/>
                                <w:color w:val="000000" w:themeColor="text1"/>
                                <w:sz w:val="20"/>
                                <w:szCs w:val="20"/>
                              </w:rPr>
                              <w:t>We would appreciate it if you could please briefly note anything that is of interest in the context of the project’s aim of identifying the barriers and enablers in end-of-life care planning with patients and families from Black, Asian and Minority Ethnic backgrounds.  We will discuss this together at the meeting</w:t>
                            </w:r>
                            <w:r>
                              <w:rPr>
                                <w:rFonts w:cstheme="minorHAnsi"/>
                                <w:b/>
                                <w:color w:val="000000" w:themeColor="text1"/>
                                <w:sz w:val="20"/>
                                <w:szCs w:val="20"/>
                              </w:rPr>
                              <w:t>.</w:t>
                            </w:r>
                            <w:r w:rsidRPr="00B329F6">
                              <w:rPr>
                                <w:rFonts w:cstheme="minorHAnsi"/>
                                <w:b/>
                                <w:color w:val="000000" w:themeColor="text1"/>
                                <w:sz w:val="20"/>
                                <w:szCs w:val="20"/>
                              </w:rPr>
                              <w:t xml:space="preserve">  </w:t>
                            </w:r>
                          </w:p>
                          <w:p w14:paraId="0D633F48" w14:textId="77777777" w:rsidR="00AD6C9D" w:rsidRDefault="00AD6C9D" w:rsidP="000F7E56">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0E239D8C" id="Rounded Rectangle 3" o:spid="_x0000_s1027" style="position:absolute;margin-left:-3.2pt;margin-top:1.25pt;width:485.15pt;height:389.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" fillcolor="#dae3f3" strokecolor="#2f528f" strokeweight="1pt">
                <v:stroke joinstyle="miter"/>
                <v:textbox>
                  <w:txbxContent>
                    <w:p w14:paraId="6558CF73" w14:textId="77777777" w:rsidR="00AD6C9D" w:rsidRDefault="00AD6C9D" w:rsidP="000F7E56">
                      <w:pPr>
                        <w:jc w:val="center"/>
                        <w:rPr>
                          <w:rFonts w:cstheme="minorHAnsi"/>
                          <w:b/>
                          <w:color w:val="000000" w:themeColor="text1"/>
                          <w:sz w:val="20"/>
                          <w:szCs w:val="20"/>
                        </w:rPr>
                      </w:pPr>
                      <w:r>
                        <w:rPr>
                          <w:rFonts w:cstheme="minorHAnsi"/>
                          <w:b/>
                          <w:color w:val="000000" w:themeColor="text1"/>
                          <w:sz w:val="20"/>
                          <w:szCs w:val="20"/>
                        </w:rPr>
                        <w:t>EXAMPLE ACTIVITY WITH PCBR MEMBERS</w:t>
                      </w:r>
                    </w:p>
                    <w:p w14:paraId="1B1B6371" w14:textId="77777777" w:rsidR="00AD6C9D" w:rsidRPr="00B052C0" w:rsidRDefault="00AD6C9D" w:rsidP="000F7E56">
                      <w:pPr>
                        <w:jc w:val="center"/>
                        <w:rPr>
                          <w:rFonts w:cstheme="minorHAnsi"/>
                          <w:b/>
                          <w:color w:val="000000" w:themeColor="text1"/>
                          <w:sz w:val="20"/>
                          <w:szCs w:val="20"/>
                        </w:rPr>
                      </w:pPr>
                      <w:r>
                        <w:rPr>
                          <w:rFonts w:cstheme="minorHAnsi"/>
                          <w:b/>
                          <w:color w:val="000000" w:themeColor="text1"/>
                          <w:sz w:val="20"/>
                          <w:szCs w:val="20"/>
                        </w:rPr>
                        <w:t xml:space="preserve"> </w:t>
                      </w:r>
                      <w:r w:rsidRPr="00B329F6">
                        <w:rPr>
                          <w:rFonts w:cstheme="minorHAnsi"/>
                          <w:color w:val="000000" w:themeColor="text1"/>
                          <w:sz w:val="20"/>
                          <w:szCs w:val="20"/>
                        </w:rPr>
                        <w:t xml:space="preserve">The </w:t>
                      </w:r>
                      <w:r>
                        <w:rPr>
                          <w:rFonts w:cstheme="minorHAnsi"/>
                          <w:color w:val="000000" w:themeColor="text1"/>
                          <w:sz w:val="20"/>
                          <w:szCs w:val="20"/>
                        </w:rPr>
                        <w:t xml:space="preserve">text </w:t>
                      </w:r>
                      <w:r w:rsidRPr="00B329F6">
                        <w:rPr>
                          <w:rFonts w:cstheme="minorHAnsi"/>
                          <w:color w:val="000000" w:themeColor="text1"/>
                          <w:sz w:val="20"/>
                          <w:szCs w:val="20"/>
                        </w:rPr>
                        <w:t xml:space="preserve">below comes from a </w:t>
                      </w:r>
                      <w:r w:rsidRPr="00B329F6">
                        <w:rPr>
                          <w:rFonts w:cstheme="minorHAnsi"/>
                          <w:b/>
                          <w:color w:val="000000" w:themeColor="text1"/>
                          <w:sz w:val="20"/>
                          <w:szCs w:val="20"/>
                        </w:rPr>
                        <w:t>patient</w:t>
                      </w:r>
                      <w:r w:rsidRPr="00B329F6">
                        <w:rPr>
                          <w:rFonts w:cstheme="minorHAnsi"/>
                          <w:color w:val="000000" w:themeColor="text1"/>
                          <w:sz w:val="20"/>
                          <w:szCs w:val="20"/>
                        </w:rPr>
                        <w:t xml:space="preserve"> interview conducted as part of the </w:t>
                      </w:r>
                      <w:r>
                        <w:rPr>
                          <w:rFonts w:cstheme="minorHAnsi"/>
                          <w:color w:val="000000" w:themeColor="text1"/>
                          <w:sz w:val="20"/>
                          <w:szCs w:val="20"/>
                        </w:rPr>
                        <w:t>project Work Stream</w:t>
                      </w:r>
                      <w:r w:rsidRPr="00B329F6">
                        <w:rPr>
                          <w:rFonts w:cstheme="minorHAnsi"/>
                          <w:color w:val="000000" w:themeColor="text1"/>
                          <w:sz w:val="20"/>
                          <w:szCs w:val="20"/>
                        </w:rPr>
                        <w:t xml:space="preserve"> 1</w:t>
                      </w:r>
                      <w:r>
                        <w:rPr>
                          <w:rFonts w:cstheme="minorHAnsi"/>
                          <w:color w:val="000000" w:themeColor="text1"/>
                          <w:sz w:val="20"/>
                          <w:szCs w:val="20"/>
                        </w:rPr>
                        <w:t xml:space="preserve"> </w:t>
                      </w:r>
                      <w:r w:rsidRPr="00B329F6">
                        <w:rPr>
                          <w:rFonts w:cstheme="minorHAnsi"/>
                          <w:color w:val="000000" w:themeColor="text1"/>
                          <w:sz w:val="20"/>
                          <w:szCs w:val="20"/>
                        </w:rPr>
                        <w:t>(</w:t>
                      </w:r>
                      <w:r>
                        <w:rPr>
                          <w:rFonts w:cstheme="minorHAnsi"/>
                          <w:color w:val="000000" w:themeColor="text1"/>
                          <w:sz w:val="20"/>
                          <w:szCs w:val="20"/>
                        </w:rPr>
                        <w:t xml:space="preserve">interviews </w:t>
                      </w:r>
                      <w:r w:rsidRPr="00B329F6">
                        <w:rPr>
                          <w:rFonts w:cstheme="minorHAnsi"/>
                          <w:color w:val="000000" w:themeColor="text1"/>
                          <w:sz w:val="20"/>
                          <w:szCs w:val="20"/>
                        </w:rPr>
                        <w:t xml:space="preserve">with patients, family care-givers and health care professionals) </w:t>
                      </w:r>
                    </w:p>
                    <w:p w14:paraId="04C2B8C7" w14:textId="77777777" w:rsidR="00AD6C9D" w:rsidRPr="00B329F6" w:rsidRDefault="00AD6C9D" w:rsidP="000F7E56">
                      <w:pPr>
                        <w:rPr>
                          <w:rFonts w:cstheme="minorHAnsi"/>
                          <w:i/>
                          <w:color w:val="000000" w:themeColor="text1"/>
                          <w:sz w:val="20"/>
                          <w:szCs w:val="20"/>
                        </w:rPr>
                      </w:pPr>
                      <w:r w:rsidRPr="00B329F6">
                        <w:rPr>
                          <w:rFonts w:cstheme="minorHAnsi"/>
                          <w:i/>
                          <w:color w:val="000000" w:themeColor="text1"/>
                          <w:sz w:val="20"/>
                          <w:szCs w:val="20"/>
                        </w:rPr>
                        <w:t>‘But I personally it has not been easy to talk about death in our communities because over 70 percent of the black population in one sense were Christian and by Christian I don't just mean Catholic or Methodist I mean Pentecostal Christians who believe in the power of the holy spirit and direct divine healing. And actually even when my mother was ill, because that's what she solely depended upon, there was a point where I was thinking she just needs to get to the hospital and get some help. And my father tried actually the church tried. We know nowadays that it’s not necessarily the church leaders that are encouraging people not to have treatments, some, some will even say to you I have had it said to me a couple of times because we have a family history oh you need to deal with that generational curse. Now this is happening not just in black churches its happening in many Pentecostal churches where there is a body of movement that believes that if more than one family member is affected or you are ill that it’s a spiritual curse. It’s not something that my family believes though I have met individuals who are on the outskirts of the family who have been to certain services or read certain books where they do believe this. Or they can't say certain words because it means that you will be inviting that to happen to you. So for example people will say to you if you say, because you do sometimes say because you are living with it, and it happened in one of the support groups where I did invite somebody in to speak and one of the members said my cancer and this person was from the faith group and she said don't say my cancer don't own it. Well actually she can own it and counsellors will tell you that you need to allow people to express where they are.’</w:t>
                      </w:r>
                    </w:p>
                    <w:p w14:paraId="3D374BC9" w14:textId="77777777" w:rsidR="00AD6C9D" w:rsidRPr="00B329F6" w:rsidRDefault="00AD6C9D" w:rsidP="000F7E56">
                      <w:pPr>
                        <w:rPr>
                          <w:rFonts w:cstheme="minorHAnsi"/>
                          <w:b/>
                          <w:color w:val="000000" w:themeColor="text1"/>
                          <w:sz w:val="20"/>
                          <w:szCs w:val="20"/>
                        </w:rPr>
                      </w:pPr>
                      <w:r w:rsidRPr="00B329F6">
                        <w:rPr>
                          <w:rFonts w:cstheme="minorHAnsi"/>
                          <w:b/>
                          <w:color w:val="000000" w:themeColor="text1"/>
                          <w:sz w:val="20"/>
                          <w:szCs w:val="20"/>
                        </w:rPr>
                        <w:t>We would appreciate it if you could please briefly note anything that is of interest in the context of the project’s aim of identifying the barriers and enablers in end-of-life care planning with patients and families from Black, Asian and Minority Ethnic backgrounds.  We will discuss this together at the meeting</w:t>
                      </w:r>
                      <w:r>
                        <w:rPr>
                          <w:rFonts w:cstheme="minorHAnsi"/>
                          <w:b/>
                          <w:color w:val="000000" w:themeColor="text1"/>
                          <w:sz w:val="20"/>
                          <w:szCs w:val="20"/>
                        </w:rPr>
                        <w:t>.</w:t>
                      </w:r>
                      <w:r w:rsidRPr="00B329F6">
                        <w:rPr>
                          <w:rFonts w:cstheme="minorHAnsi"/>
                          <w:b/>
                          <w:color w:val="000000" w:themeColor="text1"/>
                          <w:sz w:val="20"/>
                          <w:szCs w:val="20"/>
                        </w:rPr>
                        <w:t xml:space="preserve">  </w:t>
                      </w:r>
                    </w:p>
                    <w:p w14:paraId="0D633F48" w14:textId="77777777" w:rsidR="00AD6C9D" w:rsidRDefault="00AD6C9D" w:rsidP="000F7E56">
                      <w:pPr>
                        <w:jc w:val="center"/>
                      </w:pPr>
                    </w:p>
                  </w:txbxContent>
                </v:textbox>
              </v:roundrect>
            </w:pict>
          </mc:Fallback>
        </mc:AlternateContent>
      </w:r>
    </w:p>
    <w:p w14:paraId="3AD116F8" w14:textId="77777777" w:rsidR="000F7E56" w:rsidRPr="000F7E56" w:rsidRDefault="000F7E56" w:rsidP="000F7E56">
      <w:pPr>
        <w:autoSpaceDE w:val="0"/>
        <w:autoSpaceDN w:val="0"/>
        <w:adjustRightInd w:val="0"/>
        <w:spacing w:after="0" w:line="240" w:lineRule="auto"/>
        <w:ind w:left="360"/>
        <w:rPr>
          <w:rFonts w:cstheme="minorHAnsi"/>
          <w:sz w:val="24"/>
          <w:szCs w:val="24"/>
        </w:rPr>
      </w:pPr>
    </w:p>
    <w:p w14:paraId="026AF3ED" w14:textId="77777777" w:rsidR="000F7E56" w:rsidRPr="000F7E56" w:rsidRDefault="000F7E56" w:rsidP="000F7E56">
      <w:pPr>
        <w:autoSpaceDE w:val="0"/>
        <w:autoSpaceDN w:val="0"/>
        <w:adjustRightInd w:val="0"/>
        <w:spacing w:after="0" w:line="240" w:lineRule="auto"/>
        <w:ind w:left="360"/>
        <w:rPr>
          <w:rFonts w:cstheme="minorHAnsi"/>
          <w:sz w:val="24"/>
          <w:szCs w:val="24"/>
        </w:rPr>
      </w:pPr>
      <w:r w:rsidRPr="000F7E56">
        <w:rPr>
          <w:rFonts w:cstheme="minorHAnsi"/>
          <w:sz w:val="24"/>
          <w:szCs w:val="24"/>
        </w:rPr>
        <w:t xml:space="preserve"> </w:t>
      </w:r>
    </w:p>
    <w:p w14:paraId="5C1C77AE" w14:textId="77777777" w:rsidR="000F7E56" w:rsidRPr="000F7E56" w:rsidRDefault="000F7E56" w:rsidP="000F7E56">
      <w:pPr>
        <w:autoSpaceDE w:val="0"/>
        <w:autoSpaceDN w:val="0"/>
        <w:adjustRightInd w:val="0"/>
        <w:spacing w:after="0" w:line="240" w:lineRule="auto"/>
        <w:ind w:left="360"/>
        <w:rPr>
          <w:rFonts w:cstheme="minorHAnsi"/>
          <w:sz w:val="24"/>
          <w:szCs w:val="24"/>
        </w:rPr>
      </w:pPr>
    </w:p>
    <w:p w14:paraId="4B282AF9" w14:textId="77777777" w:rsidR="000F7E56" w:rsidRPr="000F7E56" w:rsidRDefault="000F7E56" w:rsidP="000F7E56">
      <w:pPr>
        <w:autoSpaceDE w:val="0"/>
        <w:autoSpaceDN w:val="0"/>
        <w:adjustRightInd w:val="0"/>
        <w:spacing w:after="0" w:line="240" w:lineRule="auto"/>
        <w:ind w:left="360"/>
        <w:rPr>
          <w:rFonts w:cstheme="minorHAnsi"/>
          <w:sz w:val="24"/>
          <w:szCs w:val="24"/>
        </w:rPr>
      </w:pPr>
    </w:p>
    <w:p w14:paraId="5F057E5A" w14:textId="77777777" w:rsidR="000F7E56" w:rsidRPr="000F7E56" w:rsidRDefault="000F7E56" w:rsidP="000F7E56">
      <w:pPr>
        <w:autoSpaceDE w:val="0"/>
        <w:autoSpaceDN w:val="0"/>
        <w:adjustRightInd w:val="0"/>
        <w:spacing w:after="0" w:line="240" w:lineRule="auto"/>
        <w:ind w:left="360"/>
        <w:rPr>
          <w:rFonts w:cstheme="minorHAnsi"/>
          <w:sz w:val="24"/>
          <w:szCs w:val="24"/>
        </w:rPr>
      </w:pPr>
    </w:p>
    <w:p w14:paraId="70CD321C" w14:textId="77777777" w:rsidR="000F7E56" w:rsidRPr="000F7E56" w:rsidRDefault="000F7E56" w:rsidP="000F7E56">
      <w:pPr>
        <w:autoSpaceDE w:val="0"/>
        <w:autoSpaceDN w:val="0"/>
        <w:adjustRightInd w:val="0"/>
        <w:spacing w:after="0" w:line="240" w:lineRule="auto"/>
        <w:ind w:left="360"/>
        <w:rPr>
          <w:rFonts w:cstheme="minorHAnsi"/>
          <w:sz w:val="24"/>
          <w:szCs w:val="24"/>
        </w:rPr>
      </w:pPr>
    </w:p>
    <w:p w14:paraId="0B086033" w14:textId="77777777" w:rsidR="000F7E56" w:rsidRPr="000F7E56" w:rsidRDefault="000F7E56" w:rsidP="000F7E56">
      <w:pPr>
        <w:autoSpaceDE w:val="0"/>
        <w:autoSpaceDN w:val="0"/>
        <w:adjustRightInd w:val="0"/>
        <w:spacing w:after="0" w:line="240" w:lineRule="auto"/>
        <w:ind w:left="360"/>
        <w:rPr>
          <w:rFonts w:cstheme="minorHAnsi"/>
          <w:sz w:val="24"/>
          <w:szCs w:val="24"/>
        </w:rPr>
      </w:pPr>
    </w:p>
    <w:p w14:paraId="5B5F3A1A" w14:textId="77777777" w:rsidR="000F7E56" w:rsidRPr="000F7E56" w:rsidRDefault="000F7E56" w:rsidP="000F7E56">
      <w:pPr>
        <w:autoSpaceDE w:val="0"/>
        <w:autoSpaceDN w:val="0"/>
        <w:adjustRightInd w:val="0"/>
        <w:spacing w:after="0" w:line="240" w:lineRule="auto"/>
        <w:ind w:left="360"/>
        <w:rPr>
          <w:rFonts w:cstheme="minorHAnsi"/>
          <w:sz w:val="24"/>
          <w:szCs w:val="24"/>
        </w:rPr>
      </w:pPr>
    </w:p>
    <w:p w14:paraId="6F44CC69" w14:textId="77777777" w:rsidR="000F7E56" w:rsidRPr="000F7E56" w:rsidRDefault="000F7E56" w:rsidP="000F7E56">
      <w:pPr>
        <w:autoSpaceDE w:val="0"/>
        <w:autoSpaceDN w:val="0"/>
        <w:adjustRightInd w:val="0"/>
        <w:spacing w:after="0" w:line="240" w:lineRule="auto"/>
        <w:ind w:left="360"/>
        <w:rPr>
          <w:rFonts w:cstheme="minorHAnsi"/>
          <w:sz w:val="24"/>
          <w:szCs w:val="24"/>
        </w:rPr>
      </w:pPr>
    </w:p>
    <w:p w14:paraId="3D62D799" w14:textId="77777777" w:rsidR="000F7E56" w:rsidRPr="000F7E56" w:rsidRDefault="000F7E56" w:rsidP="000F7E56">
      <w:pPr>
        <w:autoSpaceDE w:val="0"/>
        <w:autoSpaceDN w:val="0"/>
        <w:adjustRightInd w:val="0"/>
        <w:spacing w:after="0" w:line="240" w:lineRule="auto"/>
        <w:ind w:left="360"/>
        <w:rPr>
          <w:rFonts w:cstheme="minorHAnsi"/>
          <w:sz w:val="24"/>
          <w:szCs w:val="24"/>
        </w:rPr>
      </w:pPr>
    </w:p>
    <w:p w14:paraId="13F5E160" w14:textId="77777777" w:rsidR="000F7E56" w:rsidRPr="000F7E56" w:rsidRDefault="000F7E56" w:rsidP="000F7E56">
      <w:pPr>
        <w:autoSpaceDE w:val="0"/>
        <w:autoSpaceDN w:val="0"/>
        <w:adjustRightInd w:val="0"/>
        <w:spacing w:after="0" w:line="240" w:lineRule="auto"/>
        <w:ind w:left="360"/>
        <w:rPr>
          <w:rFonts w:cstheme="minorHAnsi"/>
          <w:sz w:val="24"/>
          <w:szCs w:val="24"/>
        </w:rPr>
      </w:pPr>
    </w:p>
    <w:p w14:paraId="5AD3DCB7" w14:textId="77777777" w:rsidR="000F7E56" w:rsidRPr="000F7E56" w:rsidRDefault="000F7E56" w:rsidP="000F7E56">
      <w:pPr>
        <w:autoSpaceDE w:val="0"/>
        <w:autoSpaceDN w:val="0"/>
        <w:adjustRightInd w:val="0"/>
        <w:spacing w:after="0" w:line="240" w:lineRule="auto"/>
        <w:ind w:left="360"/>
        <w:rPr>
          <w:rFonts w:cstheme="minorHAnsi"/>
          <w:sz w:val="24"/>
          <w:szCs w:val="24"/>
        </w:rPr>
      </w:pPr>
    </w:p>
    <w:p w14:paraId="0CC74534" w14:textId="77777777" w:rsidR="000F7E56" w:rsidRPr="000F7E56" w:rsidRDefault="000F7E56" w:rsidP="000F7E56">
      <w:pPr>
        <w:autoSpaceDE w:val="0"/>
        <w:autoSpaceDN w:val="0"/>
        <w:adjustRightInd w:val="0"/>
        <w:spacing w:after="0" w:line="240" w:lineRule="auto"/>
        <w:ind w:left="360"/>
        <w:rPr>
          <w:rFonts w:cstheme="minorHAnsi"/>
          <w:sz w:val="24"/>
          <w:szCs w:val="24"/>
        </w:rPr>
      </w:pPr>
    </w:p>
    <w:p w14:paraId="53B6A4DF" w14:textId="77777777" w:rsidR="000F7E56" w:rsidRPr="000F7E56" w:rsidRDefault="000F7E56" w:rsidP="000F7E56">
      <w:pPr>
        <w:autoSpaceDE w:val="0"/>
        <w:autoSpaceDN w:val="0"/>
        <w:adjustRightInd w:val="0"/>
        <w:spacing w:after="0" w:line="240" w:lineRule="auto"/>
        <w:ind w:left="360"/>
        <w:rPr>
          <w:rFonts w:cstheme="minorHAnsi"/>
          <w:sz w:val="24"/>
          <w:szCs w:val="24"/>
        </w:rPr>
      </w:pPr>
    </w:p>
    <w:p w14:paraId="20DFD5B5" w14:textId="77777777" w:rsidR="000F7E56" w:rsidRPr="000F7E56" w:rsidRDefault="000F7E56" w:rsidP="000F7E56">
      <w:pPr>
        <w:autoSpaceDE w:val="0"/>
        <w:autoSpaceDN w:val="0"/>
        <w:adjustRightInd w:val="0"/>
        <w:spacing w:after="0" w:line="240" w:lineRule="auto"/>
        <w:ind w:left="360"/>
        <w:rPr>
          <w:rFonts w:cstheme="minorHAnsi"/>
          <w:sz w:val="24"/>
          <w:szCs w:val="24"/>
        </w:rPr>
      </w:pPr>
    </w:p>
    <w:p w14:paraId="46163A4C" w14:textId="77777777" w:rsidR="000F7E56" w:rsidRPr="000F7E56" w:rsidRDefault="000F7E56" w:rsidP="000F7E56">
      <w:pPr>
        <w:autoSpaceDE w:val="0"/>
        <w:autoSpaceDN w:val="0"/>
        <w:adjustRightInd w:val="0"/>
        <w:spacing w:after="0" w:line="240" w:lineRule="auto"/>
        <w:ind w:left="360"/>
        <w:rPr>
          <w:rFonts w:cstheme="minorHAnsi"/>
          <w:sz w:val="24"/>
          <w:szCs w:val="24"/>
        </w:rPr>
      </w:pPr>
    </w:p>
    <w:p w14:paraId="5DC762A1" w14:textId="77777777" w:rsidR="000F7E56" w:rsidRPr="000F7E56" w:rsidRDefault="000F7E56" w:rsidP="000F7E56">
      <w:pPr>
        <w:autoSpaceDE w:val="0"/>
        <w:autoSpaceDN w:val="0"/>
        <w:adjustRightInd w:val="0"/>
        <w:spacing w:after="0" w:line="240" w:lineRule="auto"/>
        <w:ind w:left="360"/>
        <w:rPr>
          <w:rFonts w:cstheme="minorHAnsi"/>
          <w:sz w:val="24"/>
          <w:szCs w:val="24"/>
        </w:rPr>
      </w:pPr>
    </w:p>
    <w:p w14:paraId="451F9F57" w14:textId="77777777" w:rsidR="000F7E56" w:rsidRPr="000F7E56" w:rsidRDefault="000F7E56" w:rsidP="000F7E56">
      <w:pPr>
        <w:autoSpaceDE w:val="0"/>
        <w:autoSpaceDN w:val="0"/>
        <w:adjustRightInd w:val="0"/>
        <w:spacing w:after="0" w:line="240" w:lineRule="auto"/>
        <w:ind w:left="360"/>
        <w:rPr>
          <w:rFonts w:cstheme="minorHAnsi"/>
          <w:sz w:val="24"/>
          <w:szCs w:val="24"/>
        </w:rPr>
      </w:pPr>
    </w:p>
    <w:p w14:paraId="6930B92D" w14:textId="77777777" w:rsidR="000F7E56" w:rsidRPr="000F7E56" w:rsidRDefault="000F7E56" w:rsidP="000F7E56">
      <w:pPr>
        <w:autoSpaceDE w:val="0"/>
        <w:autoSpaceDN w:val="0"/>
        <w:adjustRightInd w:val="0"/>
        <w:spacing w:after="0" w:line="240" w:lineRule="auto"/>
        <w:ind w:left="360"/>
        <w:rPr>
          <w:rFonts w:cstheme="minorHAnsi"/>
          <w:sz w:val="24"/>
          <w:szCs w:val="24"/>
        </w:rPr>
      </w:pPr>
    </w:p>
    <w:p w14:paraId="0D3CD4C2" w14:textId="77777777" w:rsidR="000F7E56" w:rsidRPr="000F7E56" w:rsidRDefault="000F7E56" w:rsidP="000F7E56">
      <w:pPr>
        <w:autoSpaceDE w:val="0"/>
        <w:autoSpaceDN w:val="0"/>
        <w:adjustRightInd w:val="0"/>
        <w:spacing w:after="0" w:line="240" w:lineRule="auto"/>
        <w:ind w:left="360"/>
        <w:rPr>
          <w:rFonts w:cstheme="minorHAnsi"/>
          <w:sz w:val="24"/>
          <w:szCs w:val="24"/>
        </w:rPr>
      </w:pPr>
    </w:p>
    <w:p w14:paraId="71BACF0B" w14:textId="77777777" w:rsidR="000F7E56" w:rsidRPr="000F7E56" w:rsidRDefault="000F7E56" w:rsidP="000F7E56">
      <w:pPr>
        <w:autoSpaceDE w:val="0"/>
        <w:autoSpaceDN w:val="0"/>
        <w:adjustRightInd w:val="0"/>
        <w:spacing w:after="0" w:line="240" w:lineRule="auto"/>
        <w:ind w:left="360"/>
        <w:rPr>
          <w:rFonts w:cstheme="minorHAnsi"/>
          <w:sz w:val="24"/>
          <w:szCs w:val="24"/>
        </w:rPr>
      </w:pPr>
    </w:p>
    <w:p w14:paraId="26A5DE85" w14:textId="77777777" w:rsidR="000F7E56" w:rsidRPr="000F7E56" w:rsidRDefault="000F7E56" w:rsidP="000F7E56">
      <w:pPr>
        <w:autoSpaceDE w:val="0"/>
        <w:autoSpaceDN w:val="0"/>
        <w:adjustRightInd w:val="0"/>
        <w:spacing w:after="0" w:line="240" w:lineRule="auto"/>
        <w:ind w:left="360"/>
        <w:rPr>
          <w:rFonts w:cstheme="minorHAnsi"/>
          <w:sz w:val="24"/>
          <w:szCs w:val="24"/>
        </w:rPr>
      </w:pPr>
    </w:p>
    <w:p w14:paraId="4456622B" w14:textId="77777777" w:rsidR="000F7E56" w:rsidRPr="000F7E56" w:rsidRDefault="000F7E56" w:rsidP="000F7E56">
      <w:pPr>
        <w:autoSpaceDE w:val="0"/>
        <w:autoSpaceDN w:val="0"/>
        <w:adjustRightInd w:val="0"/>
        <w:spacing w:after="0" w:line="240" w:lineRule="auto"/>
        <w:ind w:left="360"/>
        <w:rPr>
          <w:rFonts w:cstheme="minorHAnsi"/>
        </w:rPr>
      </w:pPr>
    </w:p>
    <w:p w14:paraId="4100DAE5" w14:textId="77777777" w:rsidR="000F7E56" w:rsidRPr="000F7E56" w:rsidRDefault="000F7E56" w:rsidP="000F7E56">
      <w:pPr>
        <w:spacing w:after="120" w:line="360" w:lineRule="auto"/>
        <w:ind w:left="720"/>
        <w:contextualSpacing/>
        <w:rPr>
          <w:rFonts w:cstheme="minorHAnsi"/>
        </w:rPr>
      </w:pPr>
    </w:p>
    <w:p w14:paraId="58DA63C6" w14:textId="77777777" w:rsidR="000F7E56" w:rsidRPr="000F7E56" w:rsidRDefault="000F7E56" w:rsidP="000F7E56">
      <w:pPr>
        <w:spacing w:after="120" w:line="360" w:lineRule="auto"/>
        <w:ind w:left="720"/>
        <w:contextualSpacing/>
        <w:rPr>
          <w:rFonts w:cstheme="minorHAnsi"/>
        </w:rPr>
      </w:pPr>
    </w:p>
    <w:p w14:paraId="4D3281F0" w14:textId="77777777" w:rsidR="000F7E56" w:rsidRPr="000F7E56" w:rsidRDefault="000F7E56" w:rsidP="000F7E56">
      <w:pPr>
        <w:spacing w:after="120" w:line="360" w:lineRule="auto"/>
        <w:ind w:left="720"/>
        <w:contextualSpacing/>
        <w:rPr>
          <w:rFonts w:cstheme="minorHAnsi"/>
          <w:iCs/>
        </w:rPr>
      </w:pPr>
    </w:p>
    <w:p w14:paraId="25AFBA51" w14:textId="43151945" w:rsidR="000F7E56" w:rsidRPr="000F7E56" w:rsidRDefault="000F7E56" w:rsidP="000F7E56">
      <w:pPr>
        <w:spacing w:after="120" w:line="360" w:lineRule="auto"/>
        <w:ind w:left="720"/>
        <w:contextualSpacing/>
        <w:rPr>
          <w:rFonts w:cstheme="minorHAnsi"/>
          <w:iCs/>
        </w:rPr>
      </w:pPr>
      <w:bookmarkStart w:id="218" w:name="_Toc106701721"/>
      <w:r w:rsidRPr="000F7E56">
        <w:rPr>
          <w:rFonts w:cstheme="minorHAnsi"/>
          <w:iCs/>
        </w:rPr>
        <w:t xml:space="preserve">Box </w:t>
      </w:r>
      <w:r w:rsidRPr="000F7E56">
        <w:rPr>
          <w:rFonts w:cstheme="minorHAnsi"/>
          <w:iCs/>
        </w:rPr>
        <w:fldChar w:fldCharType="begin"/>
      </w:r>
      <w:r w:rsidRPr="000F7E56">
        <w:rPr>
          <w:rFonts w:cstheme="minorHAnsi"/>
          <w:iCs/>
        </w:rPr>
        <w:instrText xml:space="preserve"> SEQ Box \* ARABIC </w:instrText>
      </w:r>
      <w:r w:rsidRPr="000F7E56">
        <w:rPr>
          <w:rFonts w:cstheme="minorHAnsi"/>
          <w:iCs/>
        </w:rPr>
        <w:fldChar w:fldCharType="separate"/>
      </w:r>
      <w:r w:rsidR="002E1980">
        <w:rPr>
          <w:rFonts w:cstheme="minorHAnsi"/>
          <w:iCs/>
          <w:noProof/>
        </w:rPr>
        <w:t>1</w:t>
      </w:r>
      <w:r w:rsidRPr="000F7E56">
        <w:rPr>
          <w:rFonts w:cstheme="minorHAnsi"/>
        </w:rPr>
        <w:fldChar w:fldCharType="end"/>
      </w:r>
      <w:r w:rsidRPr="000F7E56">
        <w:rPr>
          <w:rFonts w:cstheme="minorHAnsi"/>
          <w:iCs/>
        </w:rPr>
        <w:t xml:space="preserve"> - Analysis activity using verbatim excerpt from Work Stream 1 data</w:t>
      </w:r>
      <w:bookmarkEnd w:id="218"/>
    </w:p>
    <w:p w14:paraId="618B7F01" w14:textId="77777777" w:rsidR="000F7E56" w:rsidRPr="000F7E56" w:rsidRDefault="000F7E56" w:rsidP="000F7E56">
      <w:pPr>
        <w:spacing w:after="120" w:line="360" w:lineRule="auto"/>
        <w:ind w:left="720"/>
        <w:contextualSpacing/>
        <w:rPr>
          <w:rFonts w:cstheme="minorHAnsi"/>
        </w:rPr>
      </w:pPr>
    </w:p>
    <w:p w14:paraId="3F943170" w14:textId="77777777" w:rsidR="000F7E56" w:rsidRPr="000F7E56" w:rsidRDefault="000F7E56" w:rsidP="000F7E56">
      <w:pPr>
        <w:spacing w:after="120" w:line="360" w:lineRule="auto"/>
        <w:ind w:left="720"/>
        <w:contextualSpacing/>
        <w:rPr>
          <w:rFonts w:cstheme="minorHAnsi"/>
        </w:rPr>
      </w:pPr>
    </w:p>
    <w:p w14:paraId="33397AFE" w14:textId="77777777" w:rsidR="000F7E56" w:rsidRPr="000F7E56" w:rsidRDefault="000F7E56" w:rsidP="000F7E56">
      <w:pPr>
        <w:spacing w:after="120" w:line="360" w:lineRule="auto"/>
        <w:rPr>
          <w:rFonts w:cstheme="minorHAnsi"/>
        </w:rPr>
      </w:pPr>
      <w:r w:rsidRPr="000F7E56">
        <w:rPr>
          <w:rFonts w:cstheme="minorHAnsi"/>
        </w:rPr>
        <w:lastRenderedPageBreak/>
        <w:t xml:space="preserve">Discussion with the PCBR group on the above activity was very fruitful in identifying a number of themes which contributed to answering our research questions regarding enablers and barriers to thinking ahead about treatments towards end-of-life.  In particular they talked of ‘taboos’ in talking of death in their own communities and the terminology around death and dying that was either helpful or problematic.  Discussion also included how people bring to bear their own ‘superstitions’ and beliefs that influence their degree of willingness to engage in talk about illness, treatment and possible health deterioration and indeed to engage in medical treatments at certain times and in certain ways. This directly informed the ideas that we went on to unpack further in our analysis and in our eventual write-up of findings. </w:t>
      </w:r>
    </w:p>
    <w:p w14:paraId="3F302BEE" w14:textId="77777777" w:rsidR="000F7E56" w:rsidRPr="000F7E56" w:rsidRDefault="00A662A8" w:rsidP="000F7E56">
      <w:pPr>
        <w:keepNext/>
        <w:keepLines/>
        <w:spacing w:before="40" w:after="0" w:line="360" w:lineRule="auto"/>
        <w:outlineLvl w:val="1"/>
        <w:rPr>
          <w:rFonts w:asciiTheme="majorHAnsi" w:eastAsiaTheme="majorEastAsia" w:hAnsiTheme="majorHAnsi" w:cstheme="majorBidi"/>
          <w:color w:val="2F5496" w:themeColor="accent1" w:themeShade="BF"/>
          <w:sz w:val="24"/>
          <w:szCs w:val="24"/>
        </w:rPr>
      </w:pPr>
      <w:bookmarkStart w:id="219" w:name="_Toc89665174"/>
      <w:bookmarkStart w:id="220" w:name="_Toc89671926"/>
      <w:bookmarkStart w:id="221" w:name="_Toc89763976"/>
      <w:bookmarkStart w:id="222" w:name="_Toc106697805"/>
      <w:r>
        <w:rPr>
          <w:rFonts w:asciiTheme="majorHAnsi" w:eastAsiaTheme="majorEastAsia" w:hAnsiTheme="majorHAnsi" w:cstheme="majorBidi"/>
          <w:color w:val="2F5496" w:themeColor="accent1" w:themeShade="BF"/>
          <w:sz w:val="24"/>
          <w:szCs w:val="24"/>
        </w:rPr>
        <w:t>Work Stream 3:</w:t>
      </w:r>
      <w:r w:rsidR="000F7E56" w:rsidRPr="000F7E56">
        <w:rPr>
          <w:rFonts w:asciiTheme="majorHAnsi" w:eastAsiaTheme="majorEastAsia" w:hAnsiTheme="majorHAnsi" w:cstheme="majorBidi"/>
          <w:color w:val="2F5496" w:themeColor="accent1" w:themeShade="BF"/>
          <w:sz w:val="24"/>
          <w:szCs w:val="24"/>
        </w:rPr>
        <w:t xml:space="preserve"> Development of narratives and workbooks</w:t>
      </w:r>
      <w:bookmarkEnd w:id="219"/>
      <w:bookmarkEnd w:id="220"/>
      <w:bookmarkEnd w:id="221"/>
      <w:bookmarkEnd w:id="222"/>
      <w:r w:rsidR="000F7E56" w:rsidRPr="000F7E56">
        <w:rPr>
          <w:rFonts w:asciiTheme="majorHAnsi" w:eastAsiaTheme="majorEastAsia" w:hAnsiTheme="majorHAnsi" w:cstheme="majorBidi"/>
          <w:color w:val="2F5496" w:themeColor="accent1" w:themeShade="BF"/>
          <w:sz w:val="24"/>
          <w:szCs w:val="24"/>
        </w:rPr>
        <w:t xml:space="preserve"> </w:t>
      </w:r>
    </w:p>
    <w:p w14:paraId="36121224" w14:textId="77777777" w:rsidR="000F7E56" w:rsidRPr="000F7E56" w:rsidRDefault="000F7E56" w:rsidP="000F7E56">
      <w:pPr>
        <w:spacing w:after="120" w:line="360" w:lineRule="auto"/>
        <w:rPr>
          <w:b/>
        </w:rPr>
      </w:pPr>
      <w:r w:rsidRPr="000F7E56">
        <w:t xml:space="preserve">The PCBR group provided considerable input into the production of materials for WS3. The group commented on both the narratives we had developed for discussion in the workshops and the questions that were to be asked of workshop participants; again, bringing diverse personal insights to the discussion and use of the study’s findings. </w:t>
      </w:r>
    </w:p>
    <w:p w14:paraId="6E4ED042" w14:textId="77777777" w:rsidR="000F7E56" w:rsidRPr="000F7E56" w:rsidRDefault="000F7E56" w:rsidP="000F7E56">
      <w:pPr>
        <w:keepNext/>
        <w:keepLines/>
        <w:spacing w:before="40" w:after="0" w:line="360" w:lineRule="auto"/>
        <w:outlineLvl w:val="1"/>
        <w:rPr>
          <w:rFonts w:asciiTheme="majorHAnsi" w:eastAsiaTheme="majorEastAsia" w:hAnsiTheme="majorHAnsi" w:cstheme="majorBidi"/>
          <w:color w:val="2F5496" w:themeColor="accent1" w:themeShade="BF"/>
          <w:sz w:val="24"/>
          <w:szCs w:val="24"/>
        </w:rPr>
      </w:pPr>
      <w:bookmarkStart w:id="223" w:name="_Toc89665175"/>
      <w:bookmarkStart w:id="224" w:name="_Toc89671927"/>
      <w:bookmarkStart w:id="225" w:name="_Toc89763977"/>
      <w:bookmarkStart w:id="226" w:name="_Toc106697806"/>
      <w:r w:rsidRPr="000F7E56">
        <w:rPr>
          <w:rFonts w:asciiTheme="majorHAnsi" w:eastAsiaTheme="majorEastAsia" w:hAnsiTheme="majorHAnsi" w:cstheme="majorBidi"/>
          <w:color w:val="2F5496" w:themeColor="accent1" w:themeShade="BF"/>
          <w:sz w:val="24"/>
          <w:szCs w:val="24"/>
        </w:rPr>
        <w:t>Providing additional cultural contextualisation for all aspects of the study.</w:t>
      </w:r>
      <w:bookmarkEnd w:id="223"/>
      <w:bookmarkEnd w:id="224"/>
      <w:bookmarkEnd w:id="225"/>
      <w:bookmarkEnd w:id="226"/>
    </w:p>
    <w:p w14:paraId="6098645E" w14:textId="77777777" w:rsidR="000F7E56" w:rsidRPr="000F7E56" w:rsidRDefault="000F7E56" w:rsidP="000F7E56">
      <w:pPr>
        <w:spacing w:after="120" w:line="360" w:lineRule="auto"/>
        <w:rPr>
          <w:rFonts w:cstheme="minorHAnsi"/>
        </w:rPr>
      </w:pPr>
      <w:r w:rsidRPr="000F7E56">
        <w:rPr>
          <w:rFonts w:cstheme="minorHAnsi"/>
        </w:rPr>
        <w:t xml:space="preserve">PCBR members were very forthcoming in adding their own experiences and understandings that were rooted in their varying faiths, for example talking about particular observances in their faith that would directly impact whether and how they would wish to receive treatment. They displayed frankness and candour in talking about being for example a Hindu accessing the hospital system, about the food they would need to have and whether they would actually avoid certain days/dates for treatment in accordance with their faith. Or for example, being a Muslim and considering the sensitive issue of maintaining modesty whilst providing personal care.  These insights added to our appreciation of the diverse lens through which we needed to scrutinise the data and the sensitivity with which we report it.  </w:t>
      </w:r>
    </w:p>
    <w:p w14:paraId="514F55AB" w14:textId="77777777" w:rsidR="000F7E56" w:rsidRPr="000F7E56" w:rsidRDefault="000F7E56" w:rsidP="000F7E56">
      <w:pPr>
        <w:keepNext/>
        <w:keepLines/>
        <w:spacing w:before="40" w:after="0" w:line="360" w:lineRule="auto"/>
        <w:outlineLvl w:val="1"/>
        <w:rPr>
          <w:rFonts w:asciiTheme="majorHAnsi" w:eastAsiaTheme="majorEastAsia" w:hAnsiTheme="majorHAnsi" w:cstheme="majorBidi"/>
          <w:b/>
          <w:color w:val="2F5496" w:themeColor="accent1" w:themeShade="BF"/>
          <w:sz w:val="24"/>
          <w:szCs w:val="24"/>
        </w:rPr>
      </w:pPr>
      <w:bookmarkStart w:id="227" w:name="_Toc89665176"/>
      <w:bookmarkStart w:id="228" w:name="_Toc89671928"/>
      <w:bookmarkStart w:id="229" w:name="_Toc89763978"/>
      <w:bookmarkStart w:id="230" w:name="_Toc106697807"/>
      <w:r w:rsidRPr="000F7E56">
        <w:rPr>
          <w:rFonts w:asciiTheme="majorHAnsi" w:eastAsiaTheme="majorEastAsia" w:hAnsiTheme="majorHAnsi" w:cstheme="majorBidi"/>
          <w:color w:val="2F5496" w:themeColor="accent1" w:themeShade="BF"/>
          <w:sz w:val="24"/>
          <w:szCs w:val="24"/>
        </w:rPr>
        <w:t>Community engagement, recruitment, dissemination and outputs</w:t>
      </w:r>
      <w:bookmarkEnd w:id="227"/>
      <w:bookmarkEnd w:id="228"/>
      <w:bookmarkEnd w:id="229"/>
      <w:bookmarkEnd w:id="230"/>
    </w:p>
    <w:p w14:paraId="6B96740F" w14:textId="77777777" w:rsidR="000F7E56" w:rsidRPr="000F7E56" w:rsidRDefault="000F7E56" w:rsidP="000F7E56">
      <w:pPr>
        <w:spacing w:after="120" w:line="360" w:lineRule="auto"/>
        <w:rPr>
          <w:b/>
        </w:rPr>
      </w:pPr>
      <w:r w:rsidRPr="000F7E56">
        <w:t xml:space="preserve">Our PCBR group enabled appropriate and sensitive recruitment throughout local ED communities and via small world networks.  This laid excellent groundwork for the subsequent dissemination of findings and project impact. </w:t>
      </w:r>
    </w:p>
    <w:p w14:paraId="05EF55B8" w14:textId="77777777" w:rsidR="000F7E56" w:rsidRPr="000F7E56" w:rsidRDefault="000F7E56" w:rsidP="000F7E56">
      <w:pPr>
        <w:spacing w:after="120" w:line="360" w:lineRule="auto"/>
        <w:rPr>
          <w:b/>
        </w:rPr>
      </w:pPr>
      <w:r w:rsidRPr="000F7E56">
        <w:t xml:space="preserve">IM connected us to potential participants through his community and personal networks. A lay representative on the Study Steering Committee (SSC) also supported us in the same way.  IM helped to organize a Community Presentation and Open Evening at City Retreat in Leicester on the 29th of September 2019. This enabled a group of community members, faith and community leaders from a variety of faiths to discuss end-of-life care in a familiar space, and enabled the team to present the project and make requests for support for the project (particularly with WS3 in mind). IM also presented a Ramadan Special show on EAVA FM 102.5FM a local Leicester community radio station in June 2019. Here both the CI </w:t>
      </w:r>
      <w:r w:rsidRPr="000F7E56">
        <w:lastRenderedPageBreak/>
        <w:t>and PI were invited to come and discuss the study. This allowed the team to raise awareness of the study and palliative care services. IM also arranged and took part in radio shows alongside a PCBR member and the research team from 5</w:t>
      </w:r>
      <w:r w:rsidRPr="000F7E56">
        <w:rPr>
          <w:vertAlign w:val="superscript"/>
        </w:rPr>
        <w:t>th</w:t>
      </w:r>
      <w:r w:rsidRPr="000F7E56">
        <w:t xml:space="preserve"> to July 2021 on EAVA FM 102.5FM. The shows were entitled LOROS Takeover week ‘Let’s Talk!-Opening the Conversation about End-of-life’. The detail and content of these is further discussed in Chapter 8. </w:t>
      </w:r>
    </w:p>
    <w:p w14:paraId="49B82778" w14:textId="0FE1AAEB" w:rsidR="000F7E56" w:rsidRPr="000F7E56" w:rsidRDefault="000F7E56" w:rsidP="000F7E56">
      <w:pPr>
        <w:spacing w:after="120" w:line="360" w:lineRule="auto"/>
        <w:rPr>
          <w:b/>
        </w:rPr>
      </w:pPr>
      <w:r w:rsidRPr="000F7E56">
        <w:t>One of the PCBR members (GS) was also employed on the study as a Community Network Liaison worker between the 6th July and 15</w:t>
      </w:r>
      <w:r w:rsidRPr="000F7E56">
        <w:rPr>
          <w:vertAlign w:val="superscript"/>
        </w:rPr>
        <w:t>th</w:t>
      </w:r>
      <w:r w:rsidRPr="000F7E56">
        <w:t xml:space="preserve"> September 2021. GS was able to use her community links and language skills to undertake a number of events with ED groups to discuss study findings and gain an understanding of how we can make services and EOLCP more accessible, appropriate and acceptable for all. This is discussed further in Chapter 8.   </w:t>
      </w:r>
    </w:p>
    <w:p w14:paraId="38CF0634" w14:textId="77777777" w:rsidR="000F7E56" w:rsidRPr="000F7E56" w:rsidRDefault="000F7E56" w:rsidP="000F7E56">
      <w:pPr>
        <w:spacing w:after="120" w:line="360" w:lineRule="auto"/>
        <w:rPr>
          <w:b/>
        </w:rPr>
      </w:pPr>
      <w:r w:rsidRPr="000F7E56">
        <w:t>IM and PCBR members also agreed to be the readers for stories in the audio recordings which are to be used as part of the educational resource (see Chapter 8)</w:t>
      </w:r>
      <w:r w:rsidRPr="000F7E56">
        <w:rPr>
          <w:rFonts w:asciiTheme="majorHAnsi" w:hAnsiTheme="majorHAnsi" w:cstheme="majorBidi"/>
          <w:color w:val="2F5496" w:themeColor="accent1" w:themeShade="BF"/>
          <w:sz w:val="26"/>
          <w:szCs w:val="26"/>
        </w:rPr>
        <w:t xml:space="preserve"> </w:t>
      </w:r>
    </w:p>
    <w:p w14:paraId="792DCA09" w14:textId="77777777" w:rsidR="000F7E56" w:rsidRPr="000F7E56" w:rsidRDefault="000F7E56" w:rsidP="000F7E56">
      <w:pPr>
        <w:keepNext/>
        <w:keepLines/>
        <w:spacing w:before="40" w:after="0" w:line="360" w:lineRule="auto"/>
        <w:outlineLvl w:val="1"/>
        <w:rPr>
          <w:rFonts w:asciiTheme="majorHAnsi" w:eastAsiaTheme="majorEastAsia" w:hAnsiTheme="majorHAnsi" w:cstheme="majorBidi"/>
          <w:color w:val="2F5496" w:themeColor="accent1" w:themeShade="BF"/>
          <w:sz w:val="24"/>
          <w:szCs w:val="24"/>
        </w:rPr>
      </w:pPr>
      <w:bookmarkStart w:id="231" w:name="_Toc89665177"/>
      <w:bookmarkStart w:id="232" w:name="_Toc89671929"/>
      <w:bookmarkStart w:id="233" w:name="_Toc89763979"/>
      <w:bookmarkStart w:id="234" w:name="_Toc106697808"/>
      <w:r w:rsidRPr="000F7E56">
        <w:rPr>
          <w:rFonts w:asciiTheme="majorHAnsi" w:eastAsiaTheme="majorEastAsia" w:hAnsiTheme="majorHAnsi" w:cstheme="majorBidi"/>
          <w:color w:val="2F5496" w:themeColor="accent1" w:themeShade="BF"/>
          <w:sz w:val="24"/>
          <w:szCs w:val="24"/>
        </w:rPr>
        <w:t>Final report and future research</w:t>
      </w:r>
      <w:bookmarkEnd w:id="231"/>
      <w:bookmarkEnd w:id="232"/>
      <w:bookmarkEnd w:id="233"/>
      <w:bookmarkEnd w:id="234"/>
    </w:p>
    <w:p w14:paraId="6CACB09B" w14:textId="77777777" w:rsidR="000F7E56" w:rsidRPr="000F7E56" w:rsidRDefault="000F7E56" w:rsidP="000F7E56">
      <w:pPr>
        <w:spacing w:after="120" w:line="360" w:lineRule="auto"/>
        <w:rPr>
          <w:rFonts w:cstheme="minorHAnsi"/>
        </w:rPr>
      </w:pPr>
      <w:r w:rsidRPr="000F7E56">
        <w:rPr>
          <w:rFonts w:cstheme="minorHAnsi"/>
        </w:rPr>
        <w:t xml:space="preserve">The PCBR have commented on aspects of clarity in this report and provided reassurance about the depth of detail included in reporting the study findings. In many discussions they have identified priority areas for further research. </w:t>
      </w:r>
    </w:p>
    <w:p w14:paraId="38001588" w14:textId="77777777" w:rsidR="000F7E56" w:rsidRPr="000F7E56" w:rsidRDefault="000F7E56" w:rsidP="000F7E56">
      <w:pPr>
        <w:spacing w:after="120" w:line="360" w:lineRule="auto"/>
        <w:contextualSpacing/>
        <w:rPr>
          <w:rFonts w:cstheme="minorHAnsi"/>
        </w:rPr>
      </w:pPr>
      <w:r w:rsidRPr="000F7E56">
        <w:rPr>
          <w:rFonts w:cstheme="minorHAnsi"/>
        </w:rPr>
        <w:t xml:space="preserve">Our PPI lead and PCBR members also supported development of a follow-on study proposal (they advised on title and abstract) which was submitted for Health Foundation Funding in September 2020 but unsuccessful. This proposal aims to understand and improve the quality and experience of end-of-life care for ED patients  and their families in the crisis situation of COVID-19 by addressing the following research questions: 1) What are the barriers and enablers to engaging in End-of-life care (EOLC) discussions with ED patients and their family in the context of COVID-19 and 2) How has EOLC been addressed for those from ED people who have experienced COVID-19 and with their family? </w:t>
      </w:r>
    </w:p>
    <w:bookmarkEnd w:id="198"/>
    <w:p w14:paraId="7646D98B" w14:textId="77777777" w:rsidR="000F7E56" w:rsidRPr="000F7E56" w:rsidRDefault="000F7E56" w:rsidP="000F7E56">
      <w:r w:rsidRPr="000F7E56">
        <w:br w:type="page"/>
      </w:r>
    </w:p>
    <w:p w14:paraId="1714B338" w14:textId="77777777" w:rsidR="000F7E56" w:rsidRPr="000F7E56" w:rsidRDefault="000F7E56" w:rsidP="000F7E56">
      <w:pPr>
        <w:keepNext/>
        <w:keepLines/>
        <w:spacing w:before="240" w:after="120" w:line="240" w:lineRule="auto"/>
        <w:jc w:val="center"/>
        <w:outlineLvl w:val="0"/>
        <w:rPr>
          <w:rFonts w:ascii="Calibri Light" w:eastAsia="Times New Roman" w:hAnsi="Calibri Light" w:cs="Times New Roman"/>
          <w:color w:val="2E74B5"/>
          <w:sz w:val="56"/>
          <w:szCs w:val="56"/>
        </w:rPr>
      </w:pPr>
      <w:bookmarkStart w:id="235" w:name="_Toc89665178"/>
      <w:bookmarkStart w:id="236" w:name="_Toc89671930"/>
      <w:bookmarkStart w:id="237" w:name="_Toc89763980"/>
      <w:bookmarkStart w:id="238" w:name="_Toc106697809"/>
      <w:r w:rsidRPr="000F7E56">
        <w:rPr>
          <w:rFonts w:ascii="Calibri Light" w:eastAsia="Times New Roman" w:hAnsi="Calibri Light" w:cs="Times New Roman"/>
          <w:color w:val="2E74B5"/>
          <w:sz w:val="56"/>
          <w:szCs w:val="56"/>
        </w:rPr>
        <w:lastRenderedPageBreak/>
        <w:t>Chapter 4: Participant Recruitment and Demographics</w:t>
      </w:r>
      <w:bookmarkEnd w:id="235"/>
      <w:bookmarkEnd w:id="236"/>
      <w:bookmarkEnd w:id="237"/>
      <w:bookmarkEnd w:id="238"/>
    </w:p>
    <w:p w14:paraId="102C196E" w14:textId="77777777" w:rsidR="000F7E56" w:rsidRPr="000F7E56" w:rsidRDefault="000F7E56" w:rsidP="000F7E56">
      <w:pPr>
        <w:tabs>
          <w:tab w:val="left" w:pos="4092"/>
          <w:tab w:val="center" w:pos="6979"/>
        </w:tabs>
        <w:spacing w:after="80" w:line="240" w:lineRule="auto"/>
        <w:rPr>
          <w:rFonts w:ascii="Calibri" w:eastAsia="Calibri" w:hAnsi="Calibri" w:cs="Times New Roman"/>
          <w:b/>
          <w:sz w:val="32"/>
          <w:szCs w:val="32"/>
        </w:rPr>
      </w:pPr>
    </w:p>
    <w:p w14:paraId="006C593C" w14:textId="77777777" w:rsidR="00966DB7" w:rsidRPr="00966DB7" w:rsidRDefault="000F7E56" w:rsidP="00137BB7">
      <w:pPr>
        <w:tabs>
          <w:tab w:val="left" w:pos="4092"/>
          <w:tab w:val="center" w:pos="6979"/>
        </w:tabs>
        <w:spacing w:after="120" w:line="360" w:lineRule="auto"/>
        <w:rPr>
          <w:rFonts w:ascii="Calibri" w:eastAsia="Calibri" w:hAnsi="Calibri" w:cs="Times New Roman"/>
        </w:rPr>
      </w:pPr>
      <w:r w:rsidRPr="00966DB7">
        <w:rPr>
          <w:rFonts w:ascii="Calibri" w:eastAsia="Calibri" w:hAnsi="Calibri" w:cs="Times New Roman"/>
        </w:rPr>
        <w:t xml:space="preserve">This chapter presents further information about the recruitment of participants in the three Work Streams of the study. Details about participants’ key demographics and the composition of case studies for WS1 are also presented. </w:t>
      </w:r>
      <w:bookmarkStart w:id="239" w:name="_Toc89665179"/>
      <w:bookmarkStart w:id="240" w:name="_Toc89671931"/>
      <w:bookmarkStart w:id="241" w:name="_Toc89763981"/>
    </w:p>
    <w:p w14:paraId="06D83947" w14:textId="5F66A8F3" w:rsidR="000F7E56" w:rsidRPr="00966DB7" w:rsidRDefault="00137BB7" w:rsidP="00966DB7">
      <w:pPr>
        <w:pStyle w:val="Heading2"/>
        <w:rPr>
          <w:rFonts w:eastAsia="Times New Roman"/>
          <w:sz w:val="24"/>
          <w:szCs w:val="24"/>
        </w:rPr>
      </w:pPr>
      <w:bookmarkStart w:id="242" w:name="_Toc106697810"/>
      <w:r w:rsidRPr="00966DB7">
        <w:rPr>
          <w:rFonts w:eastAsia="Times New Roman"/>
          <w:sz w:val="24"/>
          <w:szCs w:val="24"/>
        </w:rPr>
        <w:t>Work Stream 1:</w:t>
      </w:r>
      <w:r w:rsidR="000F7E56" w:rsidRPr="00966DB7">
        <w:rPr>
          <w:rFonts w:eastAsia="Times New Roman"/>
          <w:sz w:val="24"/>
          <w:szCs w:val="24"/>
        </w:rPr>
        <w:t xml:space="preserve"> Patient centred case studies</w:t>
      </w:r>
      <w:bookmarkEnd w:id="239"/>
      <w:bookmarkEnd w:id="240"/>
      <w:bookmarkEnd w:id="241"/>
      <w:bookmarkEnd w:id="242"/>
    </w:p>
    <w:p w14:paraId="301A01A1" w14:textId="253D2327" w:rsidR="000F7E56" w:rsidRPr="000F7E56" w:rsidRDefault="000F7E56" w:rsidP="000F7E56">
      <w:pPr>
        <w:spacing w:after="120" w:line="360" w:lineRule="auto"/>
        <w:rPr>
          <w:rFonts w:ascii="Calibri" w:eastAsia="Calibri" w:hAnsi="Calibri" w:cs="Times New Roman"/>
        </w:rPr>
      </w:pPr>
      <w:r w:rsidRPr="000F7E56">
        <w:rPr>
          <w:rFonts w:ascii="Calibri" w:eastAsia="Calibri" w:hAnsi="Calibri" w:cs="Times New Roman"/>
        </w:rPr>
        <w:t xml:space="preserve">Eighteen case studies were completed over 14 months between the end of February 2019 to </w:t>
      </w:r>
      <w:r w:rsidR="00966DB7">
        <w:rPr>
          <w:rFonts w:ascii="Calibri" w:eastAsia="Calibri" w:hAnsi="Calibri" w:cs="Times New Roman"/>
        </w:rPr>
        <w:t xml:space="preserve">the </w:t>
      </w:r>
      <w:r w:rsidRPr="000F7E56">
        <w:rPr>
          <w:rFonts w:ascii="Calibri" w:eastAsia="Calibri" w:hAnsi="Calibri" w:cs="Times New Roman"/>
        </w:rPr>
        <w:t>end of April 2020. Figure 3 describes the cumulative recruitment showing when each case study was initiated by recruitment of a patient and when case studies reached completion. As discussed in Chapter 2 the length of time taken to complete each case study was up to 6 months. Before the start of the COVID-19 pandemic we had recruited 18 of the maximum plan of 20 cases and further recruitment stopped at this time point.  Although after the national lock down in March 20</w:t>
      </w:r>
      <w:r w:rsidR="000734D6">
        <w:rPr>
          <w:rFonts w:ascii="Calibri" w:eastAsia="Calibri" w:hAnsi="Calibri" w:cs="Times New Roman"/>
        </w:rPr>
        <w:t>20</w:t>
      </w:r>
      <w:r w:rsidRPr="000F7E56">
        <w:rPr>
          <w:rFonts w:ascii="Calibri" w:eastAsia="Calibri" w:hAnsi="Calibri" w:cs="Times New Roman"/>
        </w:rPr>
        <w:t xml:space="preserve"> some interviews did take place with the generosity of participants already recruited, the decision was made not to undertake any more interviews with HCPs. </w:t>
      </w:r>
    </w:p>
    <w:p w14:paraId="70BD571A" w14:textId="77777777" w:rsidR="000F7E56" w:rsidRPr="000F7E56" w:rsidRDefault="000F7E56" w:rsidP="000F7E56">
      <w:pPr>
        <w:spacing w:before="120" w:after="0" w:line="360" w:lineRule="auto"/>
        <w:jc w:val="both"/>
        <w:rPr>
          <w:rFonts w:ascii="Calibri" w:eastAsia="Calibri" w:hAnsi="Calibri" w:cs="Times New Roman"/>
        </w:rPr>
      </w:pPr>
      <w:r w:rsidRPr="000F7E56">
        <w:rPr>
          <w:rFonts w:ascii="Calibri" w:eastAsia="Calibri" w:hAnsi="Calibri" w:cs="Times New Roman"/>
          <w:noProof/>
        </w:rPr>
        <w:drawing>
          <wp:inline distT="0" distB="0" distL="0" distR="0" wp14:anchorId="7CE3FD1A" wp14:editId="5171CC8D">
            <wp:extent cx="6610350" cy="3295650"/>
            <wp:effectExtent l="0" t="0" r="0" b="0"/>
            <wp:docPr id="4" name="Chart 4">
              <a:extLst xmlns:a="http://schemas.openxmlformats.org/drawingml/2006/main">
                <a:ext uri="{FF2B5EF4-FFF2-40B4-BE49-F238E27FC236}">
                  <a16:creationId xmlns:a16="http://schemas.microsoft.com/office/drawing/2014/main" id="{F982AB43-2C85-469B-BD5C-FCF0787AC763}"/>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14:paraId="2AC36394" w14:textId="77777777" w:rsidR="000F7E56" w:rsidRPr="000F7E56" w:rsidRDefault="000F7E56" w:rsidP="000F7E56">
      <w:pPr>
        <w:keepNext/>
        <w:spacing w:after="200" w:line="240" w:lineRule="auto"/>
        <w:jc w:val="both"/>
        <w:rPr>
          <w:rFonts w:cstheme="minorHAnsi"/>
          <w:iCs/>
          <w:color w:val="44546A" w:themeColor="text2"/>
        </w:rPr>
      </w:pPr>
      <w:bookmarkStart w:id="243" w:name="_Toc89684723"/>
      <w:bookmarkStart w:id="244" w:name="_Toc89966701"/>
      <w:bookmarkStart w:id="245" w:name="_Toc90545002"/>
      <w:r w:rsidRPr="000F7E56">
        <w:rPr>
          <w:rFonts w:cstheme="minorHAnsi"/>
          <w:iCs/>
          <w:color w:val="44546A" w:themeColor="text2"/>
        </w:rPr>
        <w:t xml:space="preserve">FIGURE </w:t>
      </w:r>
      <w:r w:rsidRPr="000F7E56">
        <w:rPr>
          <w:rFonts w:cstheme="minorHAnsi"/>
          <w:iCs/>
          <w:color w:val="44546A" w:themeColor="text2"/>
        </w:rPr>
        <w:fldChar w:fldCharType="begin"/>
      </w:r>
      <w:r w:rsidRPr="000F7E56">
        <w:rPr>
          <w:rFonts w:cstheme="minorHAnsi"/>
          <w:iCs/>
          <w:color w:val="44546A" w:themeColor="text2"/>
        </w:rPr>
        <w:instrText xml:space="preserve"> SEQ Figure \* ARABIC </w:instrText>
      </w:r>
      <w:r w:rsidRPr="000F7E56">
        <w:rPr>
          <w:rFonts w:cstheme="minorHAnsi"/>
          <w:iCs/>
          <w:color w:val="44546A" w:themeColor="text2"/>
        </w:rPr>
        <w:fldChar w:fldCharType="separate"/>
      </w:r>
      <w:r w:rsidRPr="000F7E56">
        <w:rPr>
          <w:rFonts w:cstheme="minorHAnsi"/>
          <w:iCs/>
          <w:noProof/>
          <w:color w:val="44546A" w:themeColor="text2"/>
        </w:rPr>
        <w:t>3</w:t>
      </w:r>
      <w:r w:rsidRPr="000F7E56">
        <w:rPr>
          <w:rFonts w:cstheme="minorHAnsi"/>
          <w:iCs/>
          <w:noProof/>
          <w:color w:val="44546A" w:themeColor="text2"/>
        </w:rPr>
        <w:fldChar w:fldCharType="end"/>
      </w:r>
      <w:r w:rsidRPr="000F7E56">
        <w:rPr>
          <w:rFonts w:cstheme="minorHAnsi"/>
          <w:iCs/>
          <w:noProof/>
          <w:color w:val="44546A" w:themeColor="text2"/>
        </w:rPr>
        <w:t xml:space="preserve"> -</w:t>
      </w:r>
      <w:r w:rsidRPr="000F7E56">
        <w:rPr>
          <w:rFonts w:cstheme="minorHAnsi"/>
          <w:iCs/>
          <w:color w:val="44546A" w:themeColor="text2"/>
        </w:rPr>
        <w:t xml:space="preserve"> Cumulative case study commencement and completion</w:t>
      </w:r>
      <w:bookmarkEnd w:id="243"/>
      <w:bookmarkEnd w:id="244"/>
      <w:bookmarkEnd w:id="245"/>
    </w:p>
    <w:p w14:paraId="24CFE43B" w14:textId="77777777" w:rsidR="000F7E56" w:rsidRPr="000F7E56" w:rsidRDefault="000F7E56" w:rsidP="000F7E56"/>
    <w:p w14:paraId="56737F81" w14:textId="77777777" w:rsidR="000F7E56" w:rsidRPr="000F7E56" w:rsidRDefault="000F7E56" w:rsidP="000F7E56">
      <w:pPr>
        <w:spacing w:after="120" w:line="360" w:lineRule="auto"/>
        <w:rPr>
          <w:rFonts w:ascii="Calibri" w:eastAsia="Calibri" w:hAnsi="Calibri" w:cs="Times New Roman"/>
        </w:rPr>
      </w:pPr>
      <w:r w:rsidRPr="000F7E56">
        <w:rPr>
          <w:rFonts w:ascii="Calibri" w:eastAsia="Calibri" w:hAnsi="Calibri" w:cs="Times New Roman"/>
        </w:rPr>
        <w:lastRenderedPageBreak/>
        <w:t xml:space="preserve">Each of the patients in the cases were given pseudonyms beginning with ‘C’ and the details of the composition of each of the 18 case studies, including the number of interviews completed with each participant, are described in Table 1. </w:t>
      </w:r>
    </w:p>
    <w:p w14:paraId="27EF4A10" w14:textId="77777777" w:rsidR="000F7E56" w:rsidRPr="000F7E56" w:rsidRDefault="000F7E56" w:rsidP="000F7E56">
      <w:pPr>
        <w:spacing w:after="120" w:line="360" w:lineRule="auto"/>
        <w:rPr>
          <w:rFonts w:ascii="Calibri" w:eastAsia="Calibri" w:hAnsi="Calibri" w:cs="Times New Roman"/>
        </w:rPr>
      </w:pPr>
      <w:r w:rsidRPr="000F7E56">
        <w:rPr>
          <w:rFonts w:ascii="Calibri" w:eastAsia="Calibri" w:hAnsi="Calibri" w:cs="Times New Roman"/>
        </w:rPr>
        <w:t xml:space="preserve">Sixteen cases involved patient participants and seven of these 16 cases comprised interviews with patients, their FCGs and their HCP’s. Three of these 16 cases comprised interviews just with patients and their HCP and six out of the 16 cases were composed of interviews with patients and their FCGs. Two case studies did not include interviews with the patient, but comprised interviews with two FCGs and an HCP. In these two cases the research team discussed with the FCG the provisions of the Mental Capacity Act (MCA) 2005 with regards to research and identified with the FCG whether their relative had appointed an attorney for Health and Welfare or had a Court Appointed Deputy. In these two cases the FCG agreed to be the consultee for the study.    </w:t>
      </w:r>
    </w:p>
    <w:p w14:paraId="21F90542" w14:textId="77777777" w:rsidR="000F7E56" w:rsidRPr="000F7E56" w:rsidRDefault="000F7E56" w:rsidP="000F7E56">
      <w:pPr>
        <w:spacing w:after="120" w:line="360" w:lineRule="auto"/>
        <w:rPr>
          <w:rFonts w:ascii="Calibri" w:eastAsia="Calibri" w:hAnsi="Calibri" w:cs="Times New Roman"/>
        </w:rPr>
      </w:pPr>
      <w:r w:rsidRPr="000F7E56">
        <w:rPr>
          <w:rFonts w:ascii="Calibri" w:eastAsia="Calibri" w:hAnsi="Calibri" w:cs="Times New Roman"/>
        </w:rPr>
        <w:t xml:space="preserve">Four patients died during the time they were recruited. We were able to carry out post bereavement interviews with two FCGs from the same case.   </w:t>
      </w:r>
    </w:p>
    <w:p w14:paraId="694B665A" w14:textId="77777777" w:rsidR="000F7E56" w:rsidRPr="000F7E56" w:rsidRDefault="000F7E56" w:rsidP="000F7E56">
      <w:pPr>
        <w:spacing w:after="120" w:line="360" w:lineRule="auto"/>
        <w:rPr>
          <w:rFonts w:ascii="Calibri" w:eastAsia="Calibri" w:hAnsi="Calibri" w:cs="Times New Roman"/>
        </w:rPr>
      </w:pPr>
      <w:r w:rsidRPr="000F7E56">
        <w:rPr>
          <w:rFonts w:ascii="Calibri" w:eastAsia="Calibri" w:hAnsi="Calibri" w:cs="Times New Roman"/>
        </w:rPr>
        <w:t xml:space="preserve">We interviewed an HCP nominated by 11 patients all of whom were nurses. We were able to review the medical notes of 13 patient participants.  </w:t>
      </w:r>
    </w:p>
    <w:p w14:paraId="0CA27F70" w14:textId="77777777" w:rsidR="000F7E56" w:rsidRPr="000F7E56" w:rsidRDefault="000F7E56" w:rsidP="000F7E56">
      <w:pPr>
        <w:spacing w:before="120" w:after="0" w:line="360" w:lineRule="auto"/>
        <w:jc w:val="both"/>
        <w:rPr>
          <w:rFonts w:ascii="Calibri" w:eastAsia="Calibri" w:hAnsi="Calibri" w:cs="Times New Roman"/>
        </w:rPr>
      </w:pPr>
      <w:r w:rsidRPr="000F7E56">
        <w:rPr>
          <w:rFonts w:ascii="Calibri" w:eastAsia="Calibri" w:hAnsi="Calibri" w:cs="Times New Roman"/>
        </w:rPr>
        <w:t>A total of 93 interviews were conducted.</w:t>
      </w:r>
    </w:p>
    <w:p w14:paraId="50FF9F03" w14:textId="77777777" w:rsidR="000F7E56" w:rsidRPr="000F7E56" w:rsidRDefault="000F7E56" w:rsidP="000F7E56">
      <w:pPr>
        <w:spacing w:after="0" w:line="240" w:lineRule="auto"/>
        <w:jc w:val="both"/>
        <w:rPr>
          <w:rFonts w:ascii="Calibri" w:eastAsia="Calibri" w:hAnsi="Calibri" w:cs="Times New Roman"/>
        </w:rPr>
      </w:pPr>
    </w:p>
    <w:tbl>
      <w:tblPr>
        <w:tblStyle w:val="TableGrid"/>
        <w:tblW w:w="10632" w:type="dxa"/>
        <w:tblInd w:w="-147" w:type="dxa"/>
        <w:tblLook w:val="04A0" w:firstRow="1" w:lastRow="0" w:firstColumn="1" w:lastColumn="0" w:noHBand="0" w:noVBand="1"/>
      </w:tblPr>
      <w:tblGrid>
        <w:gridCol w:w="2155"/>
        <w:gridCol w:w="878"/>
        <w:gridCol w:w="1178"/>
        <w:gridCol w:w="1065"/>
        <w:gridCol w:w="4141"/>
        <w:gridCol w:w="1215"/>
      </w:tblGrid>
      <w:tr w:rsidR="000F7E56" w:rsidRPr="000F7E56" w14:paraId="7C108350" w14:textId="77777777" w:rsidTr="000F7E56">
        <w:tc>
          <w:tcPr>
            <w:tcW w:w="2209" w:type="dxa"/>
          </w:tcPr>
          <w:p w14:paraId="7984202F" w14:textId="77777777" w:rsidR="000F7E56" w:rsidRPr="000F7E56" w:rsidRDefault="000F7E56" w:rsidP="000F7E56">
            <w:pPr>
              <w:rPr>
                <w:rFonts w:ascii="Calibri" w:eastAsia="Calibri" w:hAnsi="Calibri" w:cs="Times New Roman"/>
                <w:b/>
              </w:rPr>
            </w:pPr>
            <w:bookmarkStart w:id="246" w:name="_Hlk89941962"/>
            <w:r w:rsidRPr="000F7E56">
              <w:rPr>
                <w:rFonts w:ascii="Calibri" w:eastAsia="Calibri" w:hAnsi="Calibri" w:cs="Times New Roman"/>
                <w:b/>
              </w:rPr>
              <w:t>Pseudonyms</w:t>
            </w:r>
          </w:p>
        </w:tc>
        <w:tc>
          <w:tcPr>
            <w:tcW w:w="3196" w:type="dxa"/>
            <w:gridSpan w:val="3"/>
          </w:tcPr>
          <w:p w14:paraId="5CD3B311" w14:textId="77777777" w:rsidR="000F7E56" w:rsidRPr="000F7E56" w:rsidRDefault="000F7E56" w:rsidP="000F7E56">
            <w:pPr>
              <w:rPr>
                <w:rFonts w:ascii="Calibri" w:eastAsia="Calibri" w:hAnsi="Calibri" w:cs="Times New Roman"/>
                <w:b/>
              </w:rPr>
            </w:pPr>
            <w:r w:rsidRPr="000F7E56">
              <w:rPr>
                <w:rFonts w:ascii="Calibri" w:eastAsia="Calibri" w:hAnsi="Calibri" w:cs="Times New Roman"/>
                <w:b/>
              </w:rPr>
              <w:t>Interviews</w:t>
            </w:r>
          </w:p>
        </w:tc>
        <w:tc>
          <w:tcPr>
            <w:tcW w:w="4329" w:type="dxa"/>
          </w:tcPr>
          <w:p w14:paraId="40898717" w14:textId="77777777" w:rsidR="000F7E56" w:rsidRPr="000F7E56" w:rsidRDefault="000F7E56" w:rsidP="000F7E56">
            <w:pPr>
              <w:rPr>
                <w:rFonts w:ascii="Calibri" w:eastAsia="Calibri" w:hAnsi="Calibri" w:cs="Times New Roman"/>
                <w:b/>
              </w:rPr>
            </w:pPr>
            <w:r w:rsidRPr="000F7E56">
              <w:rPr>
                <w:rFonts w:ascii="Calibri" w:eastAsia="Calibri" w:hAnsi="Calibri" w:cs="Times New Roman"/>
                <w:b/>
              </w:rPr>
              <w:t>Case Details</w:t>
            </w:r>
          </w:p>
        </w:tc>
        <w:tc>
          <w:tcPr>
            <w:tcW w:w="898" w:type="dxa"/>
          </w:tcPr>
          <w:p w14:paraId="7710571E" w14:textId="77777777" w:rsidR="000F7E56" w:rsidRPr="000F7E56" w:rsidRDefault="000F7E56" w:rsidP="000F7E56">
            <w:pPr>
              <w:rPr>
                <w:rFonts w:ascii="Calibri" w:eastAsia="Calibri" w:hAnsi="Calibri" w:cs="Times New Roman"/>
                <w:b/>
              </w:rPr>
            </w:pPr>
            <w:r w:rsidRPr="000F7E56">
              <w:rPr>
                <w:rFonts w:ascii="Calibri" w:eastAsia="Calibri" w:hAnsi="Calibri" w:cs="Times New Roman"/>
                <w:b/>
              </w:rPr>
              <w:t xml:space="preserve">Medical Notes </w:t>
            </w:r>
          </w:p>
          <w:p w14:paraId="48EB0AF7" w14:textId="77777777" w:rsidR="000F7E56" w:rsidRPr="000F7E56" w:rsidRDefault="000F7E56" w:rsidP="000F7E56">
            <w:pPr>
              <w:rPr>
                <w:rFonts w:ascii="Calibri" w:eastAsia="Calibri" w:hAnsi="Calibri" w:cs="Times New Roman"/>
                <w:b/>
              </w:rPr>
            </w:pPr>
            <w:r w:rsidRPr="000F7E56">
              <w:rPr>
                <w:rFonts w:ascii="Calibri" w:eastAsia="Calibri" w:hAnsi="Calibri" w:cs="Times New Roman"/>
                <w:b/>
              </w:rPr>
              <w:t>Reviewed?</w:t>
            </w:r>
          </w:p>
        </w:tc>
      </w:tr>
      <w:tr w:rsidR="000F7E56" w:rsidRPr="000F7E56" w14:paraId="795118F1" w14:textId="77777777" w:rsidTr="000F7E56">
        <w:tc>
          <w:tcPr>
            <w:tcW w:w="2209" w:type="dxa"/>
          </w:tcPr>
          <w:p w14:paraId="208A8F3F" w14:textId="77777777" w:rsidR="000F7E56" w:rsidRPr="000F7E56" w:rsidRDefault="000F7E56" w:rsidP="000F7E56">
            <w:pPr>
              <w:rPr>
                <w:rFonts w:ascii="Calibri" w:eastAsia="Calibri" w:hAnsi="Calibri" w:cs="Times New Roman"/>
              </w:rPr>
            </w:pPr>
          </w:p>
        </w:tc>
        <w:tc>
          <w:tcPr>
            <w:tcW w:w="878" w:type="dxa"/>
          </w:tcPr>
          <w:p w14:paraId="7EA62F09" w14:textId="77777777" w:rsidR="000F7E56" w:rsidRPr="000F7E56" w:rsidRDefault="000F7E56" w:rsidP="000F7E56">
            <w:pPr>
              <w:rPr>
                <w:rFonts w:ascii="Calibri" w:eastAsia="Calibri" w:hAnsi="Calibri" w:cs="Times New Roman"/>
                <w:b/>
              </w:rPr>
            </w:pPr>
            <w:r w:rsidRPr="000F7E56">
              <w:rPr>
                <w:rFonts w:ascii="Calibri" w:eastAsia="Calibri" w:hAnsi="Calibri" w:cs="Times New Roman"/>
                <w:b/>
              </w:rPr>
              <w:t>Patient</w:t>
            </w:r>
          </w:p>
        </w:tc>
        <w:tc>
          <w:tcPr>
            <w:tcW w:w="1220" w:type="dxa"/>
          </w:tcPr>
          <w:p w14:paraId="48677397" w14:textId="77777777" w:rsidR="000F7E56" w:rsidRPr="000F7E56" w:rsidRDefault="000F7E56" w:rsidP="000F7E56">
            <w:pPr>
              <w:rPr>
                <w:rFonts w:ascii="Calibri" w:eastAsia="Calibri" w:hAnsi="Calibri" w:cs="Times New Roman"/>
                <w:b/>
              </w:rPr>
            </w:pPr>
            <w:r w:rsidRPr="000F7E56">
              <w:rPr>
                <w:rFonts w:ascii="Calibri" w:eastAsia="Calibri" w:hAnsi="Calibri" w:cs="Times New Roman"/>
                <w:b/>
              </w:rPr>
              <w:t>FCG (1) (2)</w:t>
            </w:r>
          </w:p>
        </w:tc>
        <w:tc>
          <w:tcPr>
            <w:tcW w:w="1098" w:type="dxa"/>
          </w:tcPr>
          <w:p w14:paraId="43CA437E" w14:textId="77777777" w:rsidR="000F7E56" w:rsidRPr="000F7E56" w:rsidRDefault="000F7E56" w:rsidP="000F7E56">
            <w:pPr>
              <w:rPr>
                <w:rFonts w:ascii="Calibri" w:eastAsia="Calibri" w:hAnsi="Calibri" w:cs="Times New Roman"/>
                <w:b/>
              </w:rPr>
            </w:pPr>
            <w:r w:rsidRPr="000F7E56">
              <w:rPr>
                <w:rFonts w:ascii="Calibri" w:eastAsia="Calibri" w:hAnsi="Calibri" w:cs="Times New Roman"/>
                <w:b/>
              </w:rPr>
              <w:t>HCP</w:t>
            </w:r>
          </w:p>
        </w:tc>
        <w:tc>
          <w:tcPr>
            <w:tcW w:w="4329" w:type="dxa"/>
          </w:tcPr>
          <w:p w14:paraId="418C183B" w14:textId="77777777" w:rsidR="000F7E56" w:rsidRPr="000F7E56" w:rsidRDefault="000F7E56" w:rsidP="000F7E56">
            <w:pPr>
              <w:rPr>
                <w:rFonts w:ascii="Calibri" w:eastAsia="Calibri" w:hAnsi="Calibri" w:cs="Times New Roman"/>
              </w:rPr>
            </w:pPr>
          </w:p>
        </w:tc>
        <w:tc>
          <w:tcPr>
            <w:tcW w:w="898" w:type="dxa"/>
          </w:tcPr>
          <w:p w14:paraId="368A7902" w14:textId="77777777" w:rsidR="000F7E56" w:rsidRPr="000F7E56" w:rsidRDefault="000F7E56" w:rsidP="000F7E56">
            <w:pPr>
              <w:rPr>
                <w:rFonts w:ascii="Calibri" w:eastAsia="Calibri" w:hAnsi="Calibri" w:cs="Times New Roman"/>
              </w:rPr>
            </w:pPr>
          </w:p>
        </w:tc>
      </w:tr>
      <w:tr w:rsidR="000F7E56" w:rsidRPr="000F7E56" w14:paraId="7419C7FE" w14:textId="77777777" w:rsidTr="000F7E56">
        <w:tc>
          <w:tcPr>
            <w:tcW w:w="2209" w:type="dxa"/>
          </w:tcPr>
          <w:p w14:paraId="3736BFE0" w14:textId="77777777" w:rsidR="000F7E56" w:rsidRPr="000F7E56" w:rsidRDefault="000F7E56" w:rsidP="000F7E56">
            <w:pPr>
              <w:rPr>
                <w:rFonts w:ascii="Calibri" w:eastAsia="Calibri" w:hAnsi="Calibri" w:cs="Times New Roman"/>
              </w:rPr>
            </w:pPr>
            <w:r w:rsidRPr="000F7E56">
              <w:rPr>
                <w:rFonts w:ascii="Calibri" w:eastAsia="Calibri" w:hAnsi="Calibri" w:cs="Times New Roman"/>
              </w:rPr>
              <w:t>Mrs Caprice</w:t>
            </w:r>
          </w:p>
        </w:tc>
        <w:tc>
          <w:tcPr>
            <w:tcW w:w="878" w:type="dxa"/>
          </w:tcPr>
          <w:p w14:paraId="4A6BC49F" w14:textId="77777777" w:rsidR="000F7E56" w:rsidRPr="000F7E56" w:rsidRDefault="000F7E56" w:rsidP="000F7E56">
            <w:pPr>
              <w:rPr>
                <w:rFonts w:ascii="Calibri" w:eastAsia="Calibri" w:hAnsi="Calibri" w:cs="Times New Roman"/>
              </w:rPr>
            </w:pPr>
            <w:r w:rsidRPr="000F7E56">
              <w:rPr>
                <w:rFonts w:ascii="Calibri" w:eastAsia="Calibri" w:hAnsi="Calibri" w:cs="Times New Roman"/>
              </w:rPr>
              <w:t>3</w:t>
            </w:r>
          </w:p>
        </w:tc>
        <w:tc>
          <w:tcPr>
            <w:tcW w:w="1220" w:type="dxa"/>
          </w:tcPr>
          <w:p w14:paraId="2362F635" w14:textId="77777777" w:rsidR="000F7E56" w:rsidRPr="000F7E56" w:rsidRDefault="000F7E56" w:rsidP="000F7E56">
            <w:pPr>
              <w:rPr>
                <w:rFonts w:ascii="Calibri" w:eastAsia="Calibri" w:hAnsi="Calibri" w:cs="Times New Roman"/>
              </w:rPr>
            </w:pPr>
            <w:r w:rsidRPr="000F7E56">
              <w:rPr>
                <w:rFonts w:ascii="Calibri" w:eastAsia="Calibri" w:hAnsi="Calibri" w:cs="Times New Roman"/>
              </w:rPr>
              <w:t>3</w:t>
            </w:r>
          </w:p>
        </w:tc>
        <w:tc>
          <w:tcPr>
            <w:tcW w:w="1098" w:type="dxa"/>
          </w:tcPr>
          <w:p w14:paraId="268C1F0E" w14:textId="77777777" w:rsidR="000F7E56" w:rsidRPr="000F7E56" w:rsidRDefault="000F7E56" w:rsidP="000F7E56">
            <w:pPr>
              <w:rPr>
                <w:rFonts w:ascii="Calibri" w:eastAsia="Calibri" w:hAnsi="Calibri" w:cs="Times New Roman"/>
              </w:rPr>
            </w:pPr>
            <w:r w:rsidRPr="000F7E56">
              <w:rPr>
                <w:rFonts w:ascii="Calibri" w:eastAsia="Calibri" w:hAnsi="Calibri" w:cs="Times New Roman"/>
              </w:rPr>
              <w:t>2</w:t>
            </w:r>
          </w:p>
        </w:tc>
        <w:tc>
          <w:tcPr>
            <w:tcW w:w="4329" w:type="dxa"/>
          </w:tcPr>
          <w:p w14:paraId="689020B8" w14:textId="77777777" w:rsidR="000F7E56" w:rsidRPr="000F7E56" w:rsidRDefault="000F7E56" w:rsidP="000F7E56">
            <w:pPr>
              <w:rPr>
                <w:rFonts w:ascii="Calibri" w:eastAsia="Calibri" w:hAnsi="Calibri" w:cs="Times New Roman"/>
              </w:rPr>
            </w:pPr>
            <w:r w:rsidRPr="000F7E56">
              <w:rPr>
                <w:rFonts w:ascii="Calibri" w:eastAsia="Calibri" w:hAnsi="Calibri" w:cs="Times New Roman"/>
              </w:rPr>
              <w:t>Case complete Sept. 2019HCP: specialist Palliative Care nurse</w:t>
            </w:r>
          </w:p>
          <w:p w14:paraId="7C441B5E" w14:textId="77777777" w:rsidR="000F7E56" w:rsidRPr="000F7E56" w:rsidRDefault="000F7E56" w:rsidP="000F7E56">
            <w:pPr>
              <w:rPr>
                <w:rFonts w:ascii="Calibri" w:eastAsia="Calibri" w:hAnsi="Calibri" w:cs="Times New Roman"/>
              </w:rPr>
            </w:pPr>
            <w:r w:rsidRPr="000F7E56">
              <w:rPr>
                <w:rFonts w:ascii="Calibri" w:eastAsia="Calibri" w:hAnsi="Calibri" w:cs="Times New Roman"/>
              </w:rPr>
              <w:t>FCG: husband</w:t>
            </w:r>
          </w:p>
        </w:tc>
        <w:tc>
          <w:tcPr>
            <w:tcW w:w="898" w:type="dxa"/>
          </w:tcPr>
          <w:p w14:paraId="5BDACDE6" w14:textId="77777777" w:rsidR="000F7E56" w:rsidRPr="000F7E56" w:rsidRDefault="000F7E56" w:rsidP="000F7E56">
            <w:pPr>
              <w:rPr>
                <w:rFonts w:ascii="Calibri" w:eastAsia="Calibri" w:hAnsi="Calibri" w:cs="Times New Roman"/>
              </w:rPr>
            </w:pPr>
            <w:r w:rsidRPr="000F7E56">
              <w:rPr>
                <w:rFonts w:ascii="Calibri" w:eastAsia="Calibri" w:hAnsi="Calibri" w:cs="Times New Roman"/>
              </w:rPr>
              <w:t>Y</w:t>
            </w:r>
          </w:p>
        </w:tc>
      </w:tr>
      <w:tr w:rsidR="000F7E56" w:rsidRPr="000F7E56" w14:paraId="22E828DE" w14:textId="77777777" w:rsidTr="000F7E56">
        <w:trPr>
          <w:trHeight w:val="946"/>
        </w:trPr>
        <w:tc>
          <w:tcPr>
            <w:tcW w:w="2209" w:type="dxa"/>
          </w:tcPr>
          <w:p w14:paraId="1C1A5A81" w14:textId="77777777" w:rsidR="000F7E56" w:rsidRPr="000F7E56" w:rsidRDefault="000F7E56" w:rsidP="000F7E56">
            <w:pPr>
              <w:rPr>
                <w:rFonts w:ascii="Calibri" w:eastAsia="Calibri" w:hAnsi="Calibri" w:cs="Times New Roman"/>
              </w:rPr>
            </w:pPr>
            <w:r w:rsidRPr="000F7E56">
              <w:rPr>
                <w:rFonts w:ascii="Calibri" w:eastAsia="Calibri" w:hAnsi="Calibri" w:cs="Times New Roman"/>
              </w:rPr>
              <w:t>Mr Chahine</w:t>
            </w:r>
          </w:p>
        </w:tc>
        <w:tc>
          <w:tcPr>
            <w:tcW w:w="878" w:type="dxa"/>
          </w:tcPr>
          <w:p w14:paraId="3A0ECAD3" w14:textId="77777777" w:rsidR="000F7E56" w:rsidRPr="000F7E56" w:rsidRDefault="000F7E56" w:rsidP="000F7E56">
            <w:pPr>
              <w:rPr>
                <w:rFonts w:ascii="Calibri" w:eastAsia="Calibri" w:hAnsi="Calibri" w:cs="Times New Roman"/>
              </w:rPr>
            </w:pPr>
            <w:r w:rsidRPr="000F7E56">
              <w:rPr>
                <w:rFonts w:ascii="Calibri" w:eastAsia="Calibri" w:hAnsi="Calibri" w:cs="Times New Roman"/>
              </w:rPr>
              <w:t>3</w:t>
            </w:r>
          </w:p>
        </w:tc>
        <w:tc>
          <w:tcPr>
            <w:tcW w:w="1220" w:type="dxa"/>
          </w:tcPr>
          <w:p w14:paraId="6487D0D3" w14:textId="77777777" w:rsidR="000F7E56" w:rsidRPr="000F7E56" w:rsidRDefault="000F7E56" w:rsidP="000F7E56">
            <w:pPr>
              <w:rPr>
                <w:rFonts w:ascii="Calibri" w:eastAsia="Calibri" w:hAnsi="Calibri" w:cs="Times New Roman"/>
              </w:rPr>
            </w:pPr>
            <w:r w:rsidRPr="000F7E56">
              <w:rPr>
                <w:rFonts w:ascii="Calibri" w:eastAsia="Calibri" w:hAnsi="Calibri" w:cs="Times New Roman"/>
              </w:rPr>
              <w:t>(1)3</w:t>
            </w:r>
          </w:p>
          <w:p w14:paraId="49631621" w14:textId="77777777" w:rsidR="000F7E56" w:rsidRPr="000F7E56" w:rsidRDefault="000F7E56" w:rsidP="000F7E56">
            <w:pPr>
              <w:rPr>
                <w:rFonts w:ascii="Calibri" w:eastAsia="Calibri" w:hAnsi="Calibri" w:cs="Times New Roman"/>
              </w:rPr>
            </w:pPr>
            <w:r w:rsidRPr="000F7E56">
              <w:rPr>
                <w:rFonts w:ascii="Calibri" w:eastAsia="Calibri" w:hAnsi="Calibri" w:cs="Times New Roman"/>
              </w:rPr>
              <w:t>(2)3</w:t>
            </w:r>
          </w:p>
        </w:tc>
        <w:tc>
          <w:tcPr>
            <w:tcW w:w="1098" w:type="dxa"/>
          </w:tcPr>
          <w:p w14:paraId="7954C3E8" w14:textId="77777777" w:rsidR="000F7E56" w:rsidRPr="000F7E56" w:rsidRDefault="000F7E56" w:rsidP="000F7E56">
            <w:pPr>
              <w:rPr>
                <w:rFonts w:ascii="Calibri" w:eastAsia="Calibri" w:hAnsi="Calibri" w:cs="Times New Roman"/>
              </w:rPr>
            </w:pPr>
            <w:r w:rsidRPr="000F7E56">
              <w:rPr>
                <w:rFonts w:ascii="Calibri" w:eastAsia="Calibri" w:hAnsi="Calibri" w:cs="Times New Roman"/>
              </w:rPr>
              <w:t>2</w:t>
            </w:r>
          </w:p>
        </w:tc>
        <w:tc>
          <w:tcPr>
            <w:tcW w:w="4329" w:type="dxa"/>
          </w:tcPr>
          <w:p w14:paraId="43EC85E8" w14:textId="77777777" w:rsidR="000F7E56" w:rsidRPr="000F7E56" w:rsidRDefault="000F7E56" w:rsidP="000F7E56">
            <w:pPr>
              <w:rPr>
                <w:rFonts w:ascii="Calibri" w:eastAsia="Calibri" w:hAnsi="Calibri" w:cs="Times New Roman"/>
              </w:rPr>
            </w:pPr>
            <w:r w:rsidRPr="000F7E56">
              <w:rPr>
                <w:rFonts w:ascii="Calibri" w:eastAsia="Calibri" w:hAnsi="Calibri" w:cs="Times New Roman"/>
              </w:rPr>
              <w:t>Case complete Nov. 2019</w:t>
            </w:r>
          </w:p>
          <w:p w14:paraId="63D9DB0A" w14:textId="77777777" w:rsidR="000F7E56" w:rsidRPr="000F7E56" w:rsidRDefault="000F7E56" w:rsidP="000F7E56">
            <w:pPr>
              <w:rPr>
                <w:rFonts w:ascii="Calibri" w:eastAsia="Calibri" w:hAnsi="Calibri" w:cs="Times New Roman"/>
              </w:rPr>
            </w:pPr>
            <w:r w:rsidRPr="000F7E56">
              <w:rPr>
                <w:rFonts w:ascii="Calibri" w:eastAsia="Calibri" w:hAnsi="Calibri" w:cs="Times New Roman"/>
              </w:rPr>
              <w:t>HCP: Specialist MND nurse</w:t>
            </w:r>
          </w:p>
          <w:p w14:paraId="37B4EC98" w14:textId="77777777" w:rsidR="000F7E56" w:rsidRPr="000F7E56" w:rsidRDefault="000F7E56" w:rsidP="000F7E56">
            <w:pPr>
              <w:rPr>
                <w:rFonts w:ascii="Calibri" w:eastAsia="Calibri" w:hAnsi="Calibri" w:cs="Times New Roman"/>
              </w:rPr>
            </w:pPr>
            <w:r w:rsidRPr="000F7E56">
              <w:rPr>
                <w:rFonts w:ascii="Calibri" w:eastAsia="Calibri" w:hAnsi="Calibri" w:cs="Times New Roman"/>
              </w:rPr>
              <w:t>FCG1: wife. FCG2: son (adult)</w:t>
            </w:r>
          </w:p>
        </w:tc>
        <w:tc>
          <w:tcPr>
            <w:tcW w:w="898" w:type="dxa"/>
          </w:tcPr>
          <w:p w14:paraId="32E55484" w14:textId="77777777" w:rsidR="000F7E56" w:rsidRPr="000F7E56" w:rsidRDefault="000F7E56" w:rsidP="000F7E56">
            <w:pPr>
              <w:rPr>
                <w:rFonts w:ascii="Calibri" w:eastAsia="Calibri" w:hAnsi="Calibri" w:cs="Times New Roman"/>
              </w:rPr>
            </w:pPr>
            <w:r w:rsidRPr="000F7E56">
              <w:rPr>
                <w:rFonts w:ascii="Calibri" w:eastAsia="Calibri" w:hAnsi="Calibri" w:cs="Times New Roman"/>
              </w:rPr>
              <w:t>Y</w:t>
            </w:r>
          </w:p>
        </w:tc>
      </w:tr>
      <w:tr w:rsidR="000F7E56" w:rsidRPr="000F7E56" w14:paraId="2FC2BD16" w14:textId="77777777" w:rsidTr="000F7E56">
        <w:tc>
          <w:tcPr>
            <w:tcW w:w="2209" w:type="dxa"/>
          </w:tcPr>
          <w:p w14:paraId="3F74891E" w14:textId="77777777" w:rsidR="000F7E56" w:rsidRPr="000F7E56" w:rsidRDefault="000F7E56" w:rsidP="000F7E56">
            <w:pPr>
              <w:rPr>
                <w:rFonts w:ascii="Calibri" w:eastAsia="Calibri" w:hAnsi="Calibri" w:cs="Times New Roman"/>
              </w:rPr>
            </w:pPr>
            <w:r w:rsidRPr="000F7E56">
              <w:rPr>
                <w:rFonts w:ascii="Calibri" w:eastAsia="Calibri" w:hAnsi="Calibri" w:cs="Times New Roman"/>
              </w:rPr>
              <w:t xml:space="preserve">Mr </w:t>
            </w:r>
            <w:proofErr w:type="spellStart"/>
            <w:r w:rsidRPr="000F7E56">
              <w:rPr>
                <w:rFonts w:ascii="Calibri" w:eastAsia="Calibri" w:hAnsi="Calibri" w:cs="Times New Roman"/>
              </w:rPr>
              <w:t>Chaganti</w:t>
            </w:r>
            <w:proofErr w:type="spellEnd"/>
          </w:p>
        </w:tc>
        <w:tc>
          <w:tcPr>
            <w:tcW w:w="878" w:type="dxa"/>
          </w:tcPr>
          <w:p w14:paraId="74BD0DC6" w14:textId="77777777" w:rsidR="000F7E56" w:rsidRPr="000F7E56" w:rsidRDefault="000F7E56" w:rsidP="000F7E56">
            <w:pPr>
              <w:rPr>
                <w:rFonts w:ascii="Calibri" w:eastAsia="Calibri" w:hAnsi="Calibri" w:cs="Times New Roman"/>
              </w:rPr>
            </w:pPr>
            <w:r w:rsidRPr="000F7E56">
              <w:rPr>
                <w:rFonts w:ascii="Calibri" w:eastAsia="Calibri" w:hAnsi="Calibri" w:cs="Times New Roman"/>
              </w:rPr>
              <w:t>2</w:t>
            </w:r>
          </w:p>
        </w:tc>
        <w:tc>
          <w:tcPr>
            <w:tcW w:w="1220" w:type="dxa"/>
          </w:tcPr>
          <w:p w14:paraId="13C668E2" w14:textId="77777777" w:rsidR="000F7E56" w:rsidRPr="000F7E56" w:rsidRDefault="000F7E56" w:rsidP="000F7E56">
            <w:pPr>
              <w:rPr>
                <w:rFonts w:ascii="Calibri" w:eastAsia="Calibri" w:hAnsi="Calibri" w:cs="Times New Roman"/>
              </w:rPr>
            </w:pPr>
            <w:r w:rsidRPr="000F7E56">
              <w:rPr>
                <w:rFonts w:ascii="Calibri" w:eastAsia="Calibri" w:hAnsi="Calibri" w:cs="Times New Roman"/>
              </w:rPr>
              <w:t>2</w:t>
            </w:r>
          </w:p>
        </w:tc>
        <w:tc>
          <w:tcPr>
            <w:tcW w:w="1098" w:type="dxa"/>
          </w:tcPr>
          <w:p w14:paraId="3DB254A2" w14:textId="77777777" w:rsidR="000F7E56" w:rsidRPr="000F7E56" w:rsidRDefault="000F7E56" w:rsidP="000F7E56">
            <w:pPr>
              <w:rPr>
                <w:rFonts w:ascii="Calibri" w:eastAsia="Calibri" w:hAnsi="Calibri" w:cs="Times New Roman"/>
              </w:rPr>
            </w:pPr>
            <w:r w:rsidRPr="000F7E56">
              <w:rPr>
                <w:rFonts w:ascii="Calibri" w:eastAsia="Calibri" w:hAnsi="Calibri" w:cs="Times New Roman"/>
              </w:rPr>
              <w:t>1</w:t>
            </w:r>
          </w:p>
        </w:tc>
        <w:tc>
          <w:tcPr>
            <w:tcW w:w="4329" w:type="dxa"/>
          </w:tcPr>
          <w:p w14:paraId="7D659CF8" w14:textId="77777777" w:rsidR="000F7E56" w:rsidRPr="000F7E56" w:rsidRDefault="000F7E56" w:rsidP="000F7E56">
            <w:pPr>
              <w:rPr>
                <w:rFonts w:ascii="Calibri" w:eastAsia="Calibri" w:hAnsi="Calibri" w:cs="Times New Roman"/>
              </w:rPr>
            </w:pPr>
            <w:r w:rsidRPr="000F7E56">
              <w:rPr>
                <w:rFonts w:ascii="Calibri" w:eastAsia="Calibri" w:hAnsi="Calibri" w:cs="Times New Roman"/>
              </w:rPr>
              <w:t>Case complete Sept. 2019</w:t>
            </w:r>
          </w:p>
          <w:p w14:paraId="3E43D94B" w14:textId="77777777" w:rsidR="000F7E56" w:rsidRPr="000F7E56" w:rsidRDefault="000F7E56" w:rsidP="000F7E56">
            <w:pPr>
              <w:rPr>
                <w:rFonts w:ascii="Calibri" w:eastAsia="Calibri" w:hAnsi="Calibri" w:cs="Times New Roman"/>
              </w:rPr>
            </w:pPr>
            <w:r w:rsidRPr="000F7E56">
              <w:rPr>
                <w:rFonts w:ascii="Calibri" w:eastAsia="Calibri" w:hAnsi="Calibri" w:cs="Times New Roman"/>
              </w:rPr>
              <w:t>HCP: Specialist Cancer nurse</w:t>
            </w:r>
          </w:p>
          <w:p w14:paraId="4BF3EE2F" w14:textId="77777777" w:rsidR="000F7E56" w:rsidRPr="000F7E56" w:rsidRDefault="000F7E56" w:rsidP="000F7E56">
            <w:pPr>
              <w:rPr>
                <w:rFonts w:ascii="Calibri" w:eastAsia="Calibri" w:hAnsi="Calibri" w:cs="Times New Roman"/>
              </w:rPr>
            </w:pPr>
            <w:r w:rsidRPr="000F7E56">
              <w:rPr>
                <w:rFonts w:ascii="Calibri" w:eastAsia="Calibri" w:hAnsi="Calibri" w:cs="Times New Roman"/>
              </w:rPr>
              <w:t>FCG: wife</w:t>
            </w:r>
          </w:p>
        </w:tc>
        <w:tc>
          <w:tcPr>
            <w:tcW w:w="898" w:type="dxa"/>
          </w:tcPr>
          <w:p w14:paraId="6805560A" w14:textId="77777777" w:rsidR="000F7E56" w:rsidRPr="000F7E56" w:rsidRDefault="000F7E56" w:rsidP="000F7E56">
            <w:pPr>
              <w:rPr>
                <w:rFonts w:ascii="Calibri" w:eastAsia="Calibri" w:hAnsi="Calibri" w:cs="Times New Roman"/>
              </w:rPr>
            </w:pPr>
            <w:r w:rsidRPr="000F7E56">
              <w:rPr>
                <w:rFonts w:ascii="Calibri" w:eastAsia="Calibri" w:hAnsi="Calibri" w:cs="Times New Roman"/>
              </w:rPr>
              <w:t>Y</w:t>
            </w:r>
          </w:p>
        </w:tc>
      </w:tr>
      <w:tr w:rsidR="000F7E56" w:rsidRPr="000F7E56" w14:paraId="69081969" w14:textId="77777777" w:rsidTr="000F7E56">
        <w:tc>
          <w:tcPr>
            <w:tcW w:w="2209" w:type="dxa"/>
          </w:tcPr>
          <w:p w14:paraId="5CDCCDB5" w14:textId="77777777" w:rsidR="000F7E56" w:rsidRPr="000F7E56" w:rsidRDefault="000F7E56" w:rsidP="000F7E56">
            <w:pPr>
              <w:rPr>
                <w:rFonts w:ascii="Calibri" w:eastAsia="Calibri" w:hAnsi="Calibri" w:cs="Times New Roman"/>
              </w:rPr>
            </w:pPr>
            <w:r w:rsidRPr="000F7E56">
              <w:rPr>
                <w:rFonts w:ascii="Calibri" w:eastAsia="Calibri" w:hAnsi="Calibri" w:cs="Times New Roman"/>
              </w:rPr>
              <w:t>Mrs Campbell</w:t>
            </w:r>
          </w:p>
        </w:tc>
        <w:tc>
          <w:tcPr>
            <w:tcW w:w="878" w:type="dxa"/>
          </w:tcPr>
          <w:p w14:paraId="1DCC74FE" w14:textId="77777777" w:rsidR="000F7E56" w:rsidRPr="000F7E56" w:rsidRDefault="000F7E56" w:rsidP="000F7E56">
            <w:pPr>
              <w:rPr>
                <w:rFonts w:ascii="Calibri" w:eastAsia="Calibri" w:hAnsi="Calibri" w:cs="Times New Roman"/>
              </w:rPr>
            </w:pPr>
            <w:r w:rsidRPr="000F7E56">
              <w:rPr>
                <w:rFonts w:ascii="Calibri" w:eastAsia="Calibri" w:hAnsi="Calibri" w:cs="Times New Roman"/>
              </w:rPr>
              <w:t>3</w:t>
            </w:r>
          </w:p>
        </w:tc>
        <w:tc>
          <w:tcPr>
            <w:tcW w:w="1220" w:type="dxa"/>
          </w:tcPr>
          <w:p w14:paraId="47B0FEC1" w14:textId="77777777" w:rsidR="000F7E56" w:rsidRPr="000F7E56" w:rsidRDefault="000F7E56" w:rsidP="000F7E56">
            <w:pPr>
              <w:rPr>
                <w:rFonts w:ascii="Calibri" w:eastAsia="Calibri" w:hAnsi="Calibri" w:cs="Times New Roman"/>
              </w:rPr>
            </w:pPr>
            <w:r w:rsidRPr="000F7E56">
              <w:rPr>
                <w:rFonts w:ascii="Calibri" w:eastAsia="Calibri" w:hAnsi="Calibri" w:cs="Times New Roman"/>
              </w:rPr>
              <w:t>3</w:t>
            </w:r>
          </w:p>
        </w:tc>
        <w:tc>
          <w:tcPr>
            <w:tcW w:w="1098" w:type="dxa"/>
          </w:tcPr>
          <w:p w14:paraId="6C29FAB7" w14:textId="77777777" w:rsidR="000F7E56" w:rsidRPr="000F7E56" w:rsidRDefault="000F7E56" w:rsidP="000F7E56">
            <w:pPr>
              <w:rPr>
                <w:rFonts w:ascii="Calibri" w:eastAsia="Calibri" w:hAnsi="Calibri" w:cs="Times New Roman"/>
              </w:rPr>
            </w:pPr>
            <w:r w:rsidRPr="000F7E56">
              <w:rPr>
                <w:rFonts w:ascii="Calibri" w:eastAsia="Calibri" w:hAnsi="Calibri" w:cs="Times New Roman"/>
              </w:rPr>
              <w:t>1</w:t>
            </w:r>
          </w:p>
        </w:tc>
        <w:tc>
          <w:tcPr>
            <w:tcW w:w="4329" w:type="dxa"/>
          </w:tcPr>
          <w:p w14:paraId="21843F0F" w14:textId="77777777" w:rsidR="000F7E56" w:rsidRPr="000F7E56" w:rsidRDefault="000F7E56" w:rsidP="000F7E56">
            <w:pPr>
              <w:rPr>
                <w:rFonts w:ascii="Calibri" w:eastAsia="Calibri" w:hAnsi="Calibri" w:cs="Times New Roman"/>
              </w:rPr>
            </w:pPr>
            <w:r w:rsidRPr="000F7E56">
              <w:rPr>
                <w:rFonts w:ascii="Calibri" w:eastAsia="Calibri" w:hAnsi="Calibri" w:cs="Times New Roman"/>
              </w:rPr>
              <w:t>Case complete Nov. 2019</w:t>
            </w:r>
          </w:p>
          <w:p w14:paraId="6973F099" w14:textId="77777777" w:rsidR="000F7E56" w:rsidRPr="000F7E56" w:rsidRDefault="000F7E56" w:rsidP="000F7E56">
            <w:pPr>
              <w:rPr>
                <w:rFonts w:ascii="Calibri" w:eastAsia="Calibri" w:hAnsi="Calibri" w:cs="Times New Roman"/>
              </w:rPr>
            </w:pPr>
            <w:r w:rsidRPr="000F7E56">
              <w:rPr>
                <w:rFonts w:ascii="Calibri" w:eastAsia="Calibri" w:hAnsi="Calibri" w:cs="Times New Roman"/>
              </w:rPr>
              <w:t>HCP: Specialist Haematology nurse</w:t>
            </w:r>
          </w:p>
          <w:p w14:paraId="1FE208BB" w14:textId="77777777" w:rsidR="000F7E56" w:rsidRPr="000F7E56" w:rsidRDefault="000F7E56" w:rsidP="000F7E56">
            <w:pPr>
              <w:rPr>
                <w:rFonts w:ascii="Calibri" w:eastAsia="Calibri" w:hAnsi="Calibri" w:cs="Times New Roman"/>
              </w:rPr>
            </w:pPr>
            <w:r w:rsidRPr="000F7E56">
              <w:rPr>
                <w:rFonts w:ascii="Calibri" w:eastAsia="Calibri" w:hAnsi="Calibri" w:cs="Times New Roman"/>
              </w:rPr>
              <w:t>FCG: daughter (adult)</w:t>
            </w:r>
          </w:p>
        </w:tc>
        <w:tc>
          <w:tcPr>
            <w:tcW w:w="898" w:type="dxa"/>
          </w:tcPr>
          <w:p w14:paraId="3D75BE08" w14:textId="77777777" w:rsidR="000F7E56" w:rsidRPr="000F7E56" w:rsidRDefault="000F7E56" w:rsidP="000F7E56">
            <w:pPr>
              <w:rPr>
                <w:rFonts w:ascii="Calibri" w:eastAsia="Calibri" w:hAnsi="Calibri" w:cs="Times New Roman"/>
              </w:rPr>
            </w:pPr>
            <w:r w:rsidRPr="000F7E56">
              <w:rPr>
                <w:rFonts w:ascii="Calibri" w:eastAsia="Calibri" w:hAnsi="Calibri" w:cs="Times New Roman"/>
              </w:rPr>
              <w:t>Y</w:t>
            </w:r>
          </w:p>
        </w:tc>
      </w:tr>
      <w:tr w:rsidR="000F7E56" w:rsidRPr="000F7E56" w14:paraId="7C1F93A4" w14:textId="77777777" w:rsidTr="000F7E56">
        <w:tc>
          <w:tcPr>
            <w:tcW w:w="2209" w:type="dxa"/>
          </w:tcPr>
          <w:p w14:paraId="76C3CF8C" w14:textId="77777777" w:rsidR="000F7E56" w:rsidRPr="000F7E56" w:rsidRDefault="000F7E56" w:rsidP="000F7E56">
            <w:pPr>
              <w:rPr>
                <w:rFonts w:ascii="Calibri" w:eastAsia="Calibri" w:hAnsi="Calibri" w:cs="Times New Roman"/>
              </w:rPr>
            </w:pPr>
            <w:r w:rsidRPr="000F7E56">
              <w:rPr>
                <w:rFonts w:ascii="Calibri" w:eastAsia="Calibri" w:hAnsi="Calibri" w:cs="Times New Roman"/>
              </w:rPr>
              <w:t xml:space="preserve">Mr </w:t>
            </w:r>
            <w:proofErr w:type="spellStart"/>
            <w:r w:rsidRPr="000F7E56">
              <w:rPr>
                <w:rFonts w:ascii="Calibri" w:eastAsia="Calibri" w:hAnsi="Calibri" w:cs="Times New Roman"/>
              </w:rPr>
              <w:t>Chandhary</w:t>
            </w:r>
            <w:proofErr w:type="spellEnd"/>
          </w:p>
        </w:tc>
        <w:tc>
          <w:tcPr>
            <w:tcW w:w="878" w:type="dxa"/>
          </w:tcPr>
          <w:p w14:paraId="50FE181B" w14:textId="77777777" w:rsidR="000F7E56" w:rsidRPr="000F7E56" w:rsidRDefault="000F7E56" w:rsidP="000F7E56">
            <w:pPr>
              <w:rPr>
                <w:rFonts w:ascii="Calibri" w:eastAsia="Calibri" w:hAnsi="Calibri" w:cs="Times New Roman"/>
              </w:rPr>
            </w:pPr>
            <w:r w:rsidRPr="000F7E56">
              <w:rPr>
                <w:rFonts w:ascii="Calibri" w:eastAsia="Calibri" w:hAnsi="Calibri" w:cs="Times New Roman"/>
              </w:rPr>
              <w:t>1</w:t>
            </w:r>
          </w:p>
        </w:tc>
        <w:tc>
          <w:tcPr>
            <w:tcW w:w="1220" w:type="dxa"/>
          </w:tcPr>
          <w:p w14:paraId="3EEFB387" w14:textId="77777777" w:rsidR="000F7E56" w:rsidRPr="000F7E56" w:rsidRDefault="000F7E56" w:rsidP="000F7E56">
            <w:pPr>
              <w:rPr>
                <w:rFonts w:ascii="Calibri" w:eastAsia="Calibri" w:hAnsi="Calibri" w:cs="Times New Roman"/>
              </w:rPr>
            </w:pPr>
            <w:r w:rsidRPr="000F7E56">
              <w:rPr>
                <w:rFonts w:ascii="Calibri" w:eastAsia="Calibri" w:hAnsi="Calibri" w:cs="Times New Roman"/>
              </w:rPr>
              <w:t>(1)2</w:t>
            </w:r>
          </w:p>
          <w:p w14:paraId="0CC71538" w14:textId="77777777" w:rsidR="000F7E56" w:rsidRPr="000F7E56" w:rsidRDefault="000F7E56" w:rsidP="000F7E56">
            <w:pPr>
              <w:rPr>
                <w:rFonts w:ascii="Calibri" w:eastAsia="Calibri" w:hAnsi="Calibri" w:cs="Times New Roman"/>
              </w:rPr>
            </w:pPr>
            <w:r w:rsidRPr="000F7E56">
              <w:rPr>
                <w:rFonts w:ascii="Calibri" w:eastAsia="Calibri" w:hAnsi="Calibri" w:cs="Times New Roman"/>
              </w:rPr>
              <w:t>(2)3</w:t>
            </w:r>
          </w:p>
        </w:tc>
        <w:tc>
          <w:tcPr>
            <w:tcW w:w="1098" w:type="dxa"/>
          </w:tcPr>
          <w:p w14:paraId="4C85AA48" w14:textId="77777777" w:rsidR="000F7E56" w:rsidRPr="000F7E56" w:rsidRDefault="000F7E56" w:rsidP="000F7E56">
            <w:pPr>
              <w:rPr>
                <w:rFonts w:ascii="Calibri" w:eastAsia="Calibri" w:hAnsi="Calibri" w:cs="Times New Roman"/>
              </w:rPr>
            </w:pPr>
            <w:r w:rsidRPr="000F7E56">
              <w:rPr>
                <w:rFonts w:ascii="Calibri" w:eastAsia="Calibri" w:hAnsi="Calibri" w:cs="Times New Roman"/>
              </w:rPr>
              <w:t>1</w:t>
            </w:r>
          </w:p>
        </w:tc>
        <w:tc>
          <w:tcPr>
            <w:tcW w:w="4329" w:type="dxa"/>
          </w:tcPr>
          <w:p w14:paraId="3EE27B0D" w14:textId="77777777" w:rsidR="000F7E56" w:rsidRPr="000F7E56" w:rsidRDefault="000F7E56" w:rsidP="000F7E56">
            <w:pPr>
              <w:rPr>
                <w:rFonts w:ascii="Calibri" w:eastAsia="Calibri" w:hAnsi="Calibri" w:cs="Times New Roman"/>
              </w:rPr>
            </w:pPr>
            <w:r w:rsidRPr="000F7E56">
              <w:rPr>
                <w:rFonts w:ascii="Calibri" w:eastAsia="Calibri" w:hAnsi="Calibri" w:cs="Times New Roman"/>
              </w:rPr>
              <w:t>Case complete March 2020</w:t>
            </w:r>
          </w:p>
          <w:p w14:paraId="119774F9" w14:textId="77777777" w:rsidR="000F7E56" w:rsidRPr="000F7E56" w:rsidRDefault="000F7E56" w:rsidP="000F7E56">
            <w:pPr>
              <w:rPr>
                <w:rFonts w:ascii="Calibri" w:eastAsia="Calibri" w:hAnsi="Calibri" w:cs="Times New Roman"/>
              </w:rPr>
            </w:pPr>
            <w:r w:rsidRPr="000F7E56">
              <w:rPr>
                <w:rFonts w:ascii="Calibri" w:eastAsia="Calibri" w:hAnsi="Calibri" w:cs="Times New Roman"/>
              </w:rPr>
              <w:t>HCP: Specialist Palliative Care nurse</w:t>
            </w:r>
          </w:p>
          <w:p w14:paraId="7A6F205D" w14:textId="77777777" w:rsidR="000F7E56" w:rsidRPr="000F7E56" w:rsidRDefault="000F7E56" w:rsidP="000F7E56">
            <w:pPr>
              <w:rPr>
                <w:rFonts w:ascii="Calibri" w:eastAsia="Calibri" w:hAnsi="Calibri" w:cs="Times New Roman"/>
              </w:rPr>
            </w:pPr>
            <w:r w:rsidRPr="000F7E56">
              <w:rPr>
                <w:rFonts w:ascii="Calibri" w:eastAsia="Calibri" w:hAnsi="Calibri" w:cs="Times New Roman"/>
              </w:rPr>
              <w:t>FCG1: daughter (adult). FCG2: wife</w:t>
            </w:r>
          </w:p>
        </w:tc>
        <w:tc>
          <w:tcPr>
            <w:tcW w:w="898" w:type="dxa"/>
          </w:tcPr>
          <w:p w14:paraId="14397A90" w14:textId="77777777" w:rsidR="000F7E56" w:rsidRPr="000F7E56" w:rsidRDefault="000F7E56" w:rsidP="000F7E56">
            <w:pPr>
              <w:rPr>
                <w:rFonts w:ascii="Calibri" w:eastAsia="Calibri" w:hAnsi="Calibri" w:cs="Times New Roman"/>
              </w:rPr>
            </w:pPr>
            <w:r w:rsidRPr="000F7E56">
              <w:rPr>
                <w:rFonts w:ascii="Calibri" w:eastAsia="Calibri" w:hAnsi="Calibri" w:cs="Times New Roman"/>
              </w:rPr>
              <w:t>Y</w:t>
            </w:r>
          </w:p>
        </w:tc>
      </w:tr>
      <w:tr w:rsidR="000F7E56" w:rsidRPr="000F7E56" w14:paraId="5466FFC7" w14:textId="77777777" w:rsidTr="000F7E56">
        <w:tc>
          <w:tcPr>
            <w:tcW w:w="2209" w:type="dxa"/>
          </w:tcPr>
          <w:p w14:paraId="626FF6A8" w14:textId="77777777" w:rsidR="000F7E56" w:rsidRPr="000F7E56" w:rsidRDefault="000F7E56" w:rsidP="000F7E56">
            <w:pPr>
              <w:rPr>
                <w:rFonts w:ascii="Calibri" w:eastAsia="Calibri" w:hAnsi="Calibri" w:cs="Times New Roman"/>
              </w:rPr>
            </w:pPr>
            <w:r w:rsidRPr="000F7E56">
              <w:rPr>
                <w:rFonts w:ascii="Calibri" w:eastAsia="Calibri" w:hAnsi="Calibri" w:cs="Times New Roman"/>
              </w:rPr>
              <w:t xml:space="preserve">Mrs </w:t>
            </w:r>
            <w:proofErr w:type="spellStart"/>
            <w:r w:rsidRPr="000F7E56">
              <w:rPr>
                <w:rFonts w:ascii="Calibri" w:eastAsia="Calibri" w:hAnsi="Calibri" w:cs="Times New Roman"/>
              </w:rPr>
              <w:t>Challa</w:t>
            </w:r>
            <w:proofErr w:type="spellEnd"/>
          </w:p>
        </w:tc>
        <w:tc>
          <w:tcPr>
            <w:tcW w:w="878" w:type="dxa"/>
          </w:tcPr>
          <w:p w14:paraId="7C568370" w14:textId="77777777" w:rsidR="000F7E56" w:rsidRPr="000F7E56" w:rsidRDefault="000F7E56" w:rsidP="000F7E56">
            <w:pPr>
              <w:rPr>
                <w:rFonts w:ascii="Calibri" w:eastAsia="Calibri" w:hAnsi="Calibri" w:cs="Times New Roman"/>
              </w:rPr>
            </w:pPr>
            <w:r w:rsidRPr="000F7E56">
              <w:rPr>
                <w:rFonts w:ascii="Calibri" w:eastAsia="Calibri" w:hAnsi="Calibri" w:cs="Times New Roman"/>
              </w:rPr>
              <w:t>2</w:t>
            </w:r>
          </w:p>
        </w:tc>
        <w:tc>
          <w:tcPr>
            <w:tcW w:w="1220" w:type="dxa"/>
          </w:tcPr>
          <w:p w14:paraId="1DFD5BEC" w14:textId="77777777" w:rsidR="000F7E56" w:rsidRPr="000F7E56" w:rsidRDefault="000F7E56" w:rsidP="000F7E56">
            <w:pPr>
              <w:rPr>
                <w:rFonts w:ascii="Calibri" w:eastAsia="Calibri" w:hAnsi="Calibri" w:cs="Times New Roman"/>
              </w:rPr>
            </w:pPr>
            <w:r w:rsidRPr="000F7E56">
              <w:rPr>
                <w:rFonts w:ascii="Calibri" w:eastAsia="Calibri" w:hAnsi="Calibri" w:cs="Times New Roman"/>
              </w:rPr>
              <w:t>2</w:t>
            </w:r>
          </w:p>
        </w:tc>
        <w:tc>
          <w:tcPr>
            <w:tcW w:w="1098" w:type="dxa"/>
          </w:tcPr>
          <w:p w14:paraId="1BBC2682" w14:textId="77777777" w:rsidR="000F7E56" w:rsidRPr="000F7E56" w:rsidRDefault="000F7E56" w:rsidP="000F7E56">
            <w:pPr>
              <w:rPr>
                <w:rFonts w:ascii="Calibri" w:eastAsia="Calibri" w:hAnsi="Calibri" w:cs="Times New Roman"/>
              </w:rPr>
            </w:pPr>
          </w:p>
        </w:tc>
        <w:tc>
          <w:tcPr>
            <w:tcW w:w="4329" w:type="dxa"/>
          </w:tcPr>
          <w:p w14:paraId="1C1DFE6E" w14:textId="77777777" w:rsidR="000F7E56" w:rsidRPr="000F7E56" w:rsidRDefault="000F7E56" w:rsidP="000F7E56">
            <w:pPr>
              <w:rPr>
                <w:rFonts w:ascii="Calibri" w:eastAsia="Calibri" w:hAnsi="Calibri" w:cs="Times New Roman"/>
              </w:rPr>
            </w:pPr>
            <w:r w:rsidRPr="000F7E56">
              <w:rPr>
                <w:rFonts w:ascii="Calibri" w:eastAsia="Calibri" w:hAnsi="Calibri" w:cs="Times New Roman"/>
              </w:rPr>
              <w:t>Case complete Feb. 2020</w:t>
            </w:r>
          </w:p>
          <w:p w14:paraId="45B67417" w14:textId="77777777" w:rsidR="000F7E56" w:rsidRPr="000F7E56" w:rsidRDefault="000F7E56" w:rsidP="000F7E56">
            <w:pPr>
              <w:rPr>
                <w:rFonts w:ascii="Calibri" w:eastAsia="Calibri" w:hAnsi="Calibri" w:cs="Times New Roman"/>
              </w:rPr>
            </w:pPr>
            <w:r w:rsidRPr="000F7E56">
              <w:rPr>
                <w:rFonts w:ascii="Calibri" w:eastAsia="Calibri" w:hAnsi="Calibri" w:cs="Times New Roman"/>
              </w:rPr>
              <w:t>FCG: husband</w:t>
            </w:r>
          </w:p>
        </w:tc>
        <w:tc>
          <w:tcPr>
            <w:tcW w:w="898" w:type="dxa"/>
          </w:tcPr>
          <w:p w14:paraId="03905DB1" w14:textId="77777777" w:rsidR="000F7E56" w:rsidRPr="000F7E56" w:rsidRDefault="000F7E56" w:rsidP="000F7E56">
            <w:pPr>
              <w:rPr>
                <w:rFonts w:ascii="Calibri" w:eastAsia="Calibri" w:hAnsi="Calibri" w:cs="Times New Roman"/>
              </w:rPr>
            </w:pPr>
            <w:r w:rsidRPr="000F7E56">
              <w:rPr>
                <w:rFonts w:ascii="Calibri" w:eastAsia="Calibri" w:hAnsi="Calibri" w:cs="Times New Roman"/>
              </w:rPr>
              <w:t>Y</w:t>
            </w:r>
          </w:p>
        </w:tc>
      </w:tr>
      <w:tr w:rsidR="000F7E56" w:rsidRPr="000F7E56" w14:paraId="7685E4D3" w14:textId="77777777" w:rsidTr="000F7E56">
        <w:tc>
          <w:tcPr>
            <w:tcW w:w="2209" w:type="dxa"/>
          </w:tcPr>
          <w:p w14:paraId="0E6F6324" w14:textId="77777777" w:rsidR="000F7E56" w:rsidRPr="000F7E56" w:rsidRDefault="000F7E56" w:rsidP="000F7E56">
            <w:pPr>
              <w:rPr>
                <w:rFonts w:ascii="Calibri" w:eastAsia="Calibri" w:hAnsi="Calibri" w:cs="Times New Roman"/>
              </w:rPr>
            </w:pPr>
            <w:r w:rsidRPr="000F7E56">
              <w:rPr>
                <w:rFonts w:ascii="Calibri" w:eastAsia="Calibri" w:hAnsi="Calibri" w:cs="Times New Roman"/>
              </w:rPr>
              <w:t>Mr Chakraborty</w:t>
            </w:r>
          </w:p>
        </w:tc>
        <w:tc>
          <w:tcPr>
            <w:tcW w:w="878" w:type="dxa"/>
          </w:tcPr>
          <w:p w14:paraId="623B1A7E" w14:textId="77777777" w:rsidR="000F7E56" w:rsidRPr="000F7E56" w:rsidRDefault="000F7E56" w:rsidP="000F7E56">
            <w:pPr>
              <w:rPr>
                <w:rFonts w:ascii="Calibri" w:eastAsia="Calibri" w:hAnsi="Calibri" w:cs="Times New Roman"/>
              </w:rPr>
            </w:pPr>
            <w:r w:rsidRPr="000F7E56">
              <w:rPr>
                <w:rFonts w:ascii="Calibri" w:eastAsia="Calibri" w:hAnsi="Calibri" w:cs="Times New Roman"/>
              </w:rPr>
              <w:t>2</w:t>
            </w:r>
          </w:p>
        </w:tc>
        <w:tc>
          <w:tcPr>
            <w:tcW w:w="1220" w:type="dxa"/>
          </w:tcPr>
          <w:p w14:paraId="10743961" w14:textId="77777777" w:rsidR="000F7E56" w:rsidRPr="000F7E56" w:rsidRDefault="000F7E56" w:rsidP="000F7E56">
            <w:pPr>
              <w:rPr>
                <w:rFonts w:ascii="Calibri" w:eastAsia="Calibri" w:hAnsi="Calibri" w:cs="Times New Roman"/>
              </w:rPr>
            </w:pPr>
            <w:r w:rsidRPr="000F7E56">
              <w:rPr>
                <w:rFonts w:ascii="Calibri" w:eastAsia="Calibri" w:hAnsi="Calibri" w:cs="Times New Roman"/>
              </w:rPr>
              <w:t>2</w:t>
            </w:r>
          </w:p>
        </w:tc>
        <w:tc>
          <w:tcPr>
            <w:tcW w:w="1098" w:type="dxa"/>
          </w:tcPr>
          <w:p w14:paraId="55C9FD67" w14:textId="77777777" w:rsidR="000F7E56" w:rsidRPr="000F7E56" w:rsidRDefault="000F7E56" w:rsidP="000F7E56">
            <w:pPr>
              <w:rPr>
                <w:rFonts w:ascii="Calibri" w:eastAsia="Calibri" w:hAnsi="Calibri" w:cs="Times New Roman"/>
              </w:rPr>
            </w:pPr>
            <w:r w:rsidRPr="000F7E56">
              <w:rPr>
                <w:rFonts w:ascii="Calibri" w:eastAsia="Calibri" w:hAnsi="Calibri" w:cs="Times New Roman"/>
              </w:rPr>
              <w:t>1</w:t>
            </w:r>
          </w:p>
        </w:tc>
        <w:tc>
          <w:tcPr>
            <w:tcW w:w="4329" w:type="dxa"/>
          </w:tcPr>
          <w:p w14:paraId="410B36FA" w14:textId="77777777" w:rsidR="000F7E56" w:rsidRPr="000F7E56" w:rsidRDefault="000F7E56" w:rsidP="000F7E56">
            <w:pPr>
              <w:rPr>
                <w:rFonts w:ascii="Calibri" w:eastAsia="Calibri" w:hAnsi="Calibri" w:cs="Times New Roman"/>
              </w:rPr>
            </w:pPr>
            <w:r w:rsidRPr="000F7E56">
              <w:rPr>
                <w:rFonts w:ascii="Calibri" w:eastAsia="Calibri" w:hAnsi="Calibri" w:cs="Times New Roman"/>
              </w:rPr>
              <w:t>Case complete Feb. 2020</w:t>
            </w:r>
          </w:p>
          <w:p w14:paraId="6648F780" w14:textId="77777777" w:rsidR="000F7E56" w:rsidRPr="000F7E56" w:rsidRDefault="000F7E56" w:rsidP="000F7E56">
            <w:pPr>
              <w:rPr>
                <w:rFonts w:ascii="Calibri" w:eastAsia="Calibri" w:hAnsi="Calibri" w:cs="Times New Roman"/>
              </w:rPr>
            </w:pPr>
            <w:r w:rsidRPr="000F7E56">
              <w:rPr>
                <w:rFonts w:ascii="Calibri" w:eastAsia="Calibri" w:hAnsi="Calibri" w:cs="Times New Roman"/>
              </w:rPr>
              <w:t>HCP: Specialist MND nurse</w:t>
            </w:r>
          </w:p>
          <w:p w14:paraId="184BCBCF" w14:textId="77777777" w:rsidR="000F7E56" w:rsidRPr="000F7E56" w:rsidRDefault="000F7E56" w:rsidP="000F7E56">
            <w:pPr>
              <w:rPr>
                <w:rFonts w:ascii="Calibri" w:eastAsia="Calibri" w:hAnsi="Calibri" w:cs="Times New Roman"/>
              </w:rPr>
            </w:pPr>
            <w:r w:rsidRPr="000F7E56">
              <w:rPr>
                <w:rFonts w:ascii="Calibri" w:eastAsia="Calibri" w:hAnsi="Calibri" w:cs="Times New Roman"/>
              </w:rPr>
              <w:t>FCG: wife</w:t>
            </w:r>
          </w:p>
        </w:tc>
        <w:tc>
          <w:tcPr>
            <w:tcW w:w="898" w:type="dxa"/>
          </w:tcPr>
          <w:p w14:paraId="2ED683AA" w14:textId="77777777" w:rsidR="000F7E56" w:rsidRPr="000F7E56" w:rsidRDefault="000F7E56" w:rsidP="000F7E56">
            <w:pPr>
              <w:rPr>
                <w:rFonts w:ascii="Calibri" w:eastAsia="Calibri" w:hAnsi="Calibri" w:cs="Times New Roman"/>
              </w:rPr>
            </w:pPr>
            <w:r w:rsidRPr="000F7E56">
              <w:rPr>
                <w:rFonts w:ascii="Calibri" w:eastAsia="Calibri" w:hAnsi="Calibri" w:cs="Times New Roman"/>
              </w:rPr>
              <w:t>Y</w:t>
            </w:r>
          </w:p>
        </w:tc>
      </w:tr>
      <w:tr w:rsidR="000F7E56" w:rsidRPr="000F7E56" w14:paraId="124F2F1F" w14:textId="77777777" w:rsidTr="000F7E56">
        <w:tc>
          <w:tcPr>
            <w:tcW w:w="2209" w:type="dxa"/>
          </w:tcPr>
          <w:p w14:paraId="09A86B37" w14:textId="77777777" w:rsidR="000F7E56" w:rsidRPr="000F7E56" w:rsidRDefault="000F7E56" w:rsidP="000F7E56">
            <w:pPr>
              <w:rPr>
                <w:rFonts w:ascii="Calibri" w:eastAsia="Calibri" w:hAnsi="Calibri" w:cs="Times New Roman"/>
              </w:rPr>
            </w:pPr>
            <w:r w:rsidRPr="000F7E56">
              <w:rPr>
                <w:rFonts w:ascii="Calibri" w:eastAsia="Calibri" w:hAnsi="Calibri" w:cs="Times New Roman"/>
              </w:rPr>
              <w:lastRenderedPageBreak/>
              <w:t xml:space="preserve">Mrs </w:t>
            </w:r>
            <w:proofErr w:type="spellStart"/>
            <w:r w:rsidRPr="000F7E56">
              <w:rPr>
                <w:rFonts w:ascii="Calibri" w:eastAsia="Calibri" w:hAnsi="Calibri" w:cs="Times New Roman"/>
              </w:rPr>
              <w:t>Cachalia</w:t>
            </w:r>
            <w:proofErr w:type="spellEnd"/>
          </w:p>
        </w:tc>
        <w:tc>
          <w:tcPr>
            <w:tcW w:w="878" w:type="dxa"/>
          </w:tcPr>
          <w:p w14:paraId="1D25DA80" w14:textId="77777777" w:rsidR="000F7E56" w:rsidRPr="000F7E56" w:rsidRDefault="000F7E56" w:rsidP="000F7E56">
            <w:pPr>
              <w:rPr>
                <w:rFonts w:ascii="Calibri" w:eastAsia="Calibri" w:hAnsi="Calibri" w:cs="Times New Roman"/>
              </w:rPr>
            </w:pPr>
            <w:r w:rsidRPr="000F7E56">
              <w:rPr>
                <w:rFonts w:ascii="Calibri" w:eastAsia="Calibri" w:hAnsi="Calibri" w:cs="Times New Roman"/>
              </w:rPr>
              <w:t>2</w:t>
            </w:r>
          </w:p>
        </w:tc>
        <w:tc>
          <w:tcPr>
            <w:tcW w:w="1220" w:type="dxa"/>
          </w:tcPr>
          <w:p w14:paraId="503C18D8" w14:textId="77777777" w:rsidR="000F7E56" w:rsidRPr="000F7E56" w:rsidRDefault="000F7E56" w:rsidP="000F7E56">
            <w:pPr>
              <w:rPr>
                <w:rFonts w:ascii="Calibri" w:eastAsia="Calibri" w:hAnsi="Calibri" w:cs="Times New Roman"/>
              </w:rPr>
            </w:pPr>
            <w:r w:rsidRPr="000F7E56">
              <w:rPr>
                <w:rFonts w:ascii="Calibri" w:eastAsia="Calibri" w:hAnsi="Calibri" w:cs="Times New Roman"/>
              </w:rPr>
              <w:t>(1)1</w:t>
            </w:r>
          </w:p>
          <w:p w14:paraId="2C920716" w14:textId="77777777" w:rsidR="000F7E56" w:rsidRPr="000F7E56" w:rsidRDefault="000F7E56" w:rsidP="000F7E56">
            <w:pPr>
              <w:rPr>
                <w:rFonts w:ascii="Calibri" w:eastAsia="Calibri" w:hAnsi="Calibri" w:cs="Times New Roman"/>
              </w:rPr>
            </w:pPr>
            <w:r w:rsidRPr="000F7E56">
              <w:rPr>
                <w:rFonts w:ascii="Calibri" w:eastAsia="Calibri" w:hAnsi="Calibri" w:cs="Times New Roman"/>
              </w:rPr>
              <w:t>(2)1</w:t>
            </w:r>
          </w:p>
        </w:tc>
        <w:tc>
          <w:tcPr>
            <w:tcW w:w="1098" w:type="dxa"/>
          </w:tcPr>
          <w:p w14:paraId="7926B10E" w14:textId="77777777" w:rsidR="000F7E56" w:rsidRPr="000F7E56" w:rsidRDefault="000F7E56" w:rsidP="000F7E56">
            <w:pPr>
              <w:rPr>
                <w:rFonts w:ascii="Calibri" w:eastAsia="Calibri" w:hAnsi="Calibri" w:cs="Times New Roman"/>
              </w:rPr>
            </w:pPr>
          </w:p>
        </w:tc>
        <w:tc>
          <w:tcPr>
            <w:tcW w:w="4329" w:type="dxa"/>
          </w:tcPr>
          <w:p w14:paraId="5C634CA9" w14:textId="77777777" w:rsidR="000F7E56" w:rsidRPr="000F7E56" w:rsidRDefault="000F7E56" w:rsidP="000F7E56">
            <w:pPr>
              <w:rPr>
                <w:rFonts w:ascii="Calibri" w:eastAsia="Calibri" w:hAnsi="Calibri" w:cs="Times New Roman"/>
              </w:rPr>
            </w:pPr>
            <w:r w:rsidRPr="000F7E56">
              <w:rPr>
                <w:rFonts w:ascii="Calibri" w:eastAsia="Calibri" w:hAnsi="Calibri" w:cs="Times New Roman"/>
              </w:rPr>
              <w:t>Case complete Nov. 2019</w:t>
            </w:r>
          </w:p>
          <w:p w14:paraId="6880E2DB" w14:textId="77777777" w:rsidR="000F7E56" w:rsidRPr="000F7E56" w:rsidRDefault="000F7E56" w:rsidP="000F7E56">
            <w:pPr>
              <w:rPr>
                <w:rFonts w:ascii="Calibri" w:eastAsia="Calibri" w:hAnsi="Calibri" w:cs="Times New Roman"/>
              </w:rPr>
            </w:pPr>
            <w:r w:rsidRPr="000F7E56">
              <w:rPr>
                <w:rFonts w:ascii="Calibri" w:eastAsia="Calibri" w:hAnsi="Calibri" w:cs="Times New Roman"/>
              </w:rPr>
              <w:t>FGC1: daughter-in-law. FGC2: son (adult)</w:t>
            </w:r>
          </w:p>
          <w:p w14:paraId="338BE83E" w14:textId="77777777" w:rsidR="000F7E56" w:rsidRPr="000F7E56" w:rsidRDefault="000F7E56" w:rsidP="000F7E56">
            <w:pPr>
              <w:rPr>
                <w:rFonts w:ascii="Calibri" w:eastAsia="Calibri" w:hAnsi="Calibri" w:cs="Times New Roman"/>
              </w:rPr>
            </w:pPr>
            <w:r w:rsidRPr="000F7E56">
              <w:rPr>
                <w:rFonts w:ascii="Calibri" w:eastAsia="Calibri" w:hAnsi="Calibri" w:cs="Times New Roman"/>
              </w:rPr>
              <w:t>Patient died Nov. 2019. No post-bereavement interviews</w:t>
            </w:r>
          </w:p>
        </w:tc>
        <w:tc>
          <w:tcPr>
            <w:tcW w:w="898" w:type="dxa"/>
          </w:tcPr>
          <w:p w14:paraId="19594F98" w14:textId="77777777" w:rsidR="000F7E56" w:rsidRPr="000F7E56" w:rsidRDefault="000F7E56" w:rsidP="000F7E56">
            <w:pPr>
              <w:rPr>
                <w:rFonts w:ascii="Calibri" w:eastAsia="Calibri" w:hAnsi="Calibri" w:cs="Times New Roman"/>
              </w:rPr>
            </w:pPr>
            <w:r w:rsidRPr="000F7E56">
              <w:rPr>
                <w:rFonts w:ascii="Calibri" w:eastAsia="Calibri" w:hAnsi="Calibri" w:cs="Times New Roman"/>
              </w:rPr>
              <w:t>N</w:t>
            </w:r>
          </w:p>
        </w:tc>
      </w:tr>
      <w:tr w:rsidR="000F7E56" w:rsidRPr="000F7E56" w14:paraId="730E05CF" w14:textId="77777777" w:rsidTr="000F7E56">
        <w:tc>
          <w:tcPr>
            <w:tcW w:w="2209" w:type="dxa"/>
          </w:tcPr>
          <w:p w14:paraId="02CF74E2" w14:textId="77777777" w:rsidR="000F7E56" w:rsidRPr="000F7E56" w:rsidRDefault="000F7E56" w:rsidP="000F7E56">
            <w:pPr>
              <w:rPr>
                <w:rFonts w:ascii="Calibri" w:eastAsia="Calibri" w:hAnsi="Calibri" w:cs="Times New Roman"/>
              </w:rPr>
            </w:pPr>
            <w:r w:rsidRPr="000F7E56">
              <w:rPr>
                <w:rFonts w:ascii="Calibri" w:eastAsia="Calibri" w:hAnsi="Calibri" w:cs="Times New Roman"/>
              </w:rPr>
              <w:t>Mrs Chawla</w:t>
            </w:r>
          </w:p>
        </w:tc>
        <w:tc>
          <w:tcPr>
            <w:tcW w:w="878" w:type="dxa"/>
          </w:tcPr>
          <w:p w14:paraId="6BC3B38D" w14:textId="77777777" w:rsidR="000F7E56" w:rsidRPr="000F7E56" w:rsidRDefault="000F7E56" w:rsidP="000F7E56">
            <w:pPr>
              <w:rPr>
                <w:rFonts w:ascii="Calibri" w:eastAsia="Calibri" w:hAnsi="Calibri" w:cs="Times New Roman"/>
              </w:rPr>
            </w:pPr>
            <w:r w:rsidRPr="000F7E56">
              <w:rPr>
                <w:rFonts w:ascii="Calibri" w:eastAsia="Calibri" w:hAnsi="Calibri" w:cs="Times New Roman"/>
              </w:rPr>
              <w:t>1</w:t>
            </w:r>
          </w:p>
        </w:tc>
        <w:tc>
          <w:tcPr>
            <w:tcW w:w="1220" w:type="dxa"/>
          </w:tcPr>
          <w:p w14:paraId="4DCC23EE" w14:textId="77777777" w:rsidR="000F7E56" w:rsidRPr="000F7E56" w:rsidRDefault="000F7E56" w:rsidP="000F7E56">
            <w:pPr>
              <w:rPr>
                <w:rFonts w:ascii="Calibri" w:eastAsia="Calibri" w:hAnsi="Calibri" w:cs="Times New Roman"/>
              </w:rPr>
            </w:pPr>
            <w:r w:rsidRPr="000F7E56">
              <w:rPr>
                <w:rFonts w:ascii="Calibri" w:eastAsia="Calibri" w:hAnsi="Calibri" w:cs="Times New Roman"/>
              </w:rPr>
              <w:t>2</w:t>
            </w:r>
          </w:p>
        </w:tc>
        <w:tc>
          <w:tcPr>
            <w:tcW w:w="1098" w:type="dxa"/>
          </w:tcPr>
          <w:p w14:paraId="2B8B4E09" w14:textId="77777777" w:rsidR="000F7E56" w:rsidRPr="000F7E56" w:rsidRDefault="000F7E56" w:rsidP="000F7E56">
            <w:pPr>
              <w:rPr>
                <w:rFonts w:ascii="Calibri" w:eastAsia="Calibri" w:hAnsi="Calibri" w:cs="Times New Roman"/>
              </w:rPr>
            </w:pPr>
          </w:p>
        </w:tc>
        <w:tc>
          <w:tcPr>
            <w:tcW w:w="4329" w:type="dxa"/>
          </w:tcPr>
          <w:p w14:paraId="1A3D6A51" w14:textId="77777777" w:rsidR="000F7E56" w:rsidRPr="000F7E56" w:rsidRDefault="000F7E56" w:rsidP="000F7E56">
            <w:pPr>
              <w:rPr>
                <w:rFonts w:ascii="Calibri" w:eastAsia="Calibri" w:hAnsi="Calibri" w:cs="Times New Roman"/>
              </w:rPr>
            </w:pPr>
            <w:r w:rsidRPr="000F7E56">
              <w:rPr>
                <w:rFonts w:ascii="Calibri" w:eastAsia="Calibri" w:hAnsi="Calibri" w:cs="Times New Roman"/>
              </w:rPr>
              <w:t>Case complete Nov. 2019</w:t>
            </w:r>
          </w:p>
          <w:p w14:paraId="41245DFF" w14:textId="77777777" w:rsidR="000F7E56" w:rsidRPr="000F7E56" w:rsidRDefault="000F7E56" w:rsidP="000F7E56">
            <w:pPr>
              <w:rPr>
                <w:rFonts w:ascii="Calibri" w:eastAsia="Calibri" w:hAnsi="Calibri" w:cs="Times New Roman"/>
              </w:rPr>
            </w:pPr>
            <w:r w:rsidRPr="000F7E56">
              <w:rPr>
                <w:rFonts w:ascii="Calibri" w:eastAsia="Calibri" w:hAnsi="Calibri" w:cs="Times New Roman"/>
              </w:rPr>
              <w:t>FCG: daughter (adult)</w:t>
            </w:r>
          </w:p>
        </w:tc>
        <w:tc>
          <w:tcPr>
            <w:tcW w:w="898" w:type="dxa"/>
          </w:tcPr>
          <w:p w14:paraId="2B36DECC" w14:textId="77777777" w:rsidR="000F7E56" w:rsidRPr="000F7E56" w:rsidRDefault="000F7E56" w:rsidP="000F7E56">
            <w:pPr>
              <w:rPr>
                <w:rFonts w:ascii="Calibri" w:eastAsia="Calibri" w:hAnsi="Calibri" w:cs="Times New Roman"/>
              </w:rPr>
            </w:pPr>
            <w:r w:rsidRPr="000F7E56">
              <w:rPr>
                <w:rFonts w:ascii="Calibri" w:eastAsia="Calibri" w:hAnsi="Calibri" w:cs="Times New Roman"/>
              </w:rPr>
              <w:t>N</w:t>
            </w:r>
          </w:p>
        </w:tc>
      </w:tr>
      <w:tr w:rsidR="000F7E56" w:rsidRPr="000F7E56" w14:paraId="57569B56" w14:textId="77777777" w:rsidTr="000F7E56">
        <w:tc>
          <w:tcPr>
            <w:tcW w:w="2209" w:type="dxa"/>
          </w:tcPr>
          <w:p w14:paraId="7C01BDE6" w14:textId="77777777" w:rsidR="000F7E56" w:rsidRPr="000F7E56" w:rsidRDefault="000F7E56" w:rsidP="000F7E56">
            <w:pPr>
              <w:rPr>
                <w:rFonts w:ascii="Calibri" w:eastAsia="Calibri" w:hAnsi="Calibri" w:cs="Times New Roman"/>
              </w:rPr>
            </w:pPr>
            <w:r w:rsidRPr="000F7E56">
              <w:rPr>
                <w:rFonts w:ascii="Calibri" w:eastAsia="Calibri" w:hAnsi="Calibri" w:cs="Times New Roman"/>
              </w:rPr>
              <w:t>Mrs Cheng</w:t>
            </w:r>
          </w:p>
        </w:tc>
        <w:tc>
          <w:tcPr>
            <w:tcW w:w="878" w:type="dxa"/>
          </w:tcPr>
          <w:p w14:paraId="69DF0961" w14:textId="77777777" w:rsidR="000F7E56" w:rsidRPr="000F7E56" w:rsidRDefault="000F7E56" w:rsidP="000F7E56">
            <w:pPr>
              <w:rPr>
                <w:rFonts w:ascii="Calibri" w:eastAsia="Calibri" w:hAnsi="Calibri" w:cs="Times New Roman"/>
              </w:rPr>
            </w:pPr>
            <w:r w:rsidRPr="000F7E56">
              <w:rPr>
                <w:rFonts w:ascii="Calibri" w:eastAsia="Calibri" w:hAnsi="Calibri" w:cs="Times New Roman"/>
              </w:rPr>
              <w:t>2</w:t>
            </w:r>
          </w:p>
        </w:tc>
        <w:tc>
          <w:tcPr>
            <w:tcW w:w="1220" w:type="dxa"/>
          </w:tcPr>
          <w:p w14:paraId="2C77AC93" w14:textId="77777777" w:rsidR="000F7E56" w:rsidRPr="000F7E56" w:rsidRDefault="000F7E56" w:rsidP="000F7E56">
            <w:pPr>
              <w:rPr>
                <w:rFonts w:ascii="Calibri" w:eastAsia="Calibri" w:hAnsi="Calibri" w:cs="Times New Roman"/>
              </w:rPr>
            </w:pPr>
            <w:r w:rsidRPr="000F7E56">
              <w:rPr>
                <w:rFonts w:ascii="Calibri" w:eastAsia="Calibri" w:hAnsi="Calibri" w:cs="Times New Roman"/>
              </w:rPr>
              <w:t>2</w:t>
            </w:r>
          </w:p>
        </w:tc>
        <w:tc>
          <w:tcPr>
            <w:tcW w:w="1098" w:type="dxa"/>
          </w:tcPr>
          <w:p w14:paraId="0624512F" w14:textId="77777777" w:rsidR="000F7E56" w:rsidRPr="000F7E56" w:rsidRDefault="000F7E56" w:rsidP="000F7E56">
            <w:pPr>
              <w:rPr>
                <w:rFonts w:ascii="Calibri" w:eastAsia="Calibri" w:hAnsi="Calibri" w:cs="Times New Roman"/>
              </w:rPr>
            </w:pPr>
          </w:p>
        </w:tc>
        <w:tc>
          <w:tcPr>
            <w:tcW w:w="4329" w:type="dxa"/>
          </w:tcPr>
          <w:p w14:paraId="3A4B1A04" w14:textId="77777777" w:rsidR="000F7E56" w:rsidRPr="000F7E56" w:rsidRDefault="000F7E56" w:rsidP="000F7E56">
            <w:pPr>
              <w:rPr>
                <w:rFonts w:ascii="Calibri" w:eastAsia="Calibri" w:hAnsi="Calibri" w:cs="Times New Roman"/>
              </w:rPr>
            </w:pPr>
            <w:r w:rsidRPr="000F7E56">
              <w:rPr>
                <w:rFonts w:ascii="Calibri" w:eastAsia="Calibri" w:hAnsi="Calibri" w:cs="Times New Roman"/>
              </w:rPr>
              <w:t>Case complete Dec. 2019</w:t>
            </w:r>
          </w:p>
          <w:p w14:paraId="6E31F027" w14:textId="77777777" w:rsidR="000F7E56" w:rsidRPr="000F7E56" w:rsidRDefault="000F7E56" w:rsidP="000F7E56">
            <w:pPr>
              <w:rPr>
                <w:rFonts w:ascii="Calibri" w:eastAsia="Calibri" w:hAnsi="Calibri" w:cs="Times New Roman"/>
              </w:rPr>
            </w:pPr>
            <w:r w:rsidRPr="000F7E56">
              <w:rPr>
                <w:rFonts w:ascii="Calibri" w:eastAsia="Calibri" w:hAnsi="Calibri" w:cs="Times New Roman"/>
              </w:rPr>
              <w:t>FCG: husband</w:t>
            </w:r>
          </w:p>
          <w:p w14:paraId="0CD70D2B" w14:textId="77777777" w:rsidR="000F7E56" w:rsidRPr="000F7E56" w:rsidRDefault="000F7E56" w:rsidP="000F7E56">
            <w:pPr>
              <w:rPr>
                <w:rFonts w:ascii="Calibri" w:eastAsia="Calibri" w:hAnsi="Calibri" w:cs="Times New Roman"/>
              </w:rPr>
            </w:pPr>
            <w:r w:rsidRPr="000F7E56">
              <w:rPr>
                <w:rFonts w:ascii="Calibri" w:eastAsia="Calibri" w:hAnsi="Calibri" w:cs="Times New Roman"/>
              </w:rPr>
              <w:t>Patient died Feb. 2020: no post bereavement interviews</w:t>
            </w:r>
          </w:p>
        </w:tc>
        <w:tc>
          <w:tcPr>
            <w:tcW w:w="898" w:type="dxa"/>
          </w:tcPr>
          <w:p w14:paraId="3120EDFC" w14:textId="77777777" w:rsidR="000F7E56" w:rsidRPr="000F7E56" w:rsidRDefault="000F7E56" w:rsidP="000F7E56">
            <w:pPr>
              <w:rPr>
                <w:rFonts w:ascii="Calibri" w:eastAsia="Calibri" w:hAnsi="Calibri" w:cs="Times New Roman"/>
              </w:rPr>
            </w:pPr>
            <w:r w:rsidRPr="000F7E56">
              <w:rPr>
                <w:rFonts w:ascii="Calibri" w:eastAsia="Calibri" w:hAnsi="Calibri" w:cs="Times New Roman"/>
              </w:rPr>
              <w:t>Y</w:t>
            </w:r>
          </w:p>
        </w:tc>
      </w:tr>
      <w:tr w:rsidR="000F7E56" w:rsidRPr="000F7E56" w14:paraId="41CB2F40" w14:textId="77777777" w:rsidTr="000F7E56">
        <w:trPr>
          <w:trHeight w:val="1411"/>
        </w:trPr>
        <w:tc>
          <w:tcPr>
            <w:tcW w:w="2209" w:type="dxa"/>
          </w:tcPr>
          <w:p w14:paraId="30921453" w14:textId="77777777" w:rsidR="000F7E56" w:rsidRPr="000F7E56" w:rsidRDefault="000F7E56" w:rsidP="000F7E56">
            <w:pPr>
              <w:rPr>
                <w:rFonts w:ascii="Calibri" w:eastAsia="Calibri" w:hAnsi="Calibri" w:cs="Times New Roman"/>
              </w:rPr>
            </w:pPr>
            <w:r w:rsidRPr="000F7E56">
              <w:rPr>
                <w:rFonts w:ascii="Calibri" w:eastAsia="Calibri" w:hAnsi="Calibri" w:cs="Times New Roman"/>
              </w:rPr>
              <w:t xml:space="preserve">Mrs </w:t>
            </w:r>
            <w:proofErr w:type="spellStart"/>
            <w:r w:rsidRPr="000F7E56">
              <w:rPr>
                <w:rFonts w:ascii="Calibri" w:eastAsia="Calibri" w:hAnsi="Calibri" w:cs="Times New Roman"/>
              </w:rPr>
              <w:t>Chandyo</w:t>
            </w:r>
            <w:proofErr w:type="spellEnd"/>
          </w:p>
        </w:tc>
        <w:tc>
          <w:tcPr>
            <w:tcW w:w="878" w:type="dxa"/>
          </w:tcPr>
          <w:p w14:paraId="6F228513" w14:textId="77777777" w:rsidR="000F7E56" w:rsidRPr="000F7E56" w:rsidRDefault="000F7E56" w:rsidP="000F7E56">
            <w:pPr>
              <w:rPr>
                <w:rFonts w:ascii="Calibri" w:eastAsia="Calibri" w:hAnsi="Calibri" w:cs="Times New Roman"/>
              </w:rPr>
            </w:pPr>
            <w:r w:rsidRPr="000F7E56">
              <w:rPr>
                <w:rFonts w:ascii="Calibri" w:eastAsia="Calibri" w:hAnsi="Calibri" w:cs="Times New Roman"/>
              </w:rPr>
              <w:t xml:space="preserve">1 </w:t>
            </w:r>
          </w:p>
        </w:tc>
        <w:tc>
          <w:tcPr>
            <w:tcW w:w="1220" w:type="dxa"/>
          </w:tcPr>
          <w:p w14:paraId="1A580A56" w14:textId="77777777" w:rsidR="000F7E56" w:rsidRPr="000F7E56" w:rsidRDefault="000F7E56" w:rsidP="000F7E56">
            <w:pPr>
              <w:rPr>
                <w:rFonts w:ascii="Calibri" w:eastAsia="Calibri" w:hAnsi="Calibri" w:cs="Times New Roman"/>
              </w:rPr>
            </w:pPr>
            <w:r w:rsidRPr="000F7E56">
              <w:rPr>
                <w:rFonts w:ascii="Calibri" w:eastAsia="Calibri" w:hAnsi="Calibri" w:cs="Times New Roman"/>
              </w:rPr>
              <w:t>(1)2 (2)2</w:t>
            </w:r>
          </w:p>
        </w:tc>
        <w:tc>
          <w:tcPr>
            <w:tcW w:w="1098" w:type="dxa"/>
          </w:tcPr>
          <w:p w14:paraId="3E915664" w14:textId="77777777" w:rsidR="000F7E56" w:rsidRPr="000F7E56" w:rsidRDefault="000F7E56" w:rsidP="000F7E56">
            <w:pPr>
              <w:rPr>
                <w:rFonts w:ascii="Calibri" w:eastAsia="Calibri" w:hAnsi="Calibri" w:cs="Times New Roman"/>
              </w:rPr>
            </w:pPr>
          </w:p>
        </w:tc>
        <w:tc>
          <w:tcPr>
            <w:tcW w:w="4329" w:type="dxa"/>
          </w:tcPr>
          <w:p w14:paraId="68AC094D" w14:textId="77777777" w:rsidR="000F7E56" w:rsidRPr="000F7E56" w:rsidRDefault="000F7E56" w:rsidP="000F7E56">
            <w:pPr>
              <w:rPr>
                <w:rFonts w:ascii="Calibri" w:eastAsia="Calibri" w:hAnsi="Calibri" w:cs="Times New Roman"/>
              </w:rPr>
            </w:pPr>
            <w:r w:rsidRPr="000F7E56">
              <w:rPr>
                <w:rFonts w:ascii="Calibri" w:eastAsia="Calibri" w:hAnsi="Calibri" w:cs="Times New Roman"/>
              </w:rPr>
              <w:t>Case complete Feb. 2020</w:t>
            </w:r>
          </w:p>
          <w:p w14:paraId="2AEDBA0C" w14:textId="77777777" w:rsidR="000F7E56" w:rsidRPr="000F7E56" w:rsidRDefault="000F7E56" w:rsidP="000F7E56">
            <w:pPr>
              <w:rPr>
                <w:rFonts w:ascii="Calibri" w:eastAsia="Calibri" w:hAnsi="Calibri" w:cs="Times New Roman"/>
              </w:rPr>
            </w:pPr>
            <w:r w:rsidRPr="000F7E56">
              <w:rPr>
                <w:rFonts w:ascii="Calibri" w:eastAsia="Calibri" w:hAnsi="Calibri" w:cs="Times New Roman"/>
              </w:rPr>
              <w:t>Including 2 interviews with FCGs post bereavement</w:t>
            </w:r>
          </w:p>
          <w:p w14:paraId="7D07277C" w14:textId="77777777" w:rsidR="000F7E56" w:rsidRPr="000F7E56" w:rsidRDefault="000F7E56" w:rsidP="000F7E56">
            <w:pPr>
              <w:rPr>
                <w:rFonts w:ascii="Calibri" w:eastAsia="Calibri" w:hAnsi="Calibri" w:cs="Times New Roman"/>
              </w:rPr>
            </w:pPr>
            <w:r w:rsidRPr="000F7E56">
              <w:rPr>
                <w:rFonts w:ascii="Calibri" w:eastAsia="Calibri" w:hAnsi="Calibri" w:cs="Times New Roman"/>
              </w:rPr>
              <w:t>FCG1: daughter. FCG2: daughter (adults)</w:t>
            </w:r>
          </w:p>
          <w:p w14:paraId="1682CB0B" w14:textId="77777777" w:rsidR="000F7E56" w:rsidRPr="000F7E56" w:rsidRDefault="000F7E56" w:rsidP="000F7E56">
            <w:pPr>
              <w:rPr>
                <w:rFonts w:ascii="Calibri" w:eastAsia="Calibri" w:hAnsi="Calibri" w:cs="Times New Roman"/>
              </w:rPr>
            </w:pPr>
            <w:r w:rsidRPr="000F7E56">
              <w:rPr>
                <w:rFonts w:ascii="Calibri" w:eastAsia="Calibri" w:hAnsi="Calibri" w:cs="Times New Roman"/>
              </w:rPr>
              <w:t>Patient died Sept 2019</w:t>
            </w:r>
          </w:p>
        </w:tc>
        <w:tc>
          <w:tcPr>
            <w:tcW w:w="898" w:type="dxa"/>
          </w:tcPr>
          <w:p w14:paraId="32B41660" w14:textId="77777777" w:rsidR="000F7E56" w:rsidRPr="000F7E56" w:rsidRDefault="000F7E56" w:rsidP="000F7E56">
            <w:pPr>
              <w:rPr>
                <w:rFonts w:ascii="Calibri" w:eastAsia="Calibri" w:hAnsi="Calibri" w:cs="Times New Roman"/>
              </w:rPr>
            </w:pPr>
            <w:r w:rsidRPr="000F7E56">
              <w:rPr>
                <w:rFonts w:ascii="Calibri" w:eastAsia="Calibri" w:hAnsi="Calibri" w:cs="Times New Roman"/>
              </w:rPr>
              <w:t>N</w:t>
            </w:r>
          </w:p>
        </w:tc>
      </w:tr>
      <w:tr w:rsidR="000F7E56" w:rsidRPr="000F7E56" w14:paraId="00A83016" w14:textId="77777777" w:rsidTr="000F7E56">
        <w:tc>
          <w:tcPr>
            <w:tcW w:w="2209" w:type="dxa"/>
          </w:tcPr>
          <w:p w14:paraId="2AE083F1" w14:textId="77777777" w:rsidR="000F7E56" w:rsidRPr="000F7E56" w:rsidRDefault="000F7E56" w:rsidP="000F7E56">
            <w:pPr>
              <w:rPr>
                <w:rFonts w:ascii="Calibri" w:eastAsia="Calibri" w:hAnsi="Calibri" w:cs="Times New Roman"/>
              </w:rPr>
            </w:pPr>
            <w:r w:rsidRPr="000F7E56">
              <w:rPr>
                <w:rFonts w:ascii="Calibri" w:eastAsia="Calibri" w:hAnsi="Calibri" w:cs="Times New Roman"/>
              </w:rPr>
              <w:t xml:space="preserve">Mr </w:t>
            </w:r>
            <w:proofErr w:type="spellStart"/>
            <w:r w:rsidRPr="000F7E56">
              <w:rPr>
                <w:rFonts w:ascii="Calibri" w:eastAsia="Calibri" w:hAnsi="Calibri" w:cs="Times New Roman"/>
              </w:rPr>
              <w:t>Chitnis</w:t>
            </w:r>
            <w:proofErr w:type="spellEnd"/>
          </w:p>
        </w:tc>
        <w:tc>
          <w:tcPr>
            <w:tcW w:w="878" w:type="dxa"/>
          </w:tcPr>
          <w:p w14:paraId="0232784A" w14:textId="77777777" w:rsidR="000F7E56" w:rsidRPr="000F7E56" w:rsidRDefault="000F7E56" w:rsidP="000F7E56">
            <w:pPr>
              <w:rPr>
                <w:rFonts w:ascii="Calibri" w:eastAsia="Calibri" w:hAnsi="Calibri" w:cs="Times New Roman"/>
              </w:rPr>
            </w:pPr>
            <w:r w:rsidRPr="000F7E56">
              <w:rPr>
                <w:rFonts w:ascii="Calibri" w:eastAsia="Calibri" w:hAnsi="Calibri" w:cs="Times New Roman"/>
              </w:rPr>
              <w:t>2</w:t>
            </w:r>
          </w:p>
        </w:tc>
        <w:tc>
          <w:tcPr>
            <w:tcW w:w="1220" w:type="dxa"/>
          </w:tcPr>
          <w:p w14:paraId="653D6A26" w14:textId="77777777" w:rsidR="000F7E56" w:rsidRPr="000F7E56" w:rsidRDefault="000F7E56" w:rsidP="000F7E56">
            <w:pPr>
              <w:rPr>
                <w:rFonts w:ascii="Calibri" w:eastAsia="Calibri" w:hAnsi="Calibri" w:cs="Times New Roman"/>
              </w:rPr>
            </w:pPr>
          </w:p>
        </w:tc>
        <w:tc>
          <w:tcPr>
            <w:tcW w:w="1098" w:type="dxa"/>
          </w:tcPr>
          <w:p w14:paraId="001E27A7" w14:textId="77777777" w:rsidR="000F7E56" w:rsidRPr="000F7E56" w:rsidRDefault="000F7E56" w:rsidP="000F7E56">
            <w:pPr>
              <w:rPr>
                <w:rFonts w:ascii="Calibri" w:eastAsia="Calibri" w:hAnsi="Calibri" w:cs="Times New Roman"/>
              </w:rPr>
            </w:pPr>
            <w:r w:rsidRPr="000F7E56">
              <w:rPr>
                <w:rFonts w:ascii="Calibri" w:eastAsia="Calibri" w:hAnsi="Calibri" w:cs="Times New Roman"/>
              </w:rPr>
              <w:t>1</w:t>
            </w:r>
          </w:p>
        </w:tc>
        <w:tc>
          <w:tcPr>
            <w:tcW w:w="4329" w:type="dxa"/>
          </w:tcPr>
          <w:p w14:paraId="1FE3CEBE" w14:textId="77777777" w:rsidR="000F7E56" w:rsidRPr="000F7E56" w:rsidRDefault="000F7E56" w:rsidP="000F7E56">
            <w:pPr>
              <w:rPr>
                <w:rFonts w:ascii="Calibri" w:eastAsia="Calibri" w:hAnsi="Calibri" w:cs="Times New Roman"/>
              </w:rPr>
            </w:pPr>
            <w:r w:rsidRPr="000F7E56">
              <w:rPr>
                <w:rFonts w:ascii="Calibri" w:eastAsia="Calibri" w:hAnsi="Calibri" w:cs="Times New Roman"/>
              </w:rPr>
              <w:t>Case complete March 2020</w:t>
            </w:r>
          </w:p>
          <w:p w14:paraId="017F14CA" w14:textId="77777777" w:rsidR="000F7E56" w:rsidRPr="000F7E56" w:rsidRDefault="000F7E56" w:rsidP="000F7E56">
            <w:pPr>
              <w:rPr>
                <w:rFonts w:ascii="Calibri" w:eastAsia="Calibri" w:hAnsi="Calibri" w:cs="Times New Roman"/>
              </w:rPr>
            </w:pPr>
            <w:r w:rsidRPr="000F7E56">
              <w:rPr>
                <w:rFonts w:ascii="Calibri" w:eastAsia="Calibri" w:hAnsi="Calibri" w:cs="Times New Roman"/>
              </w:rPr>
              <w:t>HCP: Specialist Cardiology nurse</w:t>
            </w:r>
          </w:p>
          <w:p w14:paraId="034D2902" w14:textId="77777777" w:rsidR="000F7E56" w:rsidRPr="000F7E56" w:rsidRDefault="000F7E56" w:rsidP="000F7E56">
            <w:pPr>
              <w:rPr>
                <w:rFonts w:ascii="Calibri" w:eastAsia="Calibri" w:hAnsi="Calibri" w:cs="Times New Roman"/>
              </w:rPr>
            </w:pPr>
            <w:r w:rsidRPr="000F7E56">
              <w:rPr>
                <w:rFonts w:ascii="Calibri" w:eastAsia="Calibri" w:hAnsi="Calibri" w:cs="Times New Roman"/>
              </w:rPr>
              <w:t>No FCGs identified</w:t>
            </w:r>
          </w:p>
        </w:tc>
        <w:tc>
          <w:tcPr>
            <w:tcW w:w="898" w:type="dxa"/>
          </w:tcPr>
          <w:p w14:paraId="422AD7DE" w14:textId="77777777" w:rsidR="000F7E56" w:rsidRPr="000F7E56" w:rsidRDefault="000F7E56" w:rsidP="000F7E56">
            <w:pPr>
              <w:rPr>
                <w:rFonts w:ascii="Calibri" w:eastAsia="Calibri" w:hAnsi="Calibri" w:cs="Times New Roman"/>
              </w:rPr>
            </w:pPr>
            <w:r w:rsidRPr="000F7E56">
              <w:rPr>
                <w:rFonts w:ascii="Calibri" w:eastAsia="Calibri" w:hAnsi="Calibri" w:cs="Times New Roman"/>
              </w:rPr>
              <w:t>N</w:t>
            </w:r>
          </w:p>
        </w:tc>
      </w:tr>
      <w:tr w:rsidR="000F7E56" w:rsidRPr="000F7E56" w14:paraId="5D7097A5" w14:textId="77777777" w:rsidTr="000F7E56">
        <w:tc>
          <w:tcPr>
            <w:tcW w:w="2209" w:type="dxa"/>
          </w:tcPr>
          <w:p w14:paraId="4F496B59" w14:textId="77777777" w:rsidR="000F7E56" w:rsidRPr="000F7E56" w:rsidRDefault="000F7E56" w:rsidP="000F7E56">
            <w:pPr>
              <w:rPr>
                <w:rFonts w:ascii="Calibri" w:eastAsia="Calibri" w:hAnsi="Calibri" w:cs="Times New Roman"/>
              </w:rPr>
            </w:pPr>
            <w:r w:rsidRPr="000F7E56">
              <w:rPr>
                <w:rFonts w:ascii="Calibri" w:eastAsia="Calibri" w:hAnsi="Calibri" w:cs="Times New Roman"/>
              </w:rPr>
              <w:t>Mrs Chadha</w:t>
            </w:r>
          </w:p>
        </w:tc>
        <w:tc>
          <w:tcPr>
            <w:tcW w:w="878" w:type="dxa"/>
          </w:tcPr>
          <w:p w14:paraId="4EA80761" w14:textId="77777777" w:rsidR="000F7E56" w:rsidRPr="000F7E56" w:rsidRDefault="000F7E56" w:rsidP="000F7E56">
            <w:pPr>
              <w:rPr>
                <w:rFonts w:ascii="Calibri" w:eastAsia="Calibri" w:hAnsi="Calibri" w:cs="Times New Roman"/>
              </w:rPr>
            </w:pPr>
            <w:r w:rsidRPr="000F7E56">
              <w:rPr>
                <w:rFonts w:ascii="Calibri" w:eastAsia="Calibri" w:hAnsi="Calibri" w:cs="Times New Roman"/>
              </w:rPr>
              <w:t>3</w:t>
            </w:r>
          </w:p>
        </w:tc>
        <w:tc>
          <w:tcPr>
            <w:tcW w:w="1220" w:type="dxa"/>
          </w:tcPr>
          <w:p w14:paraId="1F2FF593" w14:textId="77777777" w:rsidR="000F7E56" w:rsidRPr="000F7E56" w:rsidRDefault="000F7E56" w:rsidP="000F7E56">
            <w:pPr>
              <w:rPr>
                <w:rFonts w:ascii="Calibri" w:eastAsia="Calibri" w:hAnsi="Calibri" w:cs="Times New Roman"/>
              </w:rPr>
            </w:pPr>
            <w:r w:rsidRPr="000F7E56">
              <w:rPr>
                <w:rFonts w:ascii="Calibri" w:eastAsia="Calibri" w:hAnsi="Calibri" w:cs="Times New Roman"/>
              </w:rPr>
              <w:t>3</w:t>
            </w:r>
          </w:p>
        </w:tc>
        <w:tc>
          <w:tcPr>
            <w:tcW w:w="1098" w:type="dxa"/>
          </w:tcPr>
          <w:p w14:paraId="0DECBA02" w14:textId="77777777" w:rsidR="000F7E56" w:rsidRPr="000F7E56" w:rsidRDefault="000F7E56" w:rsidP="000F7E56">
            <w:pPr>
              <w:rPr>
                <w:rFonts w:ascii="Calibri" w:eastAsia="Calibri" w:hAnsi="Calibri" w:cs="Times New Roman"/>
              </w:rPr>
            </w:pPr>
            <w:r w:rsidRPr="000F7E56">
              <w:rPr>
                <w:rFonts w:ascii="Calibri" w:eastAsia="Calibri" w:hAnsi="Calibri" w:cs="Times New Roman"/>
              </w:rPr>
              <w:t>1</w:t>
            </w:r>
          </w:p>
        </w:tc>
        <w:tc>
          <w:tcPr>
            <w:tcW w:w="4329" w:type="dxa"/>
          </w:tcPr>
          <w:p w14:paraId="4DA89BA5" w14:textId="77777777" w:rsidR="000F7E56" w:rsidRPr="000F7E56" w:rsidRDefault="000F7E56" w:rsidP="000F7E56">
            <w:pPr>
              <w:rPr>
                <w:rFonts w:ascii="Calibri" w:eastAsia="Calibri" w:hAnsi="Calibri" w:cs="Times New Roman"/>
              </w:rPr>
            </w:pPr>
            <w:r w:rsidRPr="000F7E56">
              <w:rPr>
                <w:rFonts w:ascii="Calibri" w:eastAsia="Calibri" w:hAnsi="Calibri" w:cs="Times New Roman"/>
              </w:rPr>
              <w:t>Case complete March 2020</w:t>
            </w:r>
          </w:p>
          <w:p w14:paraId="5867D644" w14:textId="77777777" w:rsidR="000F7E56" w:rsidRPr="000F7E56" w:rsidRDefault="000F7E56" w:rsidP="000F7E56">
            <w:pPr>
              <w:rPr>
                <w:rFonts w:ascii="Calibri" w:eastAsia="Calibri" w:hAnsi="Calibri" w:cs="Times New Roman"/>
              </w:rPr>
            </w:pPr>
            <w:r w:rsidRPr="000F7E56">
              <w:rPr>
                <w:rFonts w:ascii="Calibri" w:eastAsia="Calibri" w:hAnsi="Calibri" w:cs="Times New Roman"/>
              </w:rPr>
              <w:t>HCP: Specialist Cardiology nurse</w:t>
            </w:r>
          </w:p>
          <w:p w14:paraId="2293D9ED" w14:textId="77777777" w:rsidR="000F7E56" w:rsidRPr="000F7E56" w:rsidRDefault="000F7E56" w:rsidP="000F7E56">
            <w:pPr>
              <w:rPr>
                <w:rFonts w:ascii="Calibri" w:eastAsia="Calibri" w:hAnsi="Calibri" w:cs="Times New Roman"/>
              </w:rPr>
            </w:pPr>
            <w:r w:rsidRPr="000F7E56">
              <w:rPr>
                <w:rFonts w:ascii="Calibri" w:eastAsia="Calibri" w:hAnsi="Calibri" w:cs="Times New Roman"/>
              </w:rPr>
              <w:t>FCG: daughter (adult)</w:t>
            </w:r>
          </w:p>
        </w:tc>
        <w:tc>
          <w:tcPr>
            <w:tcW w:w="898" w:type="dxa"/>
          </w:tcPr>
          <w:p w14:paraId="1D1C302B" w14:textId="77777777" w:rsidR="000F7E56" w:rsidRPr="000F7E56" w:rsidRDefault="000F7E56" w:rsidP="000F7E56">
            <w:pPr>
              <w:rPr>
                <w:rFonts w:ascii="Calibri" w:eastAsia="Calibri" w:hAnsi="Calibri" w:cs="Times New Roman"/>
              </w:rPr>
            </w:pPr>
            <w:r w:rsidRPr="000F7E56">
              <w:rPr>
                <w:rFonts w:ascii="Calibri" w:eastAsia="Calibri" w:hAnsi="Calibri" w:cs="Times New Roman"/>
              </w:rPr>
              <w:t>Y</w:t>
            </w:r>
          </w:p>
        </w:tc>
      </w:tr>
      <w:tr w:rsidR="000F7E56" w:rsidRPr="000F7E56" w14:paraId="35A7E1CA" w14:textId="77777777" w:rsidTr="000F7E56">
        <w:tc>
          <w:tcPr>
            <w:tcW w:w="2209" w:type="dxa"/>
          </w:tcPr>
          <w:p w14:paraId="43766D5B" w14:textId="77777777" w:rsidR="000F7E56" w:rsidRPr="000F7E56" w:rsidRDefault="000F7E56" w:rsidP="000F7E56">
            <w:pPr>
              <w:rPr>
                <w:rFonts w:ascii="Calibri" w:eastAsia="Calibri" w:hAnsi="Calibri" w:cs="Times New Roman"/>
              </w:rPr>
            </w:pPr>
            <w:r w:rsidRPr="000F7E56">
              <w:rPr>
                <w:rFonts w:ascii="Calibri" w:eastAsia="Calibri" w:hAnsi="Calibri" w:cs="Times New Roman"/>
              </w:rPr>
              <w:t>Ms Chapman</w:t>
            </w:r>
          </w:p>
        </w:tc>
        <w:tc>
          <w:tcPr>
            <w:tcW w:w="878" w:type="dxa"/>
          </w:tcPr>
          <w:p w14:paraId="314E22C9" w14:textId="77777777" w:rsidR="000F7E56" w:rsidRPr="000F7E56" w:rsidRDefault="000F7E56" w:rsidP="000F7E56">
            <w:pPr>
              <w:rPr>
                <w:rFonts w:ascii="Calibri" w:eastAsia="Calibri" w:hAnsi="Calibri" w:cs="Times New Roman"/>
              </w:rPr>
            </w:pPr>
            <w:r w:rsidRPr="000F7E56">
              <w:rPr>
                <w:rFonts w:ascii="Calibri" w:eastAsia="Calibri" w:hAnsi="Calibri" w:cs="Times New Roman"/>
              </w:rPr>
              <w:t>3</w:t>
            </w:r>
          </w:p>
        </w:tc>
        <w:tc>
          <w:tcPr>
            <w:tcW w:w="1220" w:type="dxa"/>
          </w:tcPr>
          <w:p w14:paraId="1D9953FC" w14:textId="77777777" w:rsidR="000F7E56" w:rsidRPr="000F7E56" w:rsidRDefault="000F7E56" w:rsidP="000F7E56">
            <w:pPr>
              <w:rPr>
                <w:rFonts w:ascii="Calibri" w:eastAsia="Calibri" w:hAnsi="Calibri" w:cs="Times New Roman"/>
              </w:rPr>
            </w:pPr>
          </w:p>
        </w:tc>
        <w:tc>
          <w:tcPr>
            <w:tcW w:w="1098" w:type="dxa"/>
          </w:tcPr>
          <w:p w14:paraId="1E37B1A8" w14:textId="77777777" w:rsidR="000F7E56" w:rsidRPr="000F7E56" w:rsidRDefault="000F7E56" w:rsidP="000F7E56">
            <w:pPr>
              <w:rPr>
                <w:rFonts w:ascii="Calibri" w:eastAsia="Calibri" w:hAnsi="Calibri" w:cs="Times New Roman"/>
              </w:rPr>
            </w:pPr>
            <w:r w:rsidRPr="000F7E56">
              <w:rPr>
                <w:rFonts w:ascii="Calibri" w:eastAsia="Calibri" w:hAnsi="Calibri" w:cs="Times New Roman"/>
              </w:rPr>
              <w:t>1</w:t>
            </w:r>
          </w:p>
        </w:tc>
        <w:tc>
          <w:tcPr>
            <w:tcW w:w="4329" w:type="dxa"/>
          </w:tcPr>
          <w:p w14:paraId="59A73BF8" w14:textId="77777777" w:rsidR="000F7E56" w:rsidRPr="000F7E56" w:rsidRDefault="000F7E56" w:rsidP="000F7E56">
            <w:pPr>
              <w:rPr>
                <w:rFonts w:ascii="Calibri" w:eastAsia="Calibri" w:hAnsi="Calibri" w:cs="Times New Roman"/>
              </w:rPr>
            </w:pPr>
            <w:r w:rsidRPr="000F7E56">
              <w:rPr>
                <w:rFonts w:ascii="Calibri" w:eastAsia="Calibri" w:hAnsi="Calibri" w:cs="Times New Roman"/>
              </w:rPr>
              <w:t>Case complete Jan. 2020</w:t>
            </w:r>
          </w:p>
          <w:p w14:paraId="7FB46CEF" w14:textId="77777777" w:rsidR="000F7E56" w:rsidRPr="000F7E56" w:rsidRDefault="000F7E56" w:rsidP="000F7E56">
            <w:pPr>
              <w:rPr>
                <w:rFonts w:ascii="Calibri" w:eastAsia="Calibri" w:hAnsi="Calibri" w:cs="Times New Roman"/>
              </w:rPr>
            </w:pPr>
            <w:r w:rsidRPr="000F7E56">
              <w:rPr>
                <w:rFonts w:ascii="Calibri" w:eastAsia="Calibri" w:hAnsi="Calibri" w:cs="Times New Roman"/>
              </w:rPr>
              <w:t>HCP: Specialist Cancer nurse</w:t>
            </w:r>
          </w:p>
          <w:p w14:paraId="47C416D8" w14:textId="77777777" w:rsidR="000F7E56" w:rsidRPr="000F7E56" w:rsidRDefault="000F7E56" w:rsidP="000F7E56">
            <w:pPr>
              <w:rPr>
                <w:rFonts w:ascii="Calibri" w:eastAsia="Calibri" w:hAnsi="Calibri" w:cs="Times New Roman"/>
              </w:rPr>
            </w:pPr>
            <w:r w:rsidRPr="000F7E56">
              <w:rPr>
                <w:rFonts w:ascii="Calibri" w:eastAsia="Calibri" w:hAnsi="Calibri" w:cs="Times New Roman"/>
              </w:rPr>
              <w:t>No FCG identified</w:t>
            </w:r>
          </w:p>
        </w:tc>
        <w:tc>
          <w:tcPr>
            <w:tcW w:w="898" w:type="dxa"/>
          </w:tcPr>
          <w:p w14:paraId="48AD266C" w14:textId="77777777" w:rsidR="000F7E56" w:rsidRPr="000F7E56" w:rsidRDefault="000F7E56" w:rsidP="000F7E56">
            <w:pPr>
              <w:rPr>
                <w:rFonts w:ascii="Calibri" w:eastAsia="Calibri" w:hAnsi="Calibri" w:cs="Times New Roman"/>
              </w:rPr>
            </w:pPr>
            <w:r w:rsidRPr="000F7E56">
              <w:rPr>
                <w:rFonts w:ascii="Calibri" w:eastAsia="Calibri" w:hAnsi="Calibri" w:cs="Times New Roman"/>
              </w:rPr>
              <w:t>N</w:t>
            </w:r>
          </w:p>
        </w:tc>
      </w:tr>
      <w:tr w:rsidR="000F7E56" w:rsidRPr="000F7E56" w14:paraId="4C220730" w14:textId="77777777" w:rsidTr="000F7E56">
        <w:trPr>
          <w:trHeight w:val="416"/>
        </w:trPr>
        <w:tc>
          <w:tcPr>
            <w:tcW w:w="2209" w:type="dxa"/>
          </w:tcPr>
          <w:p w14:paraId="048DD316" w14:textId="77777777" w:rsidR="000F7E56" w:rsidRPr="000F7E56" w:rsidRDefault="000F7E56" w:rsidP="000F7E56">
            <w:pPr>
              <w:rPr>
                <w:rFonts w:ascii="Calibri" w:eastAsia="Calibri" w:hAnsi="Calibri" w:cs="Times New Roman"/>
              </w:rPr>
            </w:pPr>
            <w:r w:rsidRPr="000F7E56">
              <w:rPr>
                <w:rFonts w:ascii="Calibri" w:eastAsia="Calibri" w:hAnsi="Calibri" w:cs="Times New Roman"/>
              </w:rPr>
              <w:t xml:space="preserve">Mr </w:t>
            </w:r>
            <w:proofErr w:type="spellStart"/>
            <w:r w:rsidRPr="000F7E56">
              <w:rPr>
                <w:rFonts w:ascii="Calibri" w:eastAsia="Calibri" w:hAnsi="Calibri" w:cs="Times New Roman"/>
              </w:rPr>
              <w:t>Chifamba</w:t>
            </w:r>
            <w:proofErr w:type="spellEnd"/>
          </w:p>
        </w:tc>
        <w:tc>
          <w:tcPr>
            <w:tcW w:w="878" w:type="dxa"/>
          </w:tcPr>
          <w:p w14:paraId="4FE79828" w14:textId="77777777" w:rsidR="000F7E56" w:rsidRPr="000F7E56" w:rsidRDefault="000F7E56" w:rsidP="000F7E56">
            <w:pPr>
              <w:rPr>
                <w:rFonts w:ascii="Calibri" w:eastAsia="Calibri" w:hAnsi="Calibri" w:cs="Times New Roman"/>
              </w:rPr>
            </w:pPr>
            <w:r w:rsidRPr="000F7E56">
              <w:rPr>
                <w:rFonts w:ascii="Calibri" w:eastAsia="Calibri" w:hAnsi="Calibri" w:cs="Times New Roman"/>
              </w:rPr>
              <w:t>2</w:t>
            </w:r>
          </w:p>
        </w:tc>
        <w:tc>
          <w:tcPr>
            <w:tcW w:w="1220" w:type="dxa"/>
          </w:tcPr>
          <w:p w14:paraId="02C513F9" w14:textId="77777777" w:rsidR="000F7E56" w:rsidRPr="000F7E56" w:rsidRDefault="000F7E56" w:rsidP="000F7E56">
            <w:pPr>
              <w:rPr>
                <w:rFonts w:ascii="Calibri" w:eastAsia="Calibri" w:hAnsi="Calibri" w:cs="Times New Roman"/>
              </w:rPr>
            </w:pPr>
            <w:r w:rsidRPr="000F7E56">
              <w:rPr>
                <w:rFonts w:ascii="Calibri" w:eastAsia="Calibri" w:hAnsi="Calibri" w:cs="Times New Roman"/>
              </w:rPr>
              <w:t>(1)2</w:t>
            </w:r>
          </w:p>
          <w:p w14:paraId="5D9BD7F9" w14:textId="77777777" w:rsidR="000F7E56" w:rsidRPr="000F7E56" w:rsidRDefault="000F7E56" w:rsidP="000F7E56">
            <w:pPr>
              <w:rPr>
                <w:rFonts w:ascii="Calibri" w:eastAsia="Calibri" w:hAnsi="Calibri" w:cs="Times New Roman"/>
              </w:rPr>
            </w:pPr>
            <w:r w:rsidRPr="000F7E56">
              <w:rPr>
                <w:rFonts w:ascii="Calibri" w:eastAsia="Calibri" w:hAnsi="Calibri" w:cs="Times New Roman"/>
              </w:rPr>
              <w:t>(2)1</w:t>
            </w:r>
          </w:p>
        </w:tc>
        <w:tc>
          <w:tcPr>
            <w:tcW w:w="1098" w:type="dxa"/>
          </w:tcPr>
          <w:p w14:paraId="3EB96538" w14:textId="77777777" w:rsidR="000F7E56" w:rsidRPr="000F7E56" w:rsidRDefault="000F7E56" w:rsidP="000F7E56">
            <w:pPr>
              <w:rPr>
                <w:rFonts w:ascii="Calibri" w:eastAsia="Calibri" w:hAnsi="Calibri" w:cs="Times New Roman"/>
              </w:rPr>
            </w:pPr>
          </w:p>
        </w:tc>
        <w:tc>
          <w:tcPr>
            <w:tcW w:w="4329" w:type="dxa"/>
          </w:tcPr>
          <w:p w14:paraId="696CE630" w14:textId="77777777" w:rsidR="000F7E56" w:rsidRPr="000F7E56" w:rsidRDefault="000F7E56" w:rsidP="000F7E56">
            <w:pPr>
              <w:rPr>
                <w:rFonts w:ascii="Calibri" w:eastAsia="Calibri" w:hAnsi="Calibri" w:cs="Times New Roman"/>
              </w:rPr>
            </w:pPr>
            <w:r w:rsidRPr="000F7E56">
              <w:rPr>
                <w:rFonts w:ascii="Calibri" w:eastAsia="Calibri" w:hAnsi="Calibri" w:cs="Times New Roman"/>
              </w:rPr>
              <w:t>Case complete Nov. 2019</w:t>
            </w:r>
          </w:p>
          <w:p w14:paraId="11C7BF45" w14:textId="77777777" w:rsidR="000F7E56" w:rsidRPr="000F7E56" w:rsidRDefault="000F7E56" w:rsidP="000F7E56">
            <w:pPr>
              <w:rPr>
                <w:rFonts w:ascii="Calibri" w:eastAsia="Calibri" w:hAnsi="Calibri" w:cs="Times New Roman"/>
              </w:rPr>
            </w:pPr>
            <w:r w:rsidRPr="000F7E56">
              <w:rPr>
                <w:rFonts w:ascii="Calibri" w:eastAsia="Calibri" w:hAnsi="Calibri" w:cs="Times New Roman"/>
              </w:rPr>
              <w:t>FCG1: mother. FCG2: sister (adult)</w:t>
            </w:r>
          </w:p>
        </w:tc>
        <w:tc>
          <w:tcPr>
            <w:tcW w:w="898" w:type="dxa"/>
          </w:tcPr>
          <w:p w14:paraId="370168E6" w14:textId="77777777" w:rsidR="000F7E56" w:rsidRPr="000F7E56" w:rsidRDefault="000F7E56" w:rsidP="000F7E56">
            <w:pPr>
              <w:rPr>
                <w:rFonts w:ascii="Calibri" w:eastAsia="Calibri" w:hAnsi="Calibri" w:cs="Times New Roman"/>
              </w:rPr>
            </w:pPr>
            <w:r w:rsidRPr="000F7E56">
              <w:rPr>
                <w:rFonts w:ascii="Calibri" w:eastAsia="Calibri" w:hAnsi="Calibri" w:cs="Times New Roman"/>
              </w:rPr>
              <w:t>Y</w:t>
            </w:r>
          </w:p>
        </w:tc>
      </w:tr>
      <w:tr w:rsidR="000F7E56" w:rsidRPr="000F7E56" w14:paraId="304C9B78" w14:textId="77777777" w:rsidTr="000F7E56">
        <w:tc>
          <w:tcPr>
            <w:tcW w:w="2209" w:type="dxa"/>
          </w:tcPr>
          <w:p w14:paraId="507A88CA" w14:textId="77777777" w:rsidR="000F7E56" w:rsidRPr="000F7E56" w:rsidRDefault="000F7E56" w:rsidP="000F7E56">
            <w:pPr>
              <w:rPr>
                <w:rFonts w:ascii="Calibri" w:eastAsia="Calibri" w:hAnsi="Calibri" w:cs="Times New Roman"/>
              </w:rPr>
            </w:pPr>
            <w:r w:rsidRPr="000F7E56">
              <w:rPr>
                <w:rFonts w:ascii="Calibri" w:eastAsia="Calibri" w:hAnsi="Calibri" w:cs="Times New Roman"/>
              </w:rPr>
              <w:t xml:space="preserve">Mr </w:t>
            </w:r>
            <w:proofErr w:type="spellStart"/>
            <w:r w:rsidRPr="000F7E56">
              <w:rPr>
                <w:rFonts w:ascii="Calibri" w:eastAsia="Calibri" w:hAnsi="Calibri" w:cs="Times New Roman"/>
              </w:rPr>
              <w:t>Cobbina</w:t>
            </w:r>
            <w:proofErr w:type="spellEnd"/>
          </w:p>
        </w:tc>
        <w:tc>
          <w:tcPr>
            <w:tcW w:w="878" w:type="dxa"/>
          </w:tcPr>
          <w:p w14:paraId="07DE8ABF" w14:textId="77777777" w:rsidR="000F7E56" w:rsidRPr="000F7E56" w:rsidRDefault="000F7E56" w:rsidP="000F7E56">
            <w:pPr>
              <w:rPr>
                <w:rFonts w:ascii="Calibri" w:eastAsia="Calibri" w:hAnsi="Calibri" w:cs="Times New Roman"/>
              </w:rPr>
            </w:pPr>
            <w:r w:rsidRPr="000F7E56">
              <w:rPr>
                <w:rFonts w:ascii="Calibri" w:eastAsia="Calibri" w:hAnsi="Calibri" w:cs="Times New Roman"/>
              </w:rPr>
              <w:t>3</w:t>
            </w:r>
          </w:p>
        </w:tc>
        <w:tc>
          <w:tcPr>
            <w:tcW w:w="1220" w:type="dxa"/>
          </w:tcPr>
          <w:p w14:paraId="7F7D814C" w14:textId="77777777" w:rsidR="000F7E56" w:rsidRPr="000F7E56" w:rsidRDefault="000F7E56" w:rsidP="000F7E56">
            <w:pPr>
              <w:rPr>
                <w:rFonts w:ascii="Calibri" w:eastAsia="Calibri" w:hAnsi="Calibri" w:cs="Times New Roman"/>
              </w:rPr>
            </w:pPr>
          </w:p>
        </w:tc>
        <w:tc>
          <w:tcPr>
            <w:tcW w:w="1098" w:type="dxa"/>
          </w:tcPr>
          <w:p w14:paraId="0CD63E7E" w14:textId="77777777" w:rsidR="000F7E56" w:rsidRPr="000F7E56" w:rsidRDefault="000F7E56" w:rsidP="000F7E56">
            <w:pPr>
              <w:rPr>
                <w:rFonts w:ascii="Calibri" w:eastAsia="Calibri" w:hAnsi="Calibri" w:cs="Times New Roman"/>
              </w:rPr>
            </w:pPr>
            <w:r w:rsidRPr="000F7E56">
              <w:rPr>
                <w:rFonts w:ascii="Calibri" w:eastAsia="Calibri" w:hAnsi="Calibri" w:cs="Times New Roman"/>
              </w:rPr>
              <w:t>1</w:t>
            </w:r>
          </w:p>
        </w:tc>
        <w:tc>
          <w:tcPr>
            <w:tcW w:w="4329" w:type="dxa"/>
          </w:tcPr>
          <w:p w14:paraId="1228213F" w14:textId="77777777" w:rsidR="000F7E56" w:rsidRPr="000F7E56" w:rsidRDefault="000F7E56" w:rsidP="000F7E56">
            <w:pPr>
              <w:rPr>
                <w:rFonts w:ascii="Calibri" w:eastAsia="Calibri" w:hAnsi="Calibri" w:cs="Times New Roman"/>
              </w:rPr>
            </w:pPr>
            <w:r w:rsidRPr="000F7E56">
              <w:rPr>
                <w:rFonts w:ascii="Calibri" w:eastAsia="Calibri" w:hAnsi="Calibri" w:cs="Times New Roman"/>
              </w:rPr>
              <w:t>Case complete March 2020</w:t>
            </w:r>
          </w:p>
          <w:p w14:paraId="28902D94" w14:textId="77777777" w:rsidR="000F7E56" w:rsidRPr="000F7E56" w:rsidRDefault="000F7E56" w:rsidP="000F7E56">
            <w:pPr>
              <w:rPr>
                <w:rFonts w:ascii="Calibri" w:eastAsia="Calibri" w:hAnsi="Calibri" w:cs="Times New Roman"/>
              </w:rPr>
            </w:pPr>
            <w:r w:rsidRPr="000F7E56">
              <w:rPr>
                <w:rFonts w:ascii="Calibri" w:eastAsia="Calibri" w:hAnsi="Calibri" w:cs="Times New Roman"/>
              </w:rPr>
              <w:t>HCP: Specialist Cancer nurse</w:t>
            </w:r>
          </w:p>
          <w:p w14:paraId="3E314961" w14:textId="77777777" w:rsidR="000F7E56" w:rsidRPr="000F7E56" w:rsidRDefault="000F7E56" w:rsidP="000F7E56">
            <w:pPr>
              <w:rPr>
                <w:rFonts w:ascii="Calibri" w:eastAsia="Calibri" w:hAnsi="Calibri" w:cs="Times New Roman"/>
              </w:rPr>
            </w:pPr>
            <w:r w:rsidRPr="000F7E56">
              <w:rPr>
                <w:rFonts w:ascii="Calibri" w:eastAsia="Calibri" w:hAnsi="Calibri" w:cs="Times New Roman"/>
              </w:rPr>
              <w:t>No FCG identified</w:t>
            </w:r>
          </w:p>
        </w:tc>
        <w:tc>
          <w:tcPr>
            <w:tcW w:w="898" w:type="dxa"/>
          </w:tcPr>
          <w:p w14:paraId="03D8D413" w14:textId="77777777" w:rsidR="000F7E56" w:rsidRPr="000F7E56" w:rsidRDefault="000F7E56" w:rsidP="000F7E56">
            <w:pPr>
              <w:rPr>
                <w:rFonts w:ascii="Calibri" w:eastAsia="Calibri" w:hAnsi="Calibri" w:cs="Times New Roman"/>
              </w:rPr>
            </w:pPr>
            <w:r w:rsidRPr="000F7E56">
              <w:rPr>
                <w:rFonts w:ascii="Calibri" w:eastAsia="Calibri" w:hAnsi="Calibri" w:cs="Times New Roman"/>
              </w:rPr>
              <w:t>Y</w:t>
            </w:r>
          </w:p>
        </w:tc>
      </w:tr>
      <w:tr w:rsidR="000F7E56" w:rsidRPr="000F7E56" w14:paraId="16AA5AD0" w14:textId="77777777" w:rsidTr="000F7E56">
        <w:tc>
          <w:tcPr>
            <w:tcW w:w="2209" w:type="dxa"/>
          </w:tcPr>
          <w:p w14:paraId="05F517C6" w14:textId="77777777" w:rsidR="000F7E56" w:rsidRPr="000F7E56" w:rsidRDefault="000F7E56" w:rsidP="000F7E56">
            <w:pPr>
              <w:rPr>
                <w:rFonts w:ascii="Calibri" w:eastAsia="Calibri" w:hAnsi="Calibri" w:cs="Times New Roman"/>
              </w:rPr>
            </w:pPr>
            <w:r w:rsidRPr="000F7E56">
              <w:rPr>
                <w:rFonts w:ascii="Calibri" w:eastAsia="Calibri" w:hAnsi="Calibri" w:cs="Times New Roman"/>
              </w:rPr>
              <w:t xml:space="preserve">Mrs </w:t>
            </w:r>
            <w:proofErr w:type="spellStart"/>
            <w:r w:rsidRPr="000F7E56">
              <w:rPr>
                <w:rFonts w:ascii="Calibri" w:eastAsia="Calibri" w:hAnsi="Calibri" w:cs="Times New Roman"/>
              </w:rPr>
              <w:t>Curkovic</w:t>
            </w:r>
            <w:proofErr w:type="spellEnd"/>
          </w:p>
        </w:tc>
        <w:tc>
          <w:tcPr>
            <w:tcW w:w="878" w:type="dxa"/>
          </w:tcPr>
          <w:p w14:paraId="269DBDDB" w14:textId="77777777" w:rsidR="000F7E56" w:rsidRPr="000F7E56" w:rsidRDefault="000F7E56" w:rsidP="000F7E56">
            <w:pPr>
              <w:rPr>
                <w:rFonts w:ascii="Calibri" w:eastAsia="Calibri" w:hAnsi="Calibri" w:cs="Times New Roman"/>
              </w:rPr>
            </w:pPr>
          </w:p>
        </w:tc>
        <w:tc>
          <w:tcPr>
            <w:tcW w:w="1220" w:type="dxa"/>
          </w:tcPr>
          <w:p w14:paraId="0C893382" w14:textId="77777777" w:rsidR="000F7E56" w:rsidRPr="000F7E56" w:rsidRDefault="000F7E56" w:rsidP="000F7E56">
            <w:pPr>
              <w:rPr>
                <w:rFonts w:ascii="Calibri" w:eastAsia="Calibri" w:hAnsi="Calibri" w:cs="Times New Roman"/>
              </w:rPr>
            </w:pPr>
            <w:r w:rsidRPr="000F7E56">
              <w:rPr>
                <w:rFonts w:ascii="Calibri" w:eastAsia="Calibri" w:hAnsi="Calibri" w:cs="Times New Roman"/>
              </w:rPr>
              <w:t>(1)2</w:t>
            </w:r>
          </w:p>
          <w:p w14:paraId="0689B781" w14:textId="77777777" w:rsidR="000F7E56" w:rsidRPr="000F7E56" w:rsidRDefault="000F7E56" w:rsidP="000F7E56">
            <w:pPr>
              <w:rPr>
                <w:rFonts w:ascii="Calibri" w:eastAsia="Calibri" w:hAnsi="Calibri" w:cs="Times New Roman"/>
              </w:rPr>
            </w:pPr>
            <w:r w:rsidRPr="000F7E56">
              <w:rPr>
                <w:rFonts w:ascii="Calibri" w:eastAsia="Calibri" w:hAnsi="Calibri" w:cs="Times New Roman"/>
              </w:rPr>
              <w:t>(2)3</w:t>
            </w:r>
          </w:p>
        </w:tc>
        <w:tc>
          <w:tcPr>
            <w:tcW w:w="1098" w:type="dxa"/>
          </w:tcPr>
          <w:p w14:paraId="6C5188F5" w14:textId="77777777" w:rsidR="000F7E56" w:rsidRPr="000F7E56" w:rsidRDefault="000F7E56" w:rsidP="000F7E56">
            <w:pPr>
              <w:rPr>
                <w:rFonts w:ascii="Calibri" w:eastAsia="Calibri" w:hAnsi="Calibri" w:cs="Times New Roman"/>
              </w:rPr>
            </w:pPr>
            <w:r w:rsidRPr="000F7E56">
              <w:rPr>
                <w:rFonts w:ascii="Calibri" w:eastAsia="Calibri" w:hAnsi="Calibri" w:cs="Times New Roman"/>
              </w:rPr>
              <w:t>1</w:t>
            </w:r>
          </w:p>
        </w:tc>
        <w:tc>
          <w:tcPr>
            <w:tcW w:w="4329" w:type="dxa"/>
          </w:tcPr>
          <w:p w14:paraId="0F000895" w14:textId="77777777" w:rsidR="000F7E56" w:rsidRPr="000F7E56" w:rsidRDefault="000F7E56" w:rsidP="000F7E56">
            <w:pPr>
              <w:rPr>
                <w:rFonts w:ascii="Calibri" w:eastAsia="Calibri" w:hAnsi="Calibri" w:cs="Times New Roman"/>
              </w:rPr>
            </w:pPr>
            <w:r w:rsidRPr="000F7E56">
              <w:rPr>
                <w:rFonts w:ascii="Calibri" w:eastAsia="Calibri" w:hAnsi="Calibri" w:cs="Times New Roman"/>
              </w:rPr>
              <w:t>Case complete April 2020</w:t>
            </w:r>
          </w:p>
          <w:p w14:paraId="0F55ED0F" w14:textId="77777777" w:rsidR="000F7E56" w:rsidRPr="000F7E56" w:rsidRDefault="000F7E56" w:rsidP="000F7E56">
            <w:pPr>
              <w:rPr>
                <w:rFonts w:ascii="Calibri" w:eastAsia="Calibri" w:hAnsi="Calibri" w:cs="Times New Roman"/>
              </w:rPr>
            </w:pPr>
            <w:r w:rsidRPr="000F7E56">
              <w:rPr>
                <w:rFonts w:ascii="Calibri" w:eastAsia="Calibri" w:hAnsi="Calibri" w:cs="Times New Roman"/>
              </w:rPr>
              <w:t>HCP: Specialist nurse in Primary Care</w:t>
            </w:r>
          </w:p>
          <w:p w14:paraId="6E742360" w14:textId="77777777" w:rsidR="000F7E56" w:rsidRPr="000F7E56" w:rsidRDefault="000F7E56" w:rsidP="000F7E56">
            <w:pPr>
              <w:rPr>
                <w:rFonts w:ascii="Calibri" w:eastAsia="Calibri" w:hAnsi="Calibri" w:cs="Times New Roman"/>
              </w:rPr>
            </w:pPr>
            <w:r w:rsidRPr="000F7E56">
              <w:rPr>
                <w:rFonts w:ascii="Calibri" w:eastAsia="Calibri" w:hAnsi="Calibri" w:cs="Times New Roman"/>
              </w:rPr>
              <w:t>FCG1: daughter. FCG2: daughter (adults)</w:t>
            </w:r>
          </w:p>
        </w:tc>
        <w:tc>
          <w:tcPr>
            <w:tcW w:w="898" w:type="dxa"/>
          </w:tcPr>
          <w:p w14:paraId="787E0C4A" w14:textId="77777777" w:rsidR="000F7E56" w:rsidRPr="000F7E56" w:rsidRDefault="000F7E56" w:rsidP="000F7E56">
            <w:pPr>
              <w:rPr>
                <w:rFonts w:ascii="Calibri" w:eastAsia="Calibri" w:hAnsi="Calibri" w:cs="Times New Roman"/>
              </w:rPr>
            </w:pPr>
            <w:r w:rsidRPr="000F7E56">
              <w:rPr>
                <w:rFonts w:ascii="Calibri" w:eastAsia="Calibri" w:hAnsi="Calibri" w:cs="Times New Roman"/>
              </w:rPr>
              <w:t>Y</w:t>
            </w:r>
          </w:p>
        </w:tc>
      </w:tr>
      <w:tr w:rsidR="000F7E56" w:rsidRPr="000F7E56" w14:paraId="227A8BB0" w14:textId="77777777" w:rsidTr="000F7E56">
        <w:tc>
          <w:tcPr>
            <w:tcW w:w="2209" w:type="dxa"/>
          </w:tcPr>
          <w:p w14:paraId="206A8EA5" w14:textId="77777777" w:rsidR="000F7E56" w:rsidRPr="000F7E56" w:rsidRDefault="000F7E56" w:rsidP="000F7E56">
            <w:pPr>
              <w:rPr>
                <w:rFonts w:ascii="Calibri" w:eastAsia="Calibri" w:hAnsi="Calibri" w:cs="Times New Roman"/>
              </w:rPr>
            </w:pPr>
            <w:r w:rsidRPr="000F7E56">
              <w:rPr>
                <w:rFonts w:ascii="Calibri" w:eastAsia="Calibri" w:hAnsi="Calibri" w:cs="Times New Roman"/>
              </w:rPr>
              <w:t xml:space="preserve">Mrs </w:t>
            </w:r>
            <w:proofErr w:type="spellStart"/>
            <w:r w:rsidRPr="000F7E56">
              <w:rPr>
                <w:rFonts w:ascii="Calibri" w:eastAsia="Calibri" w:hAnsi="Calibri" w:cs="Times New Roman"/>
              </w:rPr>
              <w:t>Chavara</w:t>
            </w:r>
            <w:proofErr w:type="spellEnd"/>
          </w:p>
        </w:tc>
        <w:tc>
          <w:tcPr>
            <w:tcW w:w="878" w:type="dxa"/>
          </w:tcPr>
          <w:p w14:paraId="32EF0272" w14:textId="77777777" w:rsidR="000F7E56" w:rsidRPr="000F7E56" w:rsidRDefault="000F7E56" w:rsidP="000F7E56">
            <w:pPr>
              <w:rPr>
                <w:rFonts w:ascii="Calibri" w:eastAsia="Calibri" w:hAnsi="Calibri" w:cs="Times New Roman"/>
              </w:rPr>
            </w:pPr>
            <w:r w:rsidRPr="000F7E56">
              <w:rPr>
                <w:rFonts w:ascii="Calibri" w:eastAsia="Calibri" w:hAnsi="Calibri" w:cs="Times New Roman"/>
              </w:rPr>
              <w:t>1</w:t>
            </w:r>
          </w:p>
        </w:tc>
        <w:tc>
          <w:tcPr>
            <w:tcW w:w="1220" w:type="dxa"/>
          </w:tcPr>
          <w:p w14:paraId="163D933A" w14:textId="77777777" w:rsidR="000F7E56" w:rsidRPr="000F7E56" w:rsidRDefault="000F7E56" w:rsidP="000F7E56">
            <w:pPr>
              <w:rPr>
                <w:rFonts w:ascii="Calibri" w:eastAsia="Calibri" w:hAnsi="Calibri" w:cs="Times New Roman"/>
              </w:rPr>
            </w:pPr>
            <w:r w:rsidRPr="000F7E56">
              <w:rPr>
                <w:rFonts w:ascii="Calibri" w:eastAsia="Calibri" w:hAnsi="Calibri" w:cs="Times New Roman"/>
              </w:rPr>
              <w:t>1</w:t>
            </w:r>
          </w:p>
        </w:tc>
        <w:tc>
          <w:tcPr>
            <w:tcW w:w="1098" w:type="dxa"/>
          </w:tcPr>
          <w:p w14:paraId="5345DA4E" w14:textId="77777777" w:rsidR="000F7E56" w:rsidRPr="000F7E56" w:rsidRDefault="000F7E56" w:rsidP="000F7E56">
            <w:pPr>
              <w:rPr>
                <w:rFonts w:ascii="Calibri" w:eastAsia="Calibri" w:hAnsi="Calibri" w:cs="Times New Roman"/>
              </w:rPr>
            </w:pPr>
          </w:p>
        </w:tc>
        <w:tc>
          <w:tcPr>
            <w:tcW w:w="4329" w:type="dxa"/>
          </w:tcPr>
          <w:p w14:paraId="39D4D20E" w14:textId="77777777" w:rsidR="000F7E56" w:rsidRPr="000F7E56" w:rsidRDefault="000F7E56" w:rsidP="000F7E56">
            <w:pPr>
              <w:rPr>
                <w:rFonts w:ascii="Calibri" w:eastAsia="Calibri" w:hAnsi="Calibri" w:cs="Times New Roman"/>
              </w:rPr>
            </w:pPr>
            <w:r w:rsidRPr="000F7E56">
              <w:rPr>
                <w:rFonts w:ascii="Calibri" w:eastAsia="Calibri" w:hAnsi="Calibri" w:cs="Times New Roman"/>
              </w:rPr>
              <w:t>Case complete Dec. 2019FCG: husband</w:t>
            </w:r>
          </w:p>
          <w:p w14:paraId="348B3642" w14:textId="77777777" w:rsidR="000F7E56" w:rsidRPr="000F7E56" w:rsidRDefault="000F7E56" w:rsidP="000F7E56">
            <w:pPr>
              <w:rPr>
                <w:rFonts w:ascii="Calibri" w:eastAsia="Calibri" w:hAnsi="Calibri" w:cs="Times New Roman"/>
              </w:rPr>
            </w:pPr>
            <w:r w:rsidRPr="000F7E56">
              <w:rPr>
                <w:rFonts w:ascii="Calibri" w:eastAsia="Calibri" w:hAnsi="Calibri" w:cs="Times New Roman"/>
              </w:rPr>
              <w:t>Patient died 2020. No post-bereavement interview</w:t>
            </w:r>
          </w:p>
        </w:tc>
        <w:tc>
          <w:tcPr>
            <w:tcW w:w="898" w:type="dxa"/>
          </w:tcPr>
          <w:p w14:paraId="5BAD4D47" w14:textId="77777777" w:rsidR="000F7E56" w:rsidRPr="000F7E56" w:rsidRDefault="000F7E56" w:rsidP="000F7E56">
            <w:pPr>
              <w:rPr>
                <w:rFonts w:ascii="Calibri" w:eastAsia="Calibri" w:hAnsi="Calibri" w:cs="Times New Roman"/>
              </w:rPr>
            </w:pPr>
            <w:r w:rsidRPr="000F7E56">
              <w:rPr>
                <w:rFonts w:ascii="Calibri" w:eastAsia="Calibri" w:hAnsi="Calibri" w:cs="Times New Roman"/>
              </w:rPr>
              <w:t>Y</w:t>
            </w:r>
          </w:p>
        </w:tc>
      </w:tr>
    </w:tbl>
    <w:p w14:paraId="524DB22F" w14:textId="5D5EABBA" w:rsidR="000F7E56" w:rsidRPr="000F7E56" w:rsidRDefault="000F7E56" w:rsidP="000F7E56">
      <w:pPr>
        <w:keepNext/>
        <w:spacing w:after="200" w:line="240" w:lineRule="auto"/>
        <w:jc w:val="both"/>
        <w:rPr>
          <w:rFonts w:cstheme="minorHAnsi"/>
          <w:iCs/>
          <w:color w:val="44546A" w:themeColor="text2"/>
        </w:rPr>
      </w:pPr>
      <w:bookmarkStart w:id="247" w:name="_Toc89967512"/>
      <w:bookmarkStart w:id="248" w:name="_Toc106701063"/>
      <w:r w:rsidRPr="000F7E56">
        <w:rPr>
          <w:rFonts w:cstheme="minorHAnsi"/>
          <w:iCs/>
          <w:color w:val="44546A" w:themeColor="text2"/>
        </w:rPr>
        <w:t xml:space="preserve">TABLE </w:t>
      </w:r>
      <w:r w:rsidRPr="000F7E56">
        <w:rPr>
          <w:rFonts w:cstheme="minorHAnsi"/>
          <w:iCs/>
          <w:color w:val="44546A" w:themeColor="text2"/>
        </w:rPr>
        <w:fldChar w:fldCharType="begin"/>
      </w:r>
      <w:r w:rsidRPr="000F7E56">
        <w:rPr>
          <w:rFonts w:cstheme="minorHAnsi"/>
          <w:iCs/>
          <w:color w:val="44546A" w:themeColor="text2"/>
        </w:rPr>
        <w:instrText xml:space="preserve"> SEQ Table \* ARABIC </w:instrText>
      </w:r>
      <w:r w:rsidRPr="000F7E56">
        <w:rPr>
          <w:rFonts w:cstheme="minorHAnsi"/>
          <w:iCs/>
          <w:color w:val="44546A" w:themeColor="text2"/>
        </w:rPr>
        <w:fldChar w:fldCharType="separate"/>
      </w:r>
      <w:r w:rsidR="00514EB4">
        <w:rPr>
          <w:rFonts w:cstheme="minorHAnsi"/>
          <w:iCs/>
          <w:noProof/>
          <w:color w:val="44546A" w:themeColor="text2"/>
        </w:rPr>
        <w:t>1</w:t>
      </w:r>
      <w:r w:rsidRPr="000F7E56">
        <w:rPr>
          <w:rFonts w:cstheme="minorHAnsi"/>
          <w:iCs/>
          <w:noProof/>
          <w:color w:val="44546A" w:themeColor="text2"/>
        </w:rPr>
        <w:fldChar w:fldCharType="end"/>
      </w:r>
      <w:r w:rsidRPr="000F7E56">
        <w:rPr>
          <w:rFonts w:cstheme="minorHAnsi"/>
          <w:iCs/>
          <w:noProof/>
          <w:color w:val="44546A" w:themeColor="text2"/>
        </w:rPr>
        <w:t xml:space="preserve"> </w:t>
      </w:r>
      <w:r w:rsidR="000C7E4F">
        <w:rPr>
          <w:rFonts w:cstheme="minorHAnsi"/>
          <w:iCs/>
          <w:color w:val="44546A" w:themeColor="text2"/>
        </w:rPr>
        <w:t>–</w:t>
      </w:r>
      <w:r w:rsidRPr="000F7E56">
        <w:rPr>
          <w:rFonts w:cstheme="minorHAnsi"/>
          <w:iCs/>
          <w:color w:val="44546A" w:themeColor="text2"/>
        </w:rPr>
        <w:t xml:space="preserve"> </w:t>
      </w:r>
      <w:bookmarkEnd w:id="247"/>
      <w:r w:rsidR="000C7E4F">
        <w:rPr>
          <w:rFonts w:cstheme="minorHAnsi"/>
          <w:iCs/>
          <w:color w:val="44546A" w:themeColor="text2"/>
        </w:rPr>
        <w:t>Patient case study composition</w:t>
      </w:r>
      <w:bookmarkEnd w:id="248"/>
    </w:p>
    <w:p w14:paraId="09B98759" w14:textId="77777777" w:rsidR="000F7E56" w:rsidRPr="000F7E56" w:rsidRDefault="000F7E56" w:rsidP="000F7E56"/>
    <w:bookmarkEnd w:id="246"/>
    <w:p w14:paraId="2D8A25BE" w14:textId="77777777" w:rsidR="000F7E56" w:rsidRPr="000F7E56" w:rsidRDefault="000F7E56" w:rsidP="000F7E56"/>
    <w:p w14:paraId="27D6BDA5" w14:textId="77777777" w:rsidR="000F7E56" w:rsidRPr="000F7E56" w:rsidRDefault="000F7E56" w:rsidP="000F7E56"/>
    <w:p w14:paraId="743631B0" w14:textId="77777777" w:rsidR="000F7E56" w:rsidRPr="000F7E56" w:rsidRDefault="000F7E56" w:rsidP="000F7E56"/>
    <w:p w14:paraId="5E1D2978" w14:textId="77777777" w:rsidR="000F7E56" w:rsidRPr="000F7E56" w:rsidRDefault="000F7E56" w:rsidP="000F7E56"/>
    <w:p w14:paraId="1FCCB63D" w14:textId="77777777" w:rsidR="000F7E56" w:rsidRPr="000F7E56" w:rsidRDefault="000F7E56" w:rsidP="000F7E56"/>
    <w:p w14:paraId="0B780D3E" w14:textId="77777777" w:rsidR="000F7E56" w:rsidRPr="000F7E56" w:rsidRDefault="000F7E56" w:rsidP="000F7E56">
      <w:pPr>
        <w:spacing w:after="120" w:line="360" w:lineRule="auto"/>
        <w:rPr>
          <w:rFonts w:ascii="Calibri" w:eastAsia="Calibri" w:hAnsi="Calibri" w:cs="Calibri"/>
        </w:rPr>
      </w:pPr>
      <w:bookmarkStart w:id="249" w:name="_Hlk89356468"/>
    </w:p>
    <w:p w14:paraId="17A0B727" w14:textId="77777777" w:rsidR="000F7E56" w:rsidRPr="000F7E56" w:rsidRDefault="000F7E56" w:rsidP="000F7E56">
      <w:pPr>
        <w:spacing w:after="120" w:line="360" w:lineRule="auto"/>
        <w:rPr>
          <w:rFonts w:ascii="Calibri" w:eastAsia="Calibri" w:hAnsi="Calibri" w:cs="Calibri"/>
        </w:rPr>
      </w:pPr>
    </w:p>
    <w:p w14:paraId="0B9F0C6B" w14:textId="571151FC" w:rsidR="000F7E56" w:rsidRPr="000F7E56" w:rsidRDefault="000F7E56" w:rsidP="000F7E56">
      <w:pPr>
        <w:spacing w:after="120" w:line="360" w:lineRule="auto"/>
        <w:rPr>
          <w:rFonts w:ascii="Calibri" w:eastAsia="Calibri" w:hAnsi="Calibri" w:cs="Times New Roman"/>
        </w:rPr>
      </w:pPr>
      <w:r w:rsidRPr="000F7E56">
        <w:rPr>
          <w:rFonts w:ascii="Calibri" w:eastAsia="Calibri" w:hAnsi="Calibri" w:cs="Calibri"/>
        </w:rPr>
        <w:lastRenderedPageBreak/>
        <w:t xml:space="preserve">The 18 patients were recruited via a diversity of care providers: three hospices (10/18), Acute Trust (2/18), primary care (1/18), one Community Trust (3/18) or via self-referral through/through a community organisation (2/18). A detailed breakdown of the patient participant demographic characteristics is detailed in Table 2. In summary, </w:t>
      </w:r>
      <w:bookmarkStart w:id="250" w:name="_Hlk90280278"/>
      <w:r w:rsidRPr="000F7E56">
        <w:rPr>
          <w:rFonts w:ascii="Calibri" w:eastAsia="Calibri" w:hAnsi="Calibri" w:cs="Calibri"/>
        </w:rPr>
        <w:t>the age of the participants ranged between 40 and 96 years old. The majority (n=11) had cancer</w:t>
      </w:r>
      <w:r w:rsidRPr="000F7E56">
        <w:rPr>
          <w:rFonts w:ascii="Calibri" w:eastAsia="Calibri" w:hAnsi="Calibri" w:cs="Times New Roman"/>
        </w:rPr>
        <w:t>. Eleven of the participants were female and seven were male. Ten participants described their ethnicity as Indian, three as Caribbean, two as African. The remaining three participants described themselves as Pakistani, Former Yugoslavian and Chinese. Just over one third of the participants described their faith as Christian (n=7), with a further third Hindu (</w:t>
      </w:r>
      <w:r w:rsidR="00966DB7">
        <w:rPr>
          <w:rFonts w:ascii="Calibri" w:eastAsia="Calibri" w:hAnsi="Calibri" w:cs="Times New Roman"/>
        </w:rPr>
        <w:t>n</w:t>
      </w:r>
      <w:r w:rsidRPr="000F7E56">
        <w:rPr>
          <w:rFonts w:ascii="Calibri" w:eastAsia="Calibri" w:hAnsi="Calibri" w:cs="Times New Roman"/>
        </w:rPr>
        <w:t xml:space="preserve">=6). Other participants were Muslim (n=3), Jain (n=1) and Buddhist (n=1). Their living and social circumstances were quite diverse. Although the majority (n=8) lived with a spouse, eight lived as a sole adult and four had dependent children. Two lived with their adult children. </w:t>
      </w:r>
      <w:bookmarkEnd w:id="250"/>
      <w:r w:rsidRPr="000F7E56">
        <w:rPr>
          <w:rFonts w:ascii="Calibri" w:eastAsia="Calibri" w:hAnsi="Calibri" w:cs="Times New Roman"/>
        </w:rPr>
        <w:t>Four of the case studies required at least one participant to be interviewed with the assistance of an interpreter.</w:t>
      </w:r>
    </w:p>
    <w:p w14:paraId="6FAC0FA7" w14:textId="77777777" w:rsidR="000F7E56" w:rsidRPr="000F7E56" w:rsidRDefault="000F7E56" w:rsidP="000F7E56">
      <w:pPr>
        <w:rPr>
          <w:rFonts w:ascii="Calibri" w:eastAsia="Calibri" w:hAnsi="Calibri" w:cs="Times New Roman"/>
        </w:rPr>
      </w:pPr>
      <w:r w:rsidRPr="000F7E56">
        <w:rPr>
          <w:rFonts w:ascii="Calibri" w:eastAsia="Calibri" w:hAnsi="Calibri" w:cs="Times New Roman"/>
        </w:rPr>
        <w:br w:type="page"/>
      </w:r>
    </w:p>
    <w:p w14:paraId="36E16F02" w14:textId="0F33186E" w:rsidR="000F7E56" w:rsidRPr="000F7E56" w:rsidRDefault="000F7E56" w:rsidP="000F7E56">
      <w:pPr>
        <w:spacing w:after="120" w:line="360" w:lineRule="auto"/>
        <w:rPr>
          <w:rFonts w:ascii="Calibri" w:eastAsia="Calibri" w:hAnsi="Calibri" w:cs="Times New Roman"/>
        </w:rPr>
        <w:sectPr w:rsidR="000F7E56" w:rsidRPr="000F7E56" w:rsidSect="000F7E56">
          <w:footerReference w:type="default" r:id="rId25"/>
          <w:pgSz w:w="11906" w:h="16838"/>
          <w:pgMar w:top="1440" w:right="1134" w:bottom="1440" w:left="1134" w:header="709" w:footer="709" w:gutter="0"/>
          <w:cols w:space="708"/>
          <w:docGrid w:linePitch="360"/>
        </w:sectPr>
      </w:pPr>
    </w:p>
    <w:bookmarkEnd w:id="249"/>
    <w:p w14:paraId="26D59E0D" w14:textId="77777777" w:rsidR="000F7E56" w:rsidRPr="000F7E56" w:rsidRDefault="000F7E56" w:rsidP="000F7E56"/>
    <w:tbl>
      <w:tblPr>
        <w:tblStyle w:val="TableGrid"/>
        <w:tblW w:w="15452" w:type="dxa"/>
        <w:tblInd w:w="-289" w:type="dxa"/>
        <w:tblLook w:val="04A0" w:firstRow="1" w:lastRow="0" w:firstColumn="1" w:lastColumn="0" w:noHBand="0" w:noVBand="1"/>
      </w:tblPr>
      <w:tblGrid>
        <w:gridCol w:w="1702"/>
        <w:gridCol w:w="1843"/>
        <w:gridCol w:w="1972"/>
        <w:gridCol w:w="1743"/>
        <w:gridCol w:w="1671"/>
        <w:gridCol w:w="913"/>
        <w:gridCol w:w="5608"/>
      </w:tblGrid>
      <w:tr w:rsidR="005F0C76" w14:paraId="74EADE84" w14:textId="77777777" w:rsidTr="00C76FEB">
        <w:tc>
          <w:tcPr>
            <w:tcW w:w="1702" w:type="dxa"/>
          </w:tcPr>
          <w:p w14:paraId="67D9F6F1" w14:textId="77777777" w:rsidR="005F0C76" w:rsidRPr="009E6600" w:rsidRDefault="005F0C76" w:rsidP="00496C3B">
            <w:pPr>
              <w:rPr>
                <w:b/>
              </w:rPr>
            </w:pPr>
            <w:r w:rsidRPr="009E6600">
              <w:rPr>
                <w:b/>
              </w:rPr>
              <w:t>Pseudonym</w:t>
            </w:r>
          </w:p>
        </w:tc>
        <w:tc>
          <w:tcPr>
            <w:tcW w:w="1843" w:type="dxa"/>
          </w:tcPr>
          <w:p w14:paraId="2FE36B4F" w14:textId="77777777" w:rsidR="005F0C76" w:rsidRPr="009E6600" w:rsidRDefault="005F0C76" w:rsidP="00496C3B">
            <w:pPr>
              <w:rPr>
                <w:b/>
              </w:rPr>
            </w:pPr>
            <w:r w:rsidRPr="009E6600">
              <w:rPr>
                <w:b/>
              </w:rPr>
              <w:t>Religion/faith</w:t>
            </w:r>
          </w:p>
        </w:tc>
        <w:tc>
          <w:tcPr>
            <w:tcW w:w="1972" w:type="dxa"/>
          </w:tcPr>
          <w:p w14:paraId="42987923" w14:textId="77777777" w:rsidR="005F0C76" w:rsidRPr="009E6600" w:rsidRDefault="005F0C76" w:rsidP="00496C3B">
            <w:pPr>
              <w:rPr>
                <w:b/>
              </w:rPr>
            </w:pPr>
            <w:r w:rsidRPr="009E6600">
              <w:rPr>
                <w:b/>
              </w:rPr>
              <w:t>Self-identified ethnicity</w:t>
            </w:r>
          </w:p>
        </w:tc>
        <w:tc>
          <w:tcPr>
            <w:tcW w:w="1743" w:type="dxa"/>
          </w:tcPr>
          <w:p w14:paraId="6E6BF978" w14:textId="77777777" w:rsidR="005F0C76" w:rsidRPr="009E6600" w:rsidRDefault="005F0C76" w:rsidP="00496C3B">
            <w:pPr>
              <w:rPr>
                <w:b/>
              </w:rPr>
            </w:pPr>
            <w:r w:rsidRPr="009E6600">
              <w:rPr>
                <w:b/>
              </w:rPr>
              <w:t>Disease/illness</w:t>
            </w:r>
          </w:p>
        </w:tc>
        <w:tc>
          <w:tcPr>
            <w:tcW w:w="1671" w:type="dxa"/>
          </w:tcPr>
          <w:p w14:paraId="3F4E74EB" w14:textId="77777777" w:rsidR="005F0C76" w:rsidRPr="009E6600" w:rsidRDefault="005F0C76" w:rsidP="00496C3B">
            <w:pPr>
              <w:rPr>
                <w:b/>
              </w:rPr>
            </w:pPr>
            <w:r w:rsidRPr="009E6600">
              <w:rPr>
                <w:b/>
              </w:rPr>
              <w:t xml:space="preserve">Language </w:t>
            </w:r>
            <w:r>
              <w:rPr>
                <w:b/>
              </w:rPr>
              <w:t xml:space="preserve">of </w:t>
            </w:r>
            <w:r w:rsidRPr="009E6600">
              <w:rPr>
                <w:b/>
              </w:rPr>
              <w:t xml:space="preserve">interview </w:t>
            </w:r>
          </w:p>
        </w:tc>
        <w:tc>
          <w:tcPr>
            <w:tcW w:w="913" w:type="dxa"/>
          </w:tcPr>
          <w:p w14:paraId="3FE82CD2" w14:textId="77777777" w:rsidR="005F0C76" w:rsidRPr="009E6600" w:rsidRDefault="005F0C76" w:rsidP="00496C3B">
            <w:pPr>
              <w:rPr>
                <w:b/>
              </w:rPr>
            </w:pPr>
            <w:r w:rsidRPr="009E6600">
              <w:rPr>
                <w:b/>
              </w:rPr>
              <w:t>Age</w:t>
            </w:r>
          </w:p>
        </w:tc>
        <w:tc>
          <w:tcPr>
            <w:tcW w:w="5608" w:type="dxa"/>
          </w:tcPr>
          <w:p w14:paraId="490C38C6" w14:textId="77777777" w:rsidR="005F0C76" w:rsidRPr="009E6600" w:rsidRDefault="005F0C76" w:rsidP="00496C3B">
            <w:pPr>
              <w:rPr>
                <w:b/>
              </w:rPr>
            </w:pPr>
            <w:r w:rsidRPr="009E6600">
              <w:rPr>
                <w:b/>
              </w:rPr>
              <w:t>Lives with: other support</w:t>
            </w:r>
          </w:p>
        </w:tc>
      </w:tr>
      <w:tr w:rsidR="005F0C76" w14:paraId="5162B247" w14:textId="77777777" w:rsidTr="00C76FEB">
        <w:tc>
          <w:tcPr>
            <w:tcW w:w="1702" w:type="dxa"/>
          </w:tcPr>
          <w:p w14:paraId="71675EF1" w14:textId="77777777" w:rsidR="005F0C76" w:rsidRDefault="005F0C76" w:rsidP="00496C3B">
            <w:r>
              <w:t>Mrs Caprice</w:t>
            </w:r>
          </w:p>
        </w:tc>
        <w:tc>
          <w:tcPr>
            <w:tcW w:w="1843" w:type="dxa"/>
          </w:tcPr>
          <w:p w14:paraId="25B24075" w14:textId="77777777" w:rsidR="005F0C76" w:rsidRDefault="005F0C76" w:rsidP="00496C3B">
            <w:r>
              <w:t>Christian</w:t>
            </w:r>
          </w:p>
        </w:tc>
        <w:tc>
          <w:tcPr>
            <w:tcW w:w="1972" w:type="dxa"/>
          </w:tcPr>
          <w:p w14:paraId="425F9A8D" w14:textId="77777777" w:rsidR="005F0C76" w:rsidRDefault="005F0C76" w:rsidP="00496C3B">
            <w:r>
              <w:t>Caribbean</w:t>
            </w:r>
          </w:p>
        </w:tc>
        <w:tc>
          <w:tcPr>
            <w:tcW w:w="1743" w:type="dxa"/>
          </w:tcPr>
          <w:p w14:paraId="68B8E917" w14:textId="77777777" w:rsidR="005F0C76" w:rsidRDefault="005F0C76" w:rsidP="00496C3B">
            <w:r>
              <w:t>Breast cancer</w:t>
            </w:r>
          </w:p>
        </w:tc>
        <w:tc>
          <w:tcPr>
            <w:tcW w:w="1671" w:type="dxa"/>
          </w:tcPr>
          <w:p w14:paraId="18D2F757" w14:textId="77777777" w:rsidR="005F0C76" w:rsidRDefault="005F0C76" w:rsidP="00496C3B">
            <w:r>
              <w:t>English</w:t>
            </w:r>
          </w:p>
        </w:tc>
        <w:tc>
          <w:tcPr>
            <w:tcW w:w="913" w:type="dxa"/>
          </w:tcPr>
          <w:p w14:paraId="7067923B" w14:textId="77777777" w:rsidR="005F0C76" w:rsidRDefault="005F0C76" w:rsidP="00496C3B">
            <w:r>
              <w:t>64</w:t>
            </w:r>
          </w:p>
        </w:tc>
        <w:tc>
          <w:tcPr>
            <w:tcW w:w="5608" w:type="dxa"/>
          </w:tcPr>
          <w:p w14:paraId="5061C22A" w14:textId="77777777" w:rsidR="005F0C76" w:rsidRDefault="005F0C76" w:rsidP="00496C3B">
            <w:r>
              <w:t>Spouse; dependent children</w:t>
            </w:r>
          </w:p>
        </w:tc>
      </w:tr>
      <w:tr w:rsidR="005F0C76" w14:paraId="7B68E5B6" w14:textId="77777777" w:rsidTr="00C76FEB">
        <w:tc>
          <w:tcPr>
            <w:tcW w:w="1702" w:type="dxa"/>
          </w:tcPr>
          <w:p w14:paraId="525E32A5" w14:textId="77777777" w:rsidR="005F0C76" w:rsidRDefault="005F0C76" w:rsidP="00496C3B">
            <w:r>
              <w:t>Mr Chahine</w:t>
            </w:r>
          </w:p>
        </w:tc>
        <w:tc>
          <w:tcPr>
            <w:tcW w:w="1843" w:type="dxa"/>
          </w:tcPr>
          <w:p w14:paraId="02C9D084" w14:textId="77777777" w:rsidR="005F0C76" w:rsidRDefault="005F0C76" w:rsidP="00496C3B">
            <w:r>
              <w:t>Muslim</w:t>
            </w:r>
          </w:p>
        </w:tc>
        <w:tc>
          <w:tcPr>
            <w:tcW w:w="1972" w:type="dxa"/>
          </w:tcPr>
          <w:p w14:paraId="13511300" w14:textId="77777777" w:rsidR="005F0C76" w:rsidRDefault="005F0C76" w:rsidP="00496C3B">
            <w:r>
              <w:t>Indian</w:t>
            </w:r>
          </w:p>
        </w:tc>
        <w:tc>
          <w:tcPr>
            <w:tcW w:w="1743" w:type="dxa"/>
          </w:tcPr>
          <w:p w14:paraId="28529F93" w14:textId="77777777" w:rsidR="005F0C76" w:rsidRDefault="005F0C76" w:rsidP="00496C3B">
            <w:r>
              <w:t>MND</w:t>
            </w:r>
          </w:p>
        </w:tc>
        <w:tc>
          <w:tcPr>
            <w:tcW w:w="1671" w:type="dxa"/>
          </w:tcPr>
          <w:p w14:paraId="04C09A34" w14:textId="77777777" w:rsidR="005F0C76" w:rsidRDefault="005F0C76" w:rsidP="00496C3B">
            <w:r>
              <w:t>Gujarati</w:t>
            </w:r>
          </w:p>
        </w:tc>
        <w:tc>
          <w:tcPr>
            <w:tcW w:w="913" w:type="dxa"/>
          </w:tcPr>
          <w:p w14:paraId="6BE88186" w14:textId="77777777" w:rsidR="005F0C76" w:rsidRDefault="005F0C76" w:rsidP="00496C3B">
            <w:r>
              <w:t>86</w:t>
            </w:r>
          </w:p>
        </w:tc>
        <w:tc>
          <w:tcPr>
            <w:tcW w:w="5608" w:type="dxa"/>
          </w:tcPr>
          <w:p w14:paraId="51BDDA34" w14:textId="77777777" w:rsidR="005F0C76" w:rsidRDefault="005F0C76" w:rsidP="00496C3B">
            <w:r>
              <w:t>Spouse; adult children support nearby and at distance</w:t>
            </w:r>
          </w:p>
        </w:tc>
      </w:tr>
      <w:tr w:rsidR="005F0C76" w14:paraId="3DC9E643" w14:textId="77777777" w:rsidTr="00C76FEB">
        <w:tc>
          <w:tcPr>
            <w:tcW w:w="1702" w:type="dxa"/>
          </w:tcPr>
          <w:p w14:paraId="02417BBF" w14:textId="77777777" w:rsidR="005F0C76" w:rsidRDefault="005F0C76" w:rsidP="00496C3B">
            <w:r>
              <w:t xml:space="preserve">Mr </w:t>
            </w:r>
            <w:proofErr w:type="spellStart"/>
            <w:r>
              <w:t>Chaganti</w:t>
            </w:r>
            <w:proofErr w:type="spellEnd"/>
          </w:p>
        </w:tc>
        <w:tc>
          <w:tcPr>
            <w:tcW w:w="1843" w:type="dxa"/>
          </w:tcPr>
          <w:p w14:paraId="2534EEFC" w14:textId="2E9DA2A4" w:rsidR="005F0C76" w:rsidRDefault="005F0C76" w:rsidP="00496C3B">
            <w:r>
              <w:t>Hind</w:t>
            </w:r>
            <w:r w:rsidR="000734D6">
              <w:t>u</w:t>
            </w:r>
          </w:p>
        </w:tc>
        <w:tc>
          <w:tcPr>
            <w:tcW w:w="1972" w:type="dxa"/>
          </w:tcPr>
          <w:p w14:paraId="7AC0ED8C" w14:textId="77777777" w:rsidR="005F0C76" w:rsidRDefault="005F0C76" w:rsidP="00496C3B">
            <w:r>
              <w:t>Indian (from Kenya)</w:t>
            </w:r>
          </w:p>
        </w:tc>
        <w:tc>
          <w:tcPr>
            <w:tcW w:w="1743" w:type="dxa"/>
          </w:tcPr>
          <w:p w14:paraId="566606F3" w14:textId="77777777" w:rsidR="005F0C76" w:rsidRDefault="005F0C76" w:rsidP="00496C3B">
            <w:r>
              <w:t>Cancer</w:t>
            </w:r>
          </w:p>
        </w:tc>
        <w:tc>
          <w:tcPr>
            <w:tcW w:w="1671" w:type="dxa"/>
          </w:tcPr>
          <w:p w14:paraId="2325721E" w14:textId="77777777" w:rsidR="005F0C76" w:rsidRDefault="005F0C76" w:rsidP="00496C3B">
            <w:r>
              <w:t>English</w:t>
            </w:r>
          </w:p>
        </w:tc>
        <w:tc>
          <w:tcPr>
            <w:tcW w:w="913" w:type="dxa"/>
          </w:tcPr>
          <w:p w14:paraId="6E97BA91" w14:textId="77777777" w:rsidR="005F0C76" w:rsidRDefault="005F0C76" w:rsidP="00496C3B">
            <w:r>
              <w:t>82</w:t>
            </w:r>
          </w:p>
        </w:tc>
        <w:tc>
          <w:tcPr>
            <w:tcW w:w="5608" w:type="dxa"/>
          </w:tcPr>
          <w:p w14:paraId="4DDD4C6E" w14:textId="77777777" w:rsidR="005F0C76" w:rsidRDefault="005F0C76" w:rsidP="00496C3B">
            <w:r>
              <w:t>Spouse; son supports at distance</w:t>
            </w:r>
          </w:p>
        </w:tc>
      </w:tr>
      <w:tr w:rsidR="005F0C76" w14:paraId="6973917B" w14:textId="77777777" w:rsidTr="00C76FEB">
        <w:tc>
          <w:tcPr>
            <w:tcW w:w="1702" w:type="dxa"/>
          </w:tcPr>
          <w:p w14:paraId="05936B11" w14:textId="77777777" w:rsidR="005F0C76" w:rsidRDefault="005F0C76" w:rsidP="00496C3B">
            <w:r>
              <w:t>Mrs Campbell</w:t>
            </w:r>
          </w:p>
        </w:tc>
        <w:tc>
          <w:tcPr>
            <w:tcW w:w="1843" w:type="dxa"/>
          </w:tcPr>
          <w:p w14:paraId="037F0CAC" w14:textId="77777777" w:rsidR="005F0C76" w:rsidRDefault="005F0C76" w:rsidP="00496C3B">
            <w:r>
              <w:t>Christian</w:t>
            </w:r>
          </w:p>
        </w:tc>
        <w:tc>
          <w:tcPr>
            <w:tcW w:w="1972" w:type="dxa"/>
          </w:tcPr>
          <w:p w14:paraId="3C15DD61" w14:textId="77777777" w:rsidR="005F0C76" w:rsidRDefault="005F0C76" w:rsidP="00496C3B">
            <w:r>
              <w:t>Caribbean</w:t>
            </w:r>
          </w:p>
        </w:tc>
        <w:tc>
          <w:tcPr>
            <w:tcW w:w="1743" w:type="dxa"/>
          </w:tcPr>
          <w:p w14:paraId="2DDAA33D" w14:textId="77777777" w:rsidR="005F0C76" w:rsidRDefault="005F0C76" w:rsidP="00496C3B">
            <w:r>
              <w:t>Bone cancer</w:t>
            </w:r>
          </w:p>
        </w:tc>
        <w:tc>
          <w:tcPr>
            <w:tcW w:w="1671" w:type="dxa"/>
          </w:tcPr>
          <w:p w14:paraId="37B51C33" w14:textId="77777777" w:rsidR="005F0C76" w:rsidRDefault="005F0C76" w:rsidP="00496C3B">
            <w:r>
              <w:t>English</w:t>
            </w:r>
          </w:p>
        </w:tc>
        <w:tc>
          <w:tcPr>
            <w:tcW w:w="913" w:type="dxa"/>
          </w:tcPr>
          <w:p w14:paraId="3A079D7B" w14:textId="77777777" w:rsidR="005F0C76" w:rsidRDefault="005F0C76" w:rsidP="00496C3B">
            <w:r>
              <w:t>82</w:t>
            </w:r>
          </w:p>
        </w:tc>
        <w:tc>
          <w:tcPr>
            <w:tcW w:w="5608" w:type="dxa"/>
          </w:tcPr>
          <w:p w14:paraId="51314010" w14:textId="77777777" w:rsidR="005F0C76" w:rsidRDefault="005F0C76" w:rsidP="00496C3B">
            <w:r>
              <w:t>Son (with mental health issues); daughter supports locally</w:t>
            </w:r>
          </w:p>
        </w:tc>
      </w:tr>
      <w:tr w:rsidR="005F0C76" w14:paraId="01114714" w14:textId="77777777" w:rsidTr="00C76FEB">
        <w:tc>
          <w:tcPr>
            <w:tcW w:w="1702" w:type="dxa"/>
          </w:tcPr>
          <w:p w14:paraId="11A11C90" w14:textId="77777777" w:rsidR="005F0C76" w:rsidRDefault="005F0C76" w:rsidP="00496C3B">
            <w:r>
              <w:t xml:space="preserve">Mr </w:t>
            </w:r>
            <w:proofErr w:type="spellStart"/>
            <w:r>
              <w:t>Chandhary</w:t>
            </w:r>
            <w:proofErr w:type="spellEnd"/>
          </w:p>
        </w:tc>
        <w:tc>
          <w:tcPr>
            <w:tcW w:w="1843" w:type="dxa"/>
          </w:tcPr>
          <w:p w14:paraId="6CD183F8" w14:textId="77777777" w:rsidR="005F0C76" w:rsidRDefault="005F0C76" w:rsidP="00496C3B">
            <w:r>
              <w:t>Hindu</w:t>
            </w:r>
          </w:p>
        </w:tc>
        <w:tc>
          <w:tcPr>
            <w:tcW w:w="1972" w:type="dxa"/>
          </w:tcPr>
          <w:p w14:paraId="3CC0C21F" w14:textId="77777777" w:rsidR="005F0C76" w:rsidRDefault="005F0C76" w:rsidP="00496C3B">
            <w:r>
              <w:t>Indian (from Tanzania)</w:t>
            </w:r>
          </w:p>
        </w:tc>
        <w:tc>
          <w:tcPr>
            <w:tcW w:w="1743" w:type="dxa"/>
          </w:tcPr>
          <w:p w14:paraId="49E3F102" w14:textId="77777777" w:rsidR="005F0C76" w:rsidRDefault="005F0C76" w:rsidP="00496C3B">
            <w:r>
              <w:t>Cancer</w:t>
            </w:r>
          </w:p>
        </w:tc>
        <w:tc>
          <w:tcPr>
            <w:tcW w:w="1671" w:type="dxa"/>
          </w:tcPr>
          <w:p w14:paraId="48A1BA16" w14:textId="77777777" w:rsidR="005F0C76" w:rsidRDefault="005F0C76" w:rsidP="00496C3B">
            <w:r>
              <w:t>English</w:t>
            </w:r>
          </w:p>
        </w:tc>
        <w:tc>
          <w:tcPr>
            <w:tcW w:w="913" w:type="dxa"/>
          </w:tcPr>
          <w:p w14:paraId="7F6CA818" w14:textId="77777777" w:rsidR="005F0C76" w:rsidRDefault="005F0C76" w:rsidP="00496C3B">
            <w:r>
              <w:t>N/K</w:t>
            </w:r>
          </w:p>
        </w:tc>
        <w:tc>
          <w:tcPr>
            <w:tcW w:w="5608" w:type="dxa"/>
          </w:tcPr>
          <w:p w14:paraId="06799337" w14:textId="77777777" w:rsidR="005F0C76" w:rsidRDefault="005F0C76" w:rsidP="00496C3B">
            <w:r>
              <w:t>Spouse, daughter, grandson; other adult children at distance</w:t>
            </w:r>
          </w:p>
        </w:tc>
      </w:tr>
      <w:tr w:rsidR="005F0C76" w14:paraId="7A138F5C" w14:textId="77777777" w:rsidTr="00C76FEB">
        <w:tc>
          <w:tcPr>
            <w:tcW w:w="1702" w:type="dxa"/>
          </w:tcPr>
          <w:p w14:paraId="0EE0702F" w14:textId="77777777" w:rsidR="005F0C76" w:rsidRDefault="005F0C76" w:rsidP="00496C3B">
            <w:r>
              <w:t xml:space="preserve">Mrs </w:t>
            </w:r>
            <w:proofErr w:type="spellStart"/>
            <w:r>
              <w:t>Challa</w:t>
            </w:r>
            <w:proofErr w:type="spellEnd"/>
          </w:p>
        </w:tc>
        <w:tc>
          <w:tcPr>
            <w:tcW w:w="1843" w:type="dxa"/>
          </w:tcPr>
          <w:p w14:paraId="533C6B1B" w14:textId="77777777" w:rsidR="005F0C76" w:rsidRDefault="005F0C76" w:rsidP="00496C3B">
            <w:r>
              <w:t>Hindu</w:t>
            </w:r>
          </w:p>
        </w:tc>
        <w:tc>
          <w:tcPr>
            <w:tcW w:w="1972" w:type="dxa"/>
          </w:tcPr>
          <w:p w14:paraId="4FE5BA58" w14:textId="77777777" w:rsidR="005F0C76" w:rsidRDefault="005F0C76" w:rsidP="00496C3B">
            <w:r>
              <w:t>Indian</w:t>
            </w:r>
          </w:p>
        </w:tc>
        <w:tc>
          <w:tcPr>
            <w:tcW w:w="1743" w:type="dxa"/>
          </w:tcPr>
          <w:p w14:paraId="3B2AA7B9" w14:textId="77777777" w:rsidR="005F0C76" w:rsidRDefault="005F0C76" w:rsidP="00496C3B">
            <w:r>
              <w:t>Cancer</w:t>
            </w:r>
          </w:p>
        </w:tc>
        <w:tc>
          <w:tcPr>
            <w:tcW w:w="1671" w:type="dxa"/>
          </w:tcPr>
          <w:p w14:paraId="6E71314E" w14:textId="77777777" w:rsidR="005F0C76" w:rsidRDefault="005F0C76" w:rsidP="00496C3B">
            <w:r>
              <w:t>Gujarati</w:t>
            </w:r>
          </w:p>
        </w:tc>
        <w:tc>
          <w:tcPr>
            <w:tcW w:w="913" w:type="dxa"/>
          </w:tcPr>
          <w:p w14:paraId="077D7A05" w14:textId="77777777" w:rsidR="005F0C76" w:rsidRDefault="005F0C76" w:rsidP="00496C3B">
            <w:r>
              <w:t>60</w:t>
            </w:r>
          </w:p>
        </w:tc>
        <w:tc>
          <w:tcPr>
            <w:tcW w:w="5608" w:type="dxa"/>
          </w:tcPr>
          <w:p w14:paraId="73BECEE1" w14:textId="77777777" w:rsidR="005F0C76" w:rsidRDefault="005F0C76" w:rsidP="00496C3B">
            <w:r>
              <w:t>Spouse; local support from son, daughter-in-law; grandson</w:t>
            </w:r>
          </w:p>
        </w:tc>
      </w:tr>
      <w:tr w:rsidR="005F0C76" w14:paraId="1BFC894D" w14:textId="77777777" w:rsidTr="00C76FEB">
        <w:tc>
          <w:tcPr>
            <w:tcW w:w="1702" w:type="dxa"/>
          </w:tcPr>
          <w:p w14:paraId="5B6FC5EA" w14:textId="77777777" w:rsidR="005F0C76" w:rsidRDefault="005F0C76" w:rsidP="00496C3B">
            <w:r>
              <w:t>Mr Chakraborty</w:t>
            </w:r>
          </w:p>
        </w:tc>
        <w:tc>
          <w:tcPr>
            <w:tcW w:w="1843" w:type="dxa"/>
          </w:tcPr>
          <w:p w14:paraId="6A0887D5" w14:textId="77777777" w:rsidR="005F0C76" w:rsidRDefault="005F0C76" w:rsidP="00496C3B">
            <w:r>
              <w:t>Hindu</w:t>
            </w:r>
          </w:p>
        </w:tc>
        <w:tc>
          <w:tcPr>
            <w:tcW w:w="1972" w:type="dxa"/>
          </w:tcPr>
          <w:p w14:paraId="644FF0CF" w14:textId="77777777" w:rsidR="005F0C76" w:rsidRDefault="005F0C76" w:rsidP="00496C3B">
            <w:r>
              <w:t>Indian/Uganda</w:t>
            </w:r>
          </w:p>
        </w:tc>
        <w:tc>
          <w:tcPr>
            <w:tcW w:w="1743" w:type="dxa"/>
          </w:tcPr>
          <w:p w14:paraId="69D62DC2" w14:textId="77777777" w:rsidR="005F0C76" w:rsidRDefault="005F0C76" w:rsidP="00496C3B">
            <w:r>
              <w:t>MND</w:t>
            </w:r>
          </w:p>
        </w:tc>
        <w:tc>
          <w:tcPr>
            <w:tcW w:w="1671" w:type="dxa"/>
          </w:tcPr>
          <w:p w14:paraId="58A64F48" w14:textId="77777777" w:rsidR="005F0C76" w:rsidRDefault="005F0C76" w:rsidP="00496C3B">
            <w:r>
              <w:t>English</w:t>
            </w:r>
          </w:p>
        </w:tc>
        <w:tc>
          <w:tcPr>
            <w:tcW w:w="913" w:type="dxa"/>
          </w:tcPr>
          <w:p w14:paraId="7F3C54E5" w14:textId="77777777" w:rsidR="005F0C76" w:rsidRDefault="005F0C76" w:rsidP="00496C3B">
            <w:r>
              <w:t>67</w:t>
            </w:r>
          </w:p>
        </w:tc>
        <w:tc>
          <w:tcPr>
            <w:tcW w:w="5608" w:type="dxa"/>
          </w:tcPr>
          <w:p w14:paraId="4891C9EE" w14:textId="77777777" w:rsidR="005F0C76" w:rsidRDefault="005F0C76" w:rsidP="00496C3B">
            <w:r>
              <w:t>Spouse; support from local adult children</w:t>
            </w:r>
          </w:p>
        </w:tc>
      </w:tr>
      <w:tr w:rsidR="005F0C76" w14:paraId="2DC7660E" w14:textId="77777777" w:rsidTr="00C76FEB">
        <w:tc>
          <w:tcPr>
            <w:tcW w:w="1702" w:type="dxa"/>
          </w:tcPr>
          <w:p w14:paraId="422C20A5" w14:textId="77777777" w:rsidR="005F0C76" w:rsidRDefault="005F0C76" w:rsidP="00496C3B">
            <w:r>
              <w:t xml:space="preserve">Mrs </w:t>
            </w:r>
            <w:proofErr w:type="spellStart"/>
            <w:r>
              <w:t>Cachalla</w:t>
            </w:r>
            <w:proofErr w:type="spellEnd"/>
          </w:p>
        </w:tc>
        <w:tc>
          <w:tcPr>
            <w:tcW w:w="1843" w:type="dxa"/>
          </w:tcPr>
          <w:p w14:paraId="31ED3355" w14:textId="77777777" w:rsidR="005F0C76" w:rsidRDefault="005F0C76" w:rsidP="00496C3B">
            <w:r>
              <w:t>Hindu</w:t>
            </w:r>
          </w:p>
        </w:tc>
        <w:tc>
          <w:tcPr>
            <w:tcW w:w="1972" w:type="dxa"/>
          </w:tcPr>
          <w:p w14:paraId="73D7121A" w14:textId="77777777" w:rsidR="005F0C76" w:rsidRDefault="005F0C76" w:rsidP="00496C3B">
            <w:r>
              <w:t>Indian</w:t>
            </w:r>
          </w:p>
        </w:tc>
        <w:tc>
          <w:tcPr>
            <w:tcW w:w="1743" w:type="dxa"/>
          </w:tcPr>
          <w:p w14:paraId="1CDE6190" w14:textId="77777777" w:rsidR="005F0C76" w:rsidRDefault="005F0C76" w:rsidP="00496C3B">
            <w:r>
              <w:t>Kidney failure</w:t>
            </w:r>
          </w:p>
        </w:tc>
        <w:tc>
          <w:tcPr>
            <w:tcW w:w="1671" w:type="dxa"/>
          </w:tcPr>
          <w:p w14:paraId="1A519D5E" w14:textId="77777777" w:rsidR="005F0C76" w:rsidRDefault="005F0C76" w:rsidP="00496C3B">
            <w:r>
              <w:t>Gujarati</w:t>
            </w:r>
          </w:p>
        </w:tc>
        <w:tc>
          <w:tcPr>
            <w:tcW w:w="913" w:type="dxa"/>
          </w:tcPr>
          <w:p w14:paraId="480EE0A3" w14:textId="77777777" w:rsidR="005F0C76" w:rsidRDefault="005F0C76" w:rsidP="00496C3B">
            <w:r>
              <w:t>85</w:t>
            </w:r>
          </w:p>
        </w:tc>
        <w:tc>
          <w:tcPr>
            <w:tcW w:w="5608" w:type="dxa"/>
          </w:tcPr>
          <w:p w14:paraId="7DCC9D9C" w14:textId="77777777" w:rsidR="005F0C76" w:rsidRDefault="005F0C76" w:rsidP="00496C3B">
            <w:r>
              <w:t>Son and daughter-in-law in their home</w:t>
            </w:r>
          </w:p>
        </w:tc>
      </w:tr>
      <w:tr w:rsidR="005F0C76" w14:paraId="0E27929D" w14:textId="77777777" w:rsidTr="00C76FEB">
        <w:tc>
          <w:tcPr>
            <w:tcW w:w="1702" w:type="dxa"/>
          </w:tcPr>
          <w:p w14:paraId="55A2EEA4" w14:textId="77777777" w:rsidR="005F0C76" w:rsidRDefault="005F0C76" w:rsidP="00496C3B">
            <w:r>
              <w:t>Mrs Chawla</w:t>
            </w:r>
          </w:p>
        </w:tc>
        <w:tc>
          <w:tcPr>
            <w:tcW w:w="1843" w:type="dxa"/>
          </w:tcPr>
          <w:p w14:paraId="66A9F553" w14:textId="77777777" w:rsidR="005F0C76" w:rsidRDefault="005F0C76" w:rsidP="00496C3B">
            <w:r>
              <w:t>Muslim</w:t>
            </w:r>
          </w:p>
        </w:tc>
        <w:tc>
          <w:tcPr>
            <w:tcW w:w="1972" w:type="dxa"/>
          </w:tcPr>
          <w:p w14:paraId="213552A3" w14:textId="77777777" w:rsidR="005F0C76" w:rsidRDefault="005F0C76" w:rsidP="00496C3B">
            <w:r>
              <w:t>Pakistani</w:t>
            </w:r>
          </w:p>
        </w:tc>
        <w:tc>
          <w:tcPr>
            <w:tcW w:w="1743" w:type="dxa"/>
          </w:tcPr>
          <w:p w14:paraId="15AFF6C2" w14:textId="77777777" w:rsidR="005F0C76" w:rsidRDefault="005F0C76" w:rsidP="00496C3B">
            <w:r>
              <w:t>Heart and kidney disease. Diabetes</w:t>
            </w:r>
          </w:p>
        </w:tc>
        <w:tc>
          <w:tcPr>
            <w:tcW w:w="1671" w:type="dxa"/>
          </w:tcPr>
          <w:p w14:paraId="1A9A2527" w14:textId="77777777" w:rsidR="005F0C76" w:rsidRDefault="005F0C76" w:rsidP="00496C3B">
            <w:r>
              <w:t>Pashtu</w:t>
            </w:r>
          </w:p>
        </w:tc>
        <w:tc>
          <w:tcPr>
            <w:tcW w:w="913" w:type="dxa"/>
          </w:tcPr>
          <w:p w14:paraId="2690173F" w14:textId="77777777" w:rsidR="005F0C76" w:rsidRDefault="005F0C76" w:rsidP="00496C3B">
            <w:r>
              <w:t>72</w:t>
            </w:r>
          </w:p>
        </w:tc>
        <w:tc>
          <w:tcPr>
            <w:tcW w:w="5608" w:type="dxa"/>
          </w:tcPr>
          <w:p w14:paraId="00D889B5" w14:textId="77777777" w:rsidR="005F0C76" w:rsidRDefault="005F0C76" w:rsidP="00496C3B">
            <w:r>
              <w:t>Son in daughter’s home; other family members support regularly</w:t>
            </w:r>
          </w:p>
        </w:tc>
      </w:tr>
      <w:tr w:rsidR="005F0C76" w14:paraId="1386F116" w14:textId="77777777" w:rsidTr="00C76FEB">
        <w:tc>
          <w:tcPr>
            <w:tcW w:w="1702" w:type="dxa"/>
          </w:tcPr>
          <w:p w14:paraId="1F304ACF" w14:textId="77777777" w:rsidR="005F0C76" w:rsidRDefault="005F0C76" w:rsidP="00496C3B">
            <w:r>
              <w:t>Mrs Cheng</w:t>
            </w:r>
          </w:p>
        </w:tc>
        <w:tc>
          <w:tcPr>
            <w:tcW w:w="1843" w:type="dxa"/>
          </w:tcPr>
          <w:p w14:paraId="1AB2A7E7" w14:textId="77777777" w:rsidR="005F0C76" w:rsidRDefault="005F0C76" w:rsidP="00496C3B">
            <w:r>
              <w:t>Christian</w:t>
            </w:r>
          </w:p>
        </w:tc>
        <w:tc>
          <w:tcPr>
            <w:tcW w:w="1972" w:type="dxa"/>
          </w:tcPr>
          <w:p w14:paraId="52E009B1" w14:textId="77777777" w:rsidR="005F0C76" w:rsidRDefault="005F0C76" w:rsidP="00496C3B">
            <w:r>
              <w:t>Chinese</w:t>
            </w:r>
          </w:p>
        </w:tc>
        <w:tc>
          <w:tcPr>
            <w:tcW w:w="1743" w:type="dxa"/>
          </w:tcPr>
          <w:p w14:paraId="77E0B968" w14:textId="77777777" w:rsidR="005F0C76" w:rsidRDefault="005F0C76" w:rsidP="00496C3B">
            <w:r>
              <w:t>Cancer</w:t>
            </w:r>
          </w:p>
        </w:tc>
        <w:tc>
          <w:tcPr>
            <w:tcW w:w="1671" w:type="dxa"/>
          </w:tcPr>
          <w:p w14:paraId="0335B4BC" w14:textId="77777777" w:rsidR="005F0C76" w:rsidRDefault="005F0C76" w:rsidP="00496C3B">
            <w:r>
              <w:t>English</w:t>
            </w:r>
          </w:p>
        </w:tc>
        <w:tc>
          <w:tcPr>
            <w:tcW w:w="913" w:type="dxa"/>
          </w:tcPr>
          <w:p w14:paraId="3E633DC7" w14:textId="77777777" w:rsidR="005F0C76" w:rsidRDefault="005F0C76" w:rsidP="00496C3B">
            <w:r>
              <w:t>48</w:t>
            </w:r>
          </w:p>
        </w:tc>
        <w:tc>
          <w:tcPr>
            <w:tcW w:w="5608" w:type="dxa"/>
          </w:tcPr>
          <w:p w14:paraId="0045DEF4" w14:textId="77777777" w:rsidR="005F0C76" w:rsidRDefault="005F0C76" w:rsidP="00496C3B">
            <w:r>
              <w:t>Spouse</w:t>
            </w:r>
          </w:p>
        </w:tc>
      </w:tr>
      <w:tr w:rsidR="005F0C76" w14:paraId="6E7F4AD5" w14:textId="77777777" w:rsidTr="00C76FEB">
        <w:tc>
          <w:tcPr>
            <w:tcW w:w="1702" w:type="dxa"/>
          </w:tcPr>
          <w:p w14:paraId="3ADBA68C" w14:textId="77777777" w:rsidR="005F0C76" w:rsidRDefault="005F0C76" w:rsidP="00496C3B">
            <w:r>
              <w:t xml:space="preserve">Mrs </w:t>
            </w:r>
            <w:proofErr w:type="spellStart"/>
            <w:r>
              <w:t>Chandyo</w:t>
            </w:r>
            <w:proofErr w:type="spellEnd"/>
          </w:p>
        </w:tc>
        <w:tc>
          <w:tcPr>
            <w:tcW w:w="1843" w:type="dxa"/>
          </w:tcPr>
          <w:p w14:paraId="17910AA1" w14:textId="77777777" w:rsidR="005F0C76" w:rsidRDefault="005F0C76" w:rsidP="00496C3B">
            <w:r>
              <w:t>Muslim</w:t>
            </w:r>
          </w:p>
        </w:tc>
        <w:tc>
          <w:tcPr>
            <w:tcW w:w="1972" w:type="dxa"/>
          </w:tcPr>
          <w:p w14:paraId="32519044" w14:textId="77777777" w:rsidR="005F0C76" w:rsidRDefault="005F0C76" w:rsidP="00496C3B">
            <w:r>
              <w:t>Indian</w:t>
            </w:r>
          </w:p>
        </w:tc>
        <w:tc>
          <w:tcPr>
            <w:tcW w:w="1743" w:type="dxa"/>
          </w:tcPr>
          <w:p w14:paraId="7E184901" w14:textId="77777777" w:rsidR="005F0C76" w:rsidRDefault="005F0C76" w:rsidP="00496C3B">
            <w:r>
              <w:t>Dementia</w:t>
            </w:r>
          </w:p>
        </w:tc>
        <w:tc>
          <w:tcPr>
            <w:tcW w:w="1671" w:type="dxa"/>
          </w:tcPr>
          <w:p w14:paraId="04B5B66F" w14:textId="77777777" w:rsidR="005F0C76" w:rsidRDefault="005F0C76" w:rsidP="00496C3B">
            <w:r>
              <w:t>English</w:t>
            </w:r>
          </w:p>
        </w:tc>
        <w:tc>
          <w:tcPr>
            <w:tcW w:w="913" w:type="dxa"/>
          </w:tcPr>
          <w:p w14:paraId="4A247898" w14:textId="77777777" w:rsidR="005F0C76" w:rsidRDefault="005F0C76" w:rsidP="00496C3B">
            <w:r>
              <w:t xml:space="preserve">76 </w:t>
            </w:r>
            <w:proofErr w:type="spellStart"/>
            <w:r>
              <w:t>approx</w:t>
            </w:r>
            <w:proofErr w:type="spellEnd"/>
          </w:p>
        </w:tc>
        <w:tc>
          <w:tcPr>
            <w:tcW w:w="5608" w:type="dxa"/>
          </w:tcPr>
          <w:p w14:paraId="743348DD" w14:textId="77777777" w:rsidR="005F0C76" w:rsidRDefault="005F0C76" w:rsidP="00496C3B">
            <w:r>
              <w:t>Alone with local adult children support</w:t>
            </w:r>
          </w:p>
        </w:tc>
      </w:tr>
      <w:tr w:rsidR="005F0C76" w14:paraId="3F350E64" w14:textId="77777777" w:rsidTr="00C76FEB">
        <w:tc>
          <w:tcPr>
            <w:tcW w:w="1702" w:type="dxa"/>
          </w:tcPr>
          <w:p w14:paraId="2466B3A8" w14:textId="77777777" w:rsidR="005F0C76" w:rsidRDefault="005F0C76" w:rsidP="00496C3B">
            <w:r>
              <w:t xml:space="preserve">Mr </w:t>
            </w:r>
            <w:proofErr w:type="spellStart"/>
            <w:r>
              <w:t>Chitnis</w:t>
            </w:r>
            <w:proofErr w:type="spellEnd"/>
          </w:p>
        </w:tc>
        <w:tc>
          <w:tcPr>
            <w:tcW w:w="1843" w:type="dxa"/>
          </w:tcPr>
          <w:p w14:paraId="13070BA0" w14:textId="77777777" w:rsidR="005F0C76" w:rsidRDefault="005F0C76" w:rsidP="00496C3B">
            <w:r>
              <w:t>Hindu</w:t>
            </w:r>
          </w:p>
        </w:tc>
        <w:tc>
          <w:tcPr>
            <w:tcW w:w="1972" w:type="dxa"/>
          </w:tcPr>
          <w:p w14:paraId="1055B991" w14:textId="77777777" w:rsidR="005F0C76" w:rsidRDefault="005F0C76" w:rsidP="00496C3B">
            <w:r>
              <w:t>Indian/Kenyan</w:t>
            </w:r>
          </w:p>
        </w:tc>
        <w:tc>
          <w:tcPr>
            <w:tcW w:w="1743" w:type="dxa"/>
          </w:tcPr>
          <w:p w14:paraId="43BCAB3E" w14:textId="77777777" w:rsidR="005F0C76" w:rsidRDefault="005F0C76" w:rsidP="00496C3B">
            <w:r>
              <w:t>Heart failure</w:t>
            </w:r>
          </w:p>
        </w:tc>
        <w:tc>
          <w:tcPr>
            <w:tcW w:w="1671" w:type="dxa"/>
          </w:tcPr>
          <w:p w14:paraId="380252E0" w14:textId="77777777" w:rsidR="005F0C76" w:rsidRDefault="005F0C76" w:rsidP="00496C3B">
            <w:r>
              <w:t>English</w:t>
            </w:r>
          </w:p>
        </w:tc>
        <w:tc>
          <w:tcPr>
            <w:tcW w:w="913" w:type="dxa"/>
          </w:tcPr>
          <w:p w14:paraId="4C321DB0" w14:textId="77777777" w:rsidR="005F0C76" w:rsidRDefault="005F0C76" w:rsidP="00496C3B">
            <w:r>
              <w:t>70</w:t>
            </w:r>
          </w:p>
        </w:tc>
        <w:tc>
          <w:tcPr>
            <w:tcW w:w="5608" w:type="dxa"/>
          </w:tcPr>
          <w:p w14:paraId="39A9B943" w14:textId="77777777" w:rsidR="005F0C76" w:rsidRDefault="005F0C76" w:rsidP="00496C3B">
            <w:r>
              <w:t>Alone: estranged from partner and children</w:t>
            </w:r>
          </w:p>
        </w:tc>
      </w:tr>
      <w:tr w:rsidR="005F0C76" w14:paraId="62D16A5F" w14:textId="77777777" w:rsidTr="00C76FEB">
        <w:tc>
          <w:tcPr>
            <w:tcW w:w="1702" w:type="dxa"/>
          </w:tcPr>
          <w:p w14:paraId="7175DE01" w14:textId="77777777" w:rsidR="005F0C76" w:rsidRDefault="005F0C76" w:rsidP="00496C3B">
            <w:r>
              <w:t>Mrs Chadha</w:t>
            </w:r>
          </w:p>
        </w:tc>
        <w:tc>
          <w:tcPr>
            <w:tcW w:w="1843" w:type="dxa"/>
          </w:tcPr>
          <w:p w14:paraId="51D2B7BC" w14:textId="77777777" w:rsidR="005F0C76" w:rsidRDefault="005F0C76" w:rsidP="00496C3B">
            <w:r>
              <w:t>Jainism</w:t>
            </w:r>
          </w:p>
        </w:tc>
        <w:tc>
          <w:tcPr>
            <w:tcW w:w="1972" w:type="dxa"/>
          </w:tcPr>
          <w:p w14:paraId="1BDF8C61" w14:textId="77777777" w:rsidR="005F0C76" w:rsidRDefault="005F0C76" w:rsidP="00496C3B">
            <w:r>
              <w:t>Indian/Uganda</w:t>
            </w:r>
          </w:p>
        </w:tc>
        <w:tc>
          <w:tcPr>
            <w:tcW w:w="1743" w:type="dxa"/>
          </w:tcPr>
          <w:p w14:paraId="6A1919FC" w14:textId="77777777" w:rsidR="005F0C76" w:rsidRDefault="005F0C76" w:rsidP="00496C3B">
            <w:r>
              <w:t>Heart failure</w:t>
            </w:r>
          </w:p>
        </w:tc>
        <w:tc>
          <w:tcPr>
            <w:tcW w:w="1671" w:type="dxa"/>
          </w:tcPr>
          <w:p w14:paraId="6006D3F4" w14:textId="77777777" w:rsidR="005F0C76" w:rsidRDefault="005F0C76" w:rsidP="00496C3B">
            <w:r>
              <w:t>English</w:t>
            </w:r>
          </w:p>
        </w:tc>
        <w:tc>
          <w:tcPr>
            <w:tcW w:w="913" w:type="dxa"/>
          </w:tcPr>
          <w:p w14:paraId="00FE17B4" w14:textId="77777777" w:rsidR="005F0C76" w:rsidRDefault="005F0C76" w:rsidP="00496C3B">
            <w:r>
              <w:t>77</w:t>
            </w:r>
          </w:p>
        </w:tc>
        <w:tc>
          <w:tcPr>
            <w:tcW w:w="5608" w:type="dxa"/>
          </w:tcPr>
          <w:p w14:paraId="2EE0029F" w14:textId="77777777" w:rsidR="005F0C76" w:rsidRDefault="005F0C76" w:rsidP="00496C3B">
            <w:r>
              <w:t>Daughter moved in to support</w:t>
            </w:r>
          </w:p>
        </w:tc>
      </w:tr>
      <w:tr w:rsidR="005F0C76" w14:paraId="728EA291" w14:textId="77777777" w:rsidTr="00C76FEB">
        <w:tc>
          <w:tcPr>
            <w:tcW w:w="1702" w:type="dxa"/>
          </w:tcPr>
          <w:p w14:paraId="16EAB756" w14:textId="77777777" w:rsidR="005F0C76" w:rsidRDefault="005F0C76" w:rsidP="00496C3B">
            <w:r>
              <w:t>Ms Chapman</w:t>
            </w:r>
          </w:p>
        </w:tc>
        <w:tc>
          <w:tcPr>
            <w:tcW w:w="1843" w:type="dxa"/>
          </w:tcPr>
          <w:p w14:paraId="458820EE" w14:textId="77777777" w:rsidR="005F0C76" w:rsidRDefault="005F0C76" w:rsidP="00496C3B">
            <w:r>
              <w:t>Christian-Anglican</w:t>
            </w:r>
          </w:p>
        </w:tc>
        <w:tc>
          <w:tcPr>
            <w:tcW w:w="1972" w:type="dxa"/>
          </w:tcPr>
          <w:p w14:paraId="12641744" w14:textId="77777777" w:rsidR="005F0C76" w:rsidRDefault="005F0C76" w:rsidP="00496C3B">
            <w:r>
              <w:t>Caribbean</w:t>
            </w:r>
          </w:p>
        </w:tc>
        <w:tc>
          <w:tcPr>
            <w:tcW w:w="1743" w:type="dxa"/>
          </w:tcPr>
          <w:p w14:paraId="24DD4626" w14:textId="77777777" w:rsidR="005F0C76" w:rsidRDefault="005F0C76" w:rsidP="00496C3B">
            <w:r>
              <w:t>Breast cancer</w:t>
            </w:r>
          </w:p>
        </w:tc>
        <w:tc>
          <w:tcPr>
            <w:tcW w:w="1671" w:type="dxa"/>
          </w:tcPr>
          <w:p w14:paraId="57D8ED5B" w14:textId="77777777" w:rsidR="005F0C76" w:rsidRDefault="005F0C76" w:rsidP="00496C3B">
            <w:r>
              <w:t>English</w:t>
            </w:r>
          </w:p>
        </w:tc>
        <w:tc>
          <w:tcPr>
            <w:tcW w:w="913" w:type="dxa"/>
          </w:tcPr>
          <w:p w14:paraId="381695D3" w14:textId="77777777" w:rsidR="005F0C76" w:rsidRDefault="005F0C76" w:rsidP="00496C3B">
            <w:r>
              <w:t>54</w:t>
            </w:r>
          </w:p>
        </w:tc>
        <w:tc>
          <w:tcPr>
            <w:tcW w:w="5608" w:type="dxa"/>
          </w:tcPr>
          <w:p w14:paraId="557E8A5B" w14:textId="77777777" w:rsidR="005F0C76" w:rsidRDefault="005F0C76" w:rsidP="00496C3B">
            <w:r>
              <w:t>Teenage daughter; parents local but no direct support</w:t>
            </w:r>
          </w:p>
        </w:tc>
      </w:tr>
      <w:tr w:rsidR="005F0C76" w14:paraId="0CA45F32" w14:textId="77777777" w:rsidTr="00C76FEB">
        <w:tc>
          <w:tcPr>
            <w:tcW w:w="1702" w:type="dxa"/>
          </w:tcPr>
          <w:p w14:paraId="64FF88E3" w14:textId="77777777" w:rsidR="005F0C76" w:rsidRDefault="005F0C76" w:rsidP="00496C3B">
            <w:r>
              <w:t xml:space="preserve">Mr </w:t>
            </w:r>
            <w:proofErr w:type="spellStart"/>
            <w:r>
              <w:t>Chifamba</w:t>
            </w:r>
            <w:proofErr w:type="spellEnd"/>
          </w:p>
        </w:tc>
        <w:tc>
          <w:tcPr>
            <w:tcW w:w="1843" w:type="dxa"/>
          </w:tcPr>
          <w:p w14:paraId="3A33622E" w14:textId="77777777" w:rsidR="005F0C76" w:rsidRDefault="005F0C76" w:rsidP="00496C3B">
            <w:r>
              <w:t>Christian: New Apostolic</w:t>
            </w:r>
          </w:p>
        </w:tc>
        <w:tc>
          <w:tcPr>
            <w:tcW w:w="1972" w:type="dxa"/>
          </w:tcPr>
          <w:p w14:paraId="604A3FE6" w14:textId="77777777" w:rsidR="005F0C76" w:rsidRDefault="005F0C76" w:rsidP="00496C3B">
            <w:r>
              <w:t>Zimbabwean</w:t>
            </w:r>
          </w:p>
        </w:tc>
        <w:tc>
          <w:tcPr>
            <w:tcW w:w="1743" w:type="dxa"/>
          </w:tcPr>
          <w:p w14:paraId="1B823572" w14:textId="77777777" w:rsidR="005F0C76" w:rsidRDefault="005F0C76" w:rsidP="00496C3B">
            <w:r>
              <w:t>Brain cancer</w:t>
            </w:r>
          </w:p>
        </w:tc>
        <w:tc>
          <w:tcPr>
            <w:tcW w:w="1671" w:type="dxa"/>
          </w:tcPr>
          <w:p w14:paraId="6D49168D" w14:textId="77777777" w:rsidR="005F0C76" w:rsidRDefault="005F0C76" w:rsidP="00496C3B">
            <w:r>
              <w:t>English</w:t>
            </w:r>
          </w:p>
        </w:tc>
        <w:tc>
          <w:tcPr>
            <w:tcW w:w="913" w:type="dxa"/>
          </w:tcPr>
          <w:p w14:paraId="27F30BA5" w14:textId="77777777" w:rsidR="005F0C76" w:rsidRDefault="005F0C76" w:rsidP="00496C3B">
            <w:r>
              <w:t>40</w:t>
            </w:r>
          </w:p>
        </w:tc>
        <w:tc>
          <w:tcPr>
            <w:tcW w:w="5608" w:type="dxa"/>
          </w:tcPr>
          <w:p w14:paraId="32128C7D" w14:textId="77777777" w:rsidR="005F0C76" w:rsidRDefault="005F0C76" w:rsidP="00496C3B">
            <w:r>
              <w:t>Alone; mother visited from abroad when had visa</w:t>
            </w:r>
          </w:p>
        </w:tc>
      </w:tr>
      <w:tr w:rsidR="005F0C76" w14:paraId="50CFA879" w14:textId="77777777" w:rsidTr="00C76FEB">
        <w:tc>
          <w:tcPr>
            <w:tcW w:w="1702" w:type="dxa"/>
          </w:tcPr>
          <w:p w14:paraId="18E4B518" w14:textId="77777777" w:rsidR="005F0C76" w:rsidRDefault="005F0C76" w:rsidP="00496C3B">
            <w:r>
              <w:t xml:space="preserve">Mr </w:t>
            </w:r>
            <w:proofErr w:type="spellStart"/>
            <w:r>
              <w:t>Cobbina</w:t>
            </w:r>
            <w:proofErr w:type="spellEnd"/>
          </w:p>
        </w:tc>
        <w:tc>
          <w:tcPr>
            <w:tcW w:w="1843" w:type="dxa"/>
          </w:tcPr>
          <w:p w14:paraId="1904087A" w14:textId="77777777" w:rsidR="005F0C76" w:rsidRDefault="005F0C76" w:rsidP="00496C3B">
            <w:r>
              <w:t>Buddhist</w:t>
            </w:r>
          </w:p>
        </w:tc>
        <w:tc>
          <w:tcPr>
            <w:tcW w:w="1972" w:type="dxa"/>
          </w:tcPr>
          <w:p w14:paraId="4AC5F0FC" w14:textId="77777777" w:rsidR="005F0C76" w:rsidRDefault="005F0C76" w:rsidP="00496C3B">
            <w:r>
              <w:t>Ghanaian</w:t>
            </w:r>
          </w:p>
        </w:tc>
        <w:tc>
          <w:tcPr>
            <w:tcW w:w="1743" w:type="dxa"/>
          </w:tcPr>
          <w:p w14:paraId="26BAC406" w14:textId="77777777" w:rsidR="005F0C76" w:rsidRDefault="005F0C76" w:rsidP="00496C3B">
            <w:r>
              <w:t>Prostate cancer</w:t>
            </w:r>
          </w:p>
        </w:tc>
        <w:tc>
          <w:tcPr>
            <w:tcW w:w="1671" w:type="dxa"/>
          </w:tcPr>
          <w:p w14:paraId="65FED0CD" w14:textId="77777777" w:rsidR="005F0C76" w:rsidRDefault="005F0C76" w:rsidP="00496C3B">
            <w:r>
              <w:t>English</w:t>
            </w:r>
          </w:p>
        </w:tc>
        <w:tc>
          <w:tcPr>
            <w:tcW w:w="913" w:type="dxa"/>
          </w:tcPr>
          <w:p w14:paraId="7B9D3245" w14:textId="77777777" w:rsidR="005F0C76" w:rsidRDefault="005F0C76" w:rsidP="00496C3B">
            <w:r>
              <w:t>59</w:t>
            </w:r>
          </w:p>
        </w:tc>
        <w:tc>
          <w:tcPr>
            <w:tcW w:w="5608" w:type="dxa"/>
          </w:tcPr>
          <w:p w14:paraId="589E6D30" w14:textId="13DDE1A6" w:rsidR="005F0C76" w:rsidRDefault="005F0C76" w:rsidP="00496C3B">
            <w:r>
              <w:t xml:space="preserve">Teenage daughter and son. </w:t>
            </w:r>
            <w:proofErr w:type="spellStart"/>
            <w:r>
              <w:t>Widdower</w:t>
            </w:r>
            <w:proofErr w:type="spellEnd"/>
            <w:r>
              <w:t>. No direct support.</w:t>
            </w:r>
          </w:p>
        </w:tc>
      </w:tr>
      <w:tr w:rsidR="005F0C76" w14:paraId="5F060E72" w14:textId="77777777" w:rsidTr="00C76FEB">
        <w:tc>
          <w:tcPr>
            <w:tcW w:w="1702" w:type="dxa"/>
          </w:tcPr>
          <w:p w14:paraId="497F0239" w14:textId="77777777" w:rsidR="005F0C76" w:rsidRDefault="005F0C76" w:rsidP="00496C3B">
            <w:r>
              <w:t xml:space="preserve">Mrs </w:t>
            </w:r>
            <w:proofErr w:type="spellStart"/>
            <w:r>
              <w:t>Curkovic</w:t>
            </w:r>
            <w:proofErr w:type="spellEnd"/>
          </w:p>
        </w:tc>
        <w:tc>
          <w:tcPr>
            <w:tcW w:w="1843" w:type="dxa"/>
          </w:tcPr>
          <w:p w14:paraId="28851D80" w14:textId="77777777" w:rsidR="005F0C76" w:rsidRDefault="005F0C76" w:rsidP="00496C3B">
            <w:r>
              <w:t>Serbian Orthodox</w:t>
            </w:r>
          </w:p>
        </w:tc>
        <w:tc>
          <w:tcPr>
            <w:tcW w:w="1972" w:type="dxa"/>
          </w:tcPr>
          <w:p w14:paraId="15C97458" w14:textId="77777777" w:rsidR="005F0C76" w:rsidRDefault="005F0C76" w:rsidP="00496C3B">
            <w:r>
              <w:t>Former Yugoslavian</w:t>
            </w:r>
          </w:p>
        </w:tc>
        <w:tc>
          <w:tcPr>
            <w:tcW w:w="1743" w:type="dxa"/>
          </w:tcPr>
          <w:p w14:paraId="6C811A53" w14:textId="77777777" w:rsidR="005F0C76" w:rsidRDefault="005F0C76" w:rsidP="00496C3B">
            <w:r>
              <w:t>Cancer</w:t>
            </w:r>
          </w:p>
          <w:p w14:paraId="2FDBD17F" w14:textId="77777777" w:rsidR="005F0C76" w:rsidRDefault="005F0C76" w:rsidP="00496C3B">
            <w:r>
              <w:t>Dementia</w:t>
            </w:r>
          </w:p>
        </w:tc>
        <w:tc>
          <w:tcPr>
            <w:tcW w:w="1671" w:type="dxa"/>
          </w:tcPr>
          <w:p w14:paraId="1F00CBFB" w14:textId="77777777" w:rsidR="005F0C76" w:rsidRDefault="005F0C76" w:rsidP="00496C3B">
            <w:r>
              <w:t>English</w:t>
            </w:r>
          </w:p>
        </w:tc>
        <w:tc>
          <w:tcPr>
            <w:tcW w:w="913" w:type="dxa"/>
          </w:tcPr>
          <w:p w14:paraId="7C9E23A9" w14:textId="77777777" w:rsidR="005F0C76" w:rsidRDefault="005F0C76" w:rsidP="00496C3B">
            <w:r>
              <w:t>96</w:t>
            </w:r>
          </w:p>
        </w:tc>
        <w:tc>
          <w:tcPr>
            <w:tcW w:w="5608" w:type="dxa"/>
          </w:tcPr>
          <w:p w14:paraId="59CB1589" w14:textId="77777777" w:rsidR="005F0C76" w:rsidRDefault="005F0C76" w:rsidP="00496C3B">
            <w:r>
              <w:t>Alternates: own and daughter’s home. Two daughters share care.</w:t>
            </w:r>
          </w:p>
        </w:tc>
      </w:tr>
      <w:tr w:rsidR="005F0C76" w14:paraId="02665F1D" w14:textId="77777777" w:rsidTr="00C76FEB">
        <w:tc>
          <w:tcPr>
            <w:tcW w:w="1702" w:type="dxa"/>
          </w:tcPr>
          <w:p w14:paraId="066517EA" w14:textId="77777777" w:rsidR="005F0C76" w:rsidRDefault="005F0C76" w:rsidP="00496C3B">
            <w:r>
              <w:t xml:space="preserve">Mrs </w:t>
            </w:r>
            <w:proofErr w:type="spellStart"/>
            <w:r>
              <w:t>Chavara</w:t>
            </w:r>
            <w:proofErr w:type="spellEnd"/>
          </w:p>
        </w:tc>
        <w:tc>
          <w:tcPr>
            <w:tcW w:w="1843" w:type="dxa"/>
          </w:tcPr>
          <w:p w14:paraId="6F532015" w14:textId="77777777" w:rsidR="005F0C76" w:rsidRDefault="005F0C76" w:rsidP="00496C3B">
            <w:r>
              <w:t>Roman Catholic</w:t>
            </w:r>
          </w:p>
        </w:tc>
        <w:tc>
          <w:tcPr>
            <w:tcW w:w="1972" w:type="dxa"/>
          </w:tcPr>
          <w:p w14:paraId="6302A8AF" w14:textId="77777777" w:rsidR="005F0C76" w:rsidRDefault="005F0C76" w:rsidP="00496C3B">
            <w:r>
              <w:t>Indian</w:t>
            </w:r>
          </w:p>
        </w:tc>
        <w:tc>
          <w:tcPr>
            <w:tcW w:w="1743" w:type="dxa"/>
          </w:tcPr>
          <w:p w14:paraId="780E2081" w14:textId="77777777" w:rsidR="005F0C76" w:rsidRDefault="005F0C76" w:rsidP="00496C3B">
            <w:r>
              <w:t>Breast cancer and metastasis</w:t>
            </w:r>
          </w:p>
        </w:tc>
        <w:tc>
          <w:tcPr>
            <w:tcW w:w="1671" w:type="dxa"/>
          </w:tcPr>
          <w:p w14:paraId="5101FA63" w14:textId="77777777" w:rsidR="005F0C76" w:rsidRDefault="005F0C76" w:rsidP="00496C3B">
            <w:r>
              <w:t>English</w:t>
            </w:r>
          </w:p>
        </w:tc>
        <w:tc>
          <w:tcPr>
            <w:tcW w:w="913" w:type="dxa"/>
          </w:tcPr>
          <w:p w14:paraId="53EF75D0" w14:textId="77777777" w:rsidR="005F0C76" w:rsidRDefault="005F0C76" w:rsidP="00496C3B">
            <w:r>
              <w:t>64</w:t>
            </w:r>
          </w:p>
        </w:tc>
        <w:tc>
          <w:tcPr>
            <w:tcW w:w="5608" w:type="dxa"/>
          </w:tcPr>
          <w:p w14:paraId="2487A234" w14:textId="77777777" w:rsidR="005F0C76" w:rsidRDefault="005F0C76" w:rsidP="00496C3B">
            <w:r>
              <w:t>Spouse; support from 1 son in UK, one abroad.</w:t>
            </w:r>
          </w:p>
        </w:tc>
      </w:tr>
    </w:tbl>
    <w:p w14:paraId="42F5D7D7" w14:textId="1544FC1B" w:rsidR="00C76FEB" w:rsidRPr="00C76FEB" w:rsidRDefault="00C76FEB" w:rsidP="00C76FEB">
      <w:pPr>
        <w:keepNext/>
        <w:spacing w:after="200" w:line="240" w:lineRule="auto"/>
        <w:jc w:val="both"/>
        <w:rPr>
          <w:rFonts w:ascii="Calibri" w:eastAsia="Calibri" w:hAnsi="Calibri" w:cs="Calibri"/>
          <w:iCs/>
          <w:color w:val="44546A" w:themeColor="text2"/>
        </w:rPr>
      </w:pPr>
      <w:bookmarkStart w:id="251" w:name="_Toc89967513"/>
      <w:bookmarkStart w:id="252" w:name="_Toc106701064"/>
      <w:r w:rsidRPr="00C76FEB">
        <w:rPr>
          <w:rFonts w:cstheme="minorHAnsi"/>
          <w:iCs/>
          <w:color w:val="44546A" w:themeColor="text2"/>
        </w:rPr>
        <w:t xml:space="preserve">TABLE </w:t>
      </w:r>
      <w:r w:rsidRPr="00C76FEB">
        <w:rPr>
          <w:rFonts w:cstheme="minorHAnsi"/>
          <w:iCs/>
          <w:color w:val="44546A" w:themeColor="text2"/>
        </w:rPr>
        <w:fldChar w:fldCharType="begin"/>
      </w:r>
      <w:r w:rsidRPr="00C76FEB">
        <w:rPr>
          <w:rFonts w:cstheme="minorHAnsi"/>
          <w:iCs/>
          <w:color w:val="44546A" w:themeColor="text2"/>
        </w:rPr>
        <w:instrText xml:space="preserve"> SEQ Table \* ARABIC </w:instrText>
      </w:r>
      <w:r w:rsidRPr="00C76FEB">
        <w:rPr>
          <w:rFonts w:cstheme="minorHAnsi"/>
          <w:iCs/>
          <w:color w:val="44546A" w:themeColor="text2"/>
        </w:rPr>
        <w:fldChar w:fldCharType="separate"/>
      </w:r>
      <w:r w:rsidR="00514EB4">
        <w:rPr>
          <w:rFonts w:cstheme="minorHAnsi"/>
          <w:iCs/>
          <w:noProof/>
          <w:color w:val="44546A" w:themeColor="text2"/>
        </w:rPr>
        <w:t>2</w:t>
      </w:r>
      <w:r w:rsidRPr="00C76FEB">
        <w:rPr>
          <w:rFonts w:cstheme="minorHAnsi"/>
          <w:iCs/>
          <w:noProof/>
          <w:color w:val="44546A" w:themeColor="text2"/>
        </w:rPr>
        <w:fldChar w:fldCharType="end"/>
      </w:r>
      <w:r w:rsidRPr="00C76FEB">
        <w:rPr>
          <w:rFonts w:cstheme="minorHAnsi"/>
          <w:iCs/>
          <w:noProof/>
          <w:color w:val="44546A" w:themeColor="text2"/>
        </w:rPr>
        <w:t xml:space="preserve"> </w:t>
      </w:r>
      <w:r w:rsidRPr="00C76FEB">
        <w:rPr>
          <w:rFonts w:cstheme="minorHAnsi"/>
          <w:iCs/>
          <w:color w:val="44546A" w:themeColor="text2"/>
        </w:rPr>
        <w:t xml:space="preserve"> Work Stream 1: Characteristics of the 18 patients</w:t>
      </w:r>
      <w:bookmarkEnd w:id="251"/>
      <w:bookmarkEnd w:id="252"/>
    </w:p>
    <w:p w14:paraId="2C5B942F" w14:textId="77777777" w:rsidR="005F0C76" w:rsidRDefault="005F0C76" w:rsidP="005F0C76"/>
    <w:p w14:paraId="6C1D1D94" w14:textId="77777777" w:rsidR="000F7E56" w:rsidRPr="000F7E56" w:rsidRDefault="000F7E56" w:rsidP="000F7E56">
      <w:pPr>
        <w:keepNext/>
        <w:spacing w:before="120" w:after="0" w:line="360" w:lineRule="auto"/>
        <w:jc w:val="both"/>
        <w:rPr>
          <w:rFonts w:ascii="Calibri" w:eastAsia="Calibri" w:hAnsi="Calibri" w:cs="Calibri"/>
        </w:rPr>
        <w:sectPr w:rsidR="000F7E56" w:rsidRPr="000F7E56" w:rsidSect="000F7E56">
          <w:pgSz w:w="16838" w:h="11906" w:orient="landscape"/>
          <w:pgMar w:top="1134" w:right="1440" w:bottom="1134" w:left="1440" w:header="709" w:footer="709" w:gutter="0"/>
          <w:cols w:space="708"/>
          <w:docGrid w:linePitch="360"/>
        </w:sectPr>
      </w:pPr>
    </w:p>
    <w:p w14:paraId="3404B432" w14:textId="77777777" w:rsidR="000F7E56" w:rsidRPr="000F7E56" w:rsidRDefault="00A662A8" w:rsidP="000F7E56">
      <w:pPr>
        <w:keepNext/>
        <w:keepLines/>
        <w:spacing w:after="120" w:line="360" w:lineRule="auto"/>
        <w:contextualSpacing/>
        <w:outlineLvl w:val="1"/>
        <w:rPr>
          <w:rFonts w:ascii="Calibri Light" w:eastAsia="Calibri" w:hAnsi="Calibri Light" w:cs="Times New Roman"/>
          <w:color w:val="2E74B5"/>
          <w:sz w:val="24"/>
          <w:szCs w:val="24"/>
        </w:rPr>
      </w:pPr>
      <w:bookmarkStart w:id="253" w:name="_Toc89665180"/>
      <w:bookmarkStart w:id="254" w:name="_Toc89671932"/>
      <w:bookmarkStart w:id="255" w:name="_Toc89763982"/>
      <w:bookmarkStart w:id="256" w:name="_Toc106697811"/>
      <w:r>
        <w:rPr>
          <w:rFonts w:ascii="Calibri Light" w:eastAsia="Calibri" w:hAnsi="Calibri Light" w:cs="Times New Roman"/>
          <w:color w:val="2E74B5"/>
          <w:sz w:val="24"/>
          <w:szCs w:val="24"/>
        </w:rPr>
        <w:lastRenderedPageBreak/>
        <w:t>Work Stream 2:</w:t>
      </w:r>
      <w:r w:rsidR="000F7E56" w:rsidRPr="000F7E56">
        <w:rPr>
          <w:rFonts w:ascii="Calibri Light" w:eastAsia="Calibri" w:hAnsi="Calibri Light" w:cs="Times New Roman"/>
          <w:color w:val="2E74B5"/>
          <w:sz w:val="24"/>
          <w:szCs w:val="24"/>
        </w:rPr>
        <w:t xml:space="preserve"> Bereaved Family Care </w:t>
      </w:r>
      <w:bookmarkEnd w:id="253"/>
      <w:bookmarkEnd w:id="254"/>
      <w:bookmarkEnd w:id="255"/>
      <w:r w:rsidR="000F7E56" w:rsidRPr="000F7E56">
        <w:rPr>
          <w:rFonts w:ascii="Calibri Light" w:eastAsia="Calibri" w:hAnsi="Calibri Light" w:cs="Times New Roman"/>
          <w:color w:val="2E74B5"/>
          <w:sz w:val="24"/>
          <w:szCs w:val="24"/>
        </w:rPr>
        <w:t>Givers</w:t>
      </w:r>
      <w:bookmarkEnd w:id="256"/>
      <w:r w:rsidR="000F7E56" w:rsidRPr="000F7E56">
        <w:rPr>
          <w:rFonts w:ascii="Calibri Light" w:eastAsia="Calibri" w:hAnsi="Calibri Light" w:cs="Times New Roman"/>
          <w:color w:val="2E74B5"/>
          <w:sz w:val="24"/>
          <w:szCs w:val="24"/>
        </w:rPr>
        <w:t xml:space="preserve"> </w:t>
      </w:r>
    </w:p>
    <w:p w14:paraId="3381BEB4" w14:textId="6399A76B" w:rsidR="000F7E56" w:rsidRPr="000F7E56" w:rsidRDefault="000F7E56" w:rsidP="000F7E56">
      <w:pPr>
        <w:spacing w:after="120" w:line="360" w:lineRule="auto"/>
        <w:contextualSpacing/>
        <w:rPr>
          <w:rFonts w:ascii="Calibri" w:eastAsia="Calibri" w:hAnsi="Calibri" w:cs="Times New Roman"/>
          <w:b/>
        </w:rPr>
      </w:pPr>
      <w:r w:rsidRPr="000F7E56">
        <w:rPr>
          <w:rFonts w:ascii="Calibri" w:eastAsia="Calibri" w:hAnsi="Calibri" w:cs="Times New Roman"/>
        </w:rPr>
        <w:t xml:space="preserve">Nineteen individual interviews were completed with </w:t>
      </w:r>
      <w:r w:rsidR="00A11180">
        <w:rPr>
          <w:rFonts w:ascii="Calibri" w:eastAsia="Calibri" w:hAnsi="Calibri" w:cs="Times New Roman"/>
        </w:rPr>
        <w:t>BFCGs</w:t>
      </w:r>
      <w:r w:rsidRPr="000F7E56">
        <w:rPr>
          <w:rFonts w:ascii="Calibri" w:eastAsia="Calibri" w:hAnsi="Calibri" w:cs="Times New Roman"/>
        </w:rPr>
        <w:t xml:space="preserve"> between February 2019 and May 2020.  Figure 4 illustrates the recruitment of participants over the course of the study.</w:t>
      </w:r>
    </w:p>
    <w:p w14:paraId="137DBF62" w14:textId="77777777" w:rsidR="000F7E56" w:rsidRPr="000F7E56" w:rsidRDefault="000F7E56" w:rsidP="000F7E56">
      <w:pPr>
        <w:spacing w:after="120" w:line="360" w:lineRule="auto"/>
        <w:contextualSpacing/>
        <w:rPr>
          <w:rFonts w:ascii="Calibri" w:eastAsia="Calibri" w:hAnsi="Calibri" w:cs="Times New Roman"/>
          <w:b/>
        </w:rPr>
      </w:pPr>
    </w:p>
    <w:p w14:paraId="5A23CAB9" w14:textId="77777777" w:rsidR="000F7E56" w:rsidRPr="000F7E56" w:rsidRDefault="000F7E56" w:rsidP="000F7E56">
      <w:pPr>
        <w:spacing w:after="120" w:line="360" w:lineRule="auto"/>
        <w:rPr>
          <w:rFonts w:ascii="Calibri" w:eastAsia="Calibri" w:hAnsi="Calibri" w:cs="Times New Roman"/>
          <w:b/>
        </w:rPr>
      </w:pPr>
      <w:r w:rsidRPr="000F7E56">
        <w:rPr>
          <w:rFonts w:ascii="Calibri" w:eastAsia="Calibri" w:hAnsi="Calibri" w:cs="Times New Roman"/>
          <w:b/>
        </w:rPr>
        <w:tab/>
      </w:r>
      <w:r w:rsidRPr="000F7E56">
        <w:rPr>
          <w:rFonts w:ascii="Calibri" w:eastAsia="Calibri" w:hAnsi="Calibri" w:cs="Times New Roman"/>
          <w:b/>
        </w:rPr>
        <w:tab/>
      </w:r>
      <w:r w:rsidRPr="000F7E56">
        <w:rPr>
          <w:rFonts w:ascii="Calibri" w:eastAsia="Calibri" w:hAnsi="Calibri" w:cs="Times New Roman"/>
          <w:b/>
        </w:rPr>
        <w:tab/>
      </w:r>
      <w:r w:rsidRPr="000F7E56">
        <w:rPr>
          <w:rFonts w:ascii="Calibri" w:eastAsia="Calibri" w:hAnsi="Calibri" w:cs="Times New Roman"/>
          <w:b/>
        </w:rPr>
        <w:tab/>
      </w:r>
      <w:r w:rsidRPr="000F7E56">
        <w:rPr>
          <w:rFonts w:ascii="Calibri" w:eastAsia="Calibri" w:hAnsi="Calibri" w:cs="Times New Roman"/>
          <w:b/>
        </w:rPr>
        <w:tab/>
        <w:t xml:space="preserve">   </w:t>
      </w:r>
      <w:r w:rsidRPr="000F7E56">
        <w:rPr>
          <w:rFonts w:ascii="Calibri" w:eastAsia="Calibri" w:hAnsi="Calibri" w:cs="Times New Roman"/>
          <w:b/>
        </w:rPr>
        <w:br/>
      </w:r>
      <w:r w:rsidRPr="000F7E56">
        <w:rPr>
          <w:rFonts w:ascii="Calibri" w:eastAsia="Calibri" w:hAnsi="Calibri" w:cs="Times New Roman"/>
          <w:noProof/>
        </w:rPr>
        <w:drawing>
          <wp:inline distT="0" distB="0" distL="0" distR="0" wp14:anchorId="15C10BAD" wp14:editId="29E9A625">
            <wp:extent cx="4572000" cy="2743200"/>
            <wp:effectExtent l="0" t="0" r="0" b="0"/>
            <wp:docPr id="5" name="Chart 5">
              <a:extLst xmlns:a="http://schemas.openxmlformats.org/drawingml/2006/main">
                <a:ext uri="{FF2B5EF4-FFF2-40B4-BE49-F238E27FC236}">
                  <a16:creationId xmlns:a16="http://schemas.microsoft.com/office/drawing/2014/main" id="{8CED3B27-B7F6-439F-A937-1C42A9A25548}"/>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p w14:paraId="2A24F6EC" w14:textId="16B1CBB6" w:rsidR="000F7E56" w:rsidRPr="000F7E56" w:rsidRDefault="000F7E56" w:rsidP="000F7E56">
      <w:pPr>
        <w:keepNext/>
        <w:spacing w:after="200" w:line="240" w:lineRule="auto"/>
        <w:jc w:val="both"/>
        <w:rPr>
          <w:rFonts w:cstheme="minorHAnsi"/>
          <w:iCs/>
          <w:color w:val="44546A" w:themeColor="text2"/>
        </w:rPr>
      </w:pPr>
      <w:bookmarkStart w:id="257" w:name="_Toc89684724"/>
      <w:bookmarkStart w:id="258" w:name="_Toc89966702"/>
      <w:bookmarkStart w:id="259" w:name="_Toc90545003"/>
      <w:r w:rsidRPr="000F7E56">
        <w:rPr>
          <w:rFonts w:cstheme="minorHAnsi"/>
          <w:iCs/>
          <w:color w:val="44546A" w:themeColor="text2"/>
        </w:rPr>
        <w:t xml:space="preserve">FIGURE </w:t>
      </w:r>
      <w:r w:rsidRPr="000F7E56">
        <w:rPr>
          <w:rFonts w:cstheme="minorHAnsi"/>
          <w:iCs/>
          <w:color w:val="44546A" w:themeColor="text2"/>
        </w:rPr>
        <w:fldChar w:fldCharType="begin"/>
      </w:r>
      <w:r w:rsidRPr="000F7E56">
        <w:rPr>
          <w:rFonts w:cstheme="minorHAnsi"/>
          <w:iCs/>
          <w:color w:val="44546A" w:themeColor="text2"/>
        </w:rPr>
        <w:instrText xml:space="preserve"> SEQ Figure \* ARABIC </w:instrText>
      </w:r>
      <w:r w:rsidRPr="000F7E56">
        <w:rPr>
          <w:rFonts w:cstheme="minorHAnsi"/>
          <w:iCs/>
          <w:color w:val="44546A" w:themeColor="text2"/>
        </w:rPr>
        <w:fldChar w:fldCharType="separate"/>
      </w:r>
      <w:r w:rsidRPr="000F7E56">
        <w:rPr>
          <w:rFonts w:cstheme="minorHAnsi"/>
          <w:iCs/>
          <w:noProof/>
          <w:color w:val="44546A" w:themeColor="text2"/>
        </w:rPr>
        <w:t>4</w:t>
      </w:r>
      <w:r w:rsidRPr="000F7E56">
        <w:rPr>
          <w:rFonts w:cstheme="minorHAnsi"/>
          <w:iCs/>
          <w:noProof/>
          <w:color w:val="44546A" w:themeColor="text2"/>
        </w:rPr>
        <w:fldChar w:fldCharType="end"/>
      </w:r>
      <w:r w:rsidRPr="000F7E56">
        <w:rPr>
          <w:rFonts w:cstheme="minorHAnsi"/>
          <w:iCs/>
          <w:noProof/>
          <w:color w:val="44546A" w:themeColor="text2"/>
        </w:rPr>
        <w:t xml:space="preserve"> -</w:t>
      </w:r>
      <w:r w:rsidRPr="000F7E56">
        <w:rPr>
          <w:rFonts w:cstheme="minorHAnsi"/>
          <w:iCs/>
          <w:color w:val="44546A" w:themeColor="text2"/>
        </w:rPr>
        <w:t xml:space="preserve"> Work Stream 2: recruitment of </w:t>
      </w:r>
      <w:r w:rsidR="00AE3D59">
        <w:rPr>
          <w:rFonts w:cstheme="minorHAnsi"/>
          <w:iCs/>
          <w:color w:val="44546A" w:themeColor="text2"/>
        </w:rPr>
        <w:t>B</w:t>
      </w:r>
      <w:r w:rsidRPr="000F7E56">
        <w:rPr>
          <w:rFonts w:cstheme="minorHAnsi"/>
          <w:iCs/>
          <w:color w:val="44546A" w:themeColor="text2"/>
        </w:rPr>
        <w:t xml:space="preserve">ereaved </w:t>
      </w:r>
      <w:bookmarkEnd w:id="257"/>
      <w:r w:rsidRPr="000F7E56">
        <w:rPr>
          <w:rFonts w:cstheme="minorHAnsi"/>
          <w:iCs/>
          <w:color w:val="44546A" w:themeColor="text2"/>
        </w:rPr>
        <w:t>Family Care Givers</w:t>
      </w:r>
      <w:bookmarkEnd w:id="258"/>
      <w:bookmarkEnd w:id="259"/>
    </w:p>
    <w:p w14:paraId="67217BCC" w14:textId="77777777" w:rsidR="000F7E56" w:rsidRPr="000F7E56" w:rsidRDefault="000F7E56" w:rsidP="000F7E56">
      <w:pPr>
        <w:spacing w:after="120" w:line="360" w:lineRule="auto"/>
        <w:rPr>
          <w:rFonts w:ascii="Calibri" w:eastAsia="Calibri" w:hAnsi="Calibri" w:cs="Times New Roman"/>
        </w:rPr>
      </w:pPr>
      <w:r w:rsidRPr="000F7E56">
        <w:rPr>
          <w:rFonts w:ascii="Calibri" w:eastAsia="Calibri" w:hAnsi="Calibri" w:cs="Times New Roman"/>
        </w:rPr>
        <w:t xml:space="preserve">The 19 participants were recruited from two Hospices (10/19), a Community Trust (1/19), two Community groups (5/19), an Acute Trust (1/19) and by self-referral (2/19). The demographic details of the bereaved family care giver (BFCG) participants are described in Table 3. Each of the BFCGs are identified by the pseudonym of the deceased patient, who have all been given pseudonyms that begin with ‘B’. In summary the majority of the BFCGs described their ethnicity as Indian (n=11), four as African Caribbean, two as Pakistani, one each as British Indian, and British Asian. Thirteen were female and six males. Seven were spouses and eight were children with others being siblings (n=2), a grandchild (n=1) and one a daughter-in-law (n=1).  One participant was interviewed in Punjabi by a bilingual member of the research team. </w:t>
      </w:r>
    </w:p>
    <w:p w14:paraId="0A972691" w14:textId="77777777" w:rsidR="000F7E56" w:rsidRPr="000F7E56" w:rsidRDefault="000F7E56" w:rsidP="000F7E56">
      <w:pPr>
        <w:rPr>
          <w:rFonts w:ascii="Calibri" w:eastAsia="Calibri" w:hAnsi="Calibri" w:cs="Times New Roman"/>
        </w:rPr>
        <w:sectPr w:rsidR="000F7E56" w:rsidRPr="000F7E56" w:rsidSect="000F7E56">
          <w:pgSz w:w="11906" w:h="16838"/>
          <w:pgMar w:top="1440" w:right="1134" w:bottom="1440" w:left="1134" w:header="709" w:footer="709" w:gutter="0"/>
          <w:cols w:space="708"/>
          <w:docGrid w:linePitch="360"/>
        </w:sectPr>
      </w:pPr>
    </w:p>
    <w:tbl>
      <w:tblPr>
        <w:tblStyle w:val="TableGrid3"/>
        <w:tblpPr w:leftFromText="180" w:rightFromText="180" w:horzAnchor="margin" w:tblpXSpec="center" w:tblpY="-370"/>
        <w:tblW w:w="10768" w:type="dxa"/>
        <w:tblLook w:val="04A0" w:firstRow="1" w:lastRow="0" w:firstColumn="1" w:lastColumn="0" w:noHBand="0" w:noVBand="1"/>
      </w:tblPr>
      <w:tblGrid>
        <w:gridCol w:w="3256"/>
        <w:gridCol w:w="2551"/>
        <w:gridCol w:w="2410"/>
        <w:gridCol w:w="2551"/>
      </w:tblGrid>
      <w:tr w:rsidR="000F7E56" w:rsidRPr="000F7E56" w14:paraId="7D1EDE77" w14:textId="77777777" w:rsidTr="000F7E56">
        <w:tc>
          <w:tcPr>
            <w:tcW w:w="3256" w:type="dxa"/>
          </w:tcPr>
          <w:p w14:paraId="63AF39E7" w14:textId="77777777" w:rsidR="000F7E56" w:rsidRPr="000F7E56" w:rsidRDefault="000F7E56" w:rsidP="000F7E56">
            <w:pPr>
              <w:rPr>
                <w:rFonts w:ascii="Calibri" w:eastAsia="Calibri" w:hAnsi="Calibri" w:cs="Times New Roman"/>
                <w:b/>
              </w:rPr>
            </w:pPr>
            <w:r w:rsidRPr="000F7E56">
              <w:rPr>
                <w:rFonts w:ascii="Calibri" w:eastAsia="Calibri" w:hAnsi="Calibri" w:cs="Times New Roman"/>
                <w:b/>
              </w:rPr>
              <w:lastRenderedPageBreak/>
              <w:t>Pseudonym of deceased patient</w:t>
            </w:r>
          </w:p>
        </w:tc>
        <w:tc>
          <w:tcPr>
            <w:tcW w:w="2551" w:type="dxa"/>
          </w:tcPr>
          <w:p w14:paraId="544D39B8" w14:textId="77777777" w:rsidR="000F7E56" w:rsidRPr="000F7E56" w:rsidRDefault="000F7E56" w:rsidP="000F7E56">
            <w:pPr>
              <w:rPr>
                <w:rFonts w:ascii="Calibri" w:eastAsia="Calibri" w:hAnsi="Calibri" w:cs="Times New Roman"/>
                <w:b/>
              </w:rPr>
            </w:pPr>
            <w:r w:rsidRPr="000F7E56">
              <w:rPr>
                <w:rFonts w:ascii="Calibri" w:eastAsia="Calibri" w:hAnsi="Calibri" w:cs="Times New Roman"/>
                <w:b/>
              </w:rPr>
              <w:t xml:space="preserve">Religion / faith of BFCG </w:t>
            </w:r>
          </w:p>
        </w:tc>
        <w:tc>
          <w:tcPr>
            <w:tcW w:w="2410" w:type="dxa"/>
          </w:tcPr>
          <w:p w14:paraId="31AC29C7" w14:textId="77777777" w:rsidR="000F7E56" w:rsidRPr="000F7E56" w:rsidRDefault="000F7E56" w:rsidP="000F7E56">
            <w:pPr>
              <w:rPr>
                <w:rFonts w:ascii="Calibri" w:eastAsia="Calibri" w:hAnsi="Calibri" w:cs="Times New Roman"/>
                <w:b/>
              </w:rPr>
            </w:pPr>
            <w:r w:rsidRPr="000F7E56">
              <w:rPr>
                <w:rFonts w:ascii="Calibri" w:eastAsia="Calibri" w:hAnsi="Calibri" w:cs="Times New Roman"/>
                <w:b/>
              </w:rPr>
              <w:t>Ethnicity of BFCG</w:t>
            </w:r>
          </w:p>
        </w:tc>
        <w:tc>
          <w:tcPr>
            <w:tcW w:w="2551" w:type="dxa"/>
          </w:tcPr>
          <w:p w14:paraId="34CB7A48" w14:textId="77777777" w:rsidR="000F7E56" w:rsidRPr="000F7E56" w:rsidRDefault="000F7E56" w:rsidP="000F7E56">
            <w:pPr>
              <w:rPr>
                <w:rFonts w:ascii="Calibri" w:eastAsia="Calibri" w:hAnsi="Calibri" w:cs="Times New Roman"/>
                <w:b/>
              </w:rPr>
            </w:pPr>
            <w:r w:rsidRPr="000F7E56">
              <w:rPr>
                <w:rFonts w:ascii="Calibri" w:eastAsia="Calibri" w:hAnsi="Calibri" w:cs="Times New Roman"/>
                <w:b/>
              </w:rPr>
              <w:t>Relationship to patient</w:t>
            </w:r>
          </w:p>
        </w:tc>
      </w:tr>
      <w:tr w:rsidR="000F7E56" w:rsidRPr="000F7E56" w14:paraId="1490E576" w14:textId="77777777" w:rsidTr="000F7E56">
        <w:tc>
          <w:tcPr>
            <w:tcW w:w="3256" w:type="dxa"/>
          </w:tcPr>
          <w:p w14:paraId="244971EB" w14:textId="77777777" w:rsidR="000F7E56" w:rsidRPr="000F7E56" w:rsidRDefault="000F7E56" w:rsidP="000F7E56">
            <w:pPr>
              <w:rPr>
                <w:rFonts w:ascii="Calibri" w:eastAsia="Calibri" w:hAnsi="Calibri" w:cs="Times New Roman"/>
              </w:rPr>
            </w:pPr>
            <w:r w:rsidRPr="000F7E56">
              <w:rPr>
                <w:rFonts w:ascii="Calibri" w:eastAsia="Calibri" w:hAnsi="Calibri" w:cs="Times New Roman"/>
              </w:rPr>
              <w:t>Mr Bashir</w:t>
            </w:r>
          </w:p>
        </w:tc>
        <w:tc>
          <w:tcPr>
            <w:tcW w:w="2551" w:type="dxa"/>
          </w:tcPr>
          <w:p w14:paraId="30A4136C" w14:textId="77777777" w:rsidR="000F7E56" w:rsidRPr="000F7E56" w:rsidRDefault="000F7E56" w:rsidP="000F7E56">
            <w:pPr>
              <w:rPr>
                <w:rFonts w:ascii="Calibri" w:eastAsia="Calibri" w:hAnsi="Calibri" w:cs="Times New Roman"/>
              </w:rPr>
            </w:pPr>
            <w:r w:rsidRPr="000F7E56">
              <w:rPr>
                <w:rFonts w:ascii="Calibri" w:eastAsia="Calibri" w:hAnsi="Calibri" w:cs="Times New Roman"/>
              </w:rPr>
              <w:t>Muslim</w:t>
            </w:r>
          </w:p>
        </w:tc>
        <w:tc>
          <w:tcPr>
            <w:tcW w:w="2410" w:type="dxa"/>
          </w:tcPr>
          <w:p w14:paraId="2189E1EA" w14:textId="77777777" w:rsidR="000F7E56" w:rsidRPr="000F7E56" w:rsidRDefault="000F7E56" w:rsidP="000F7E56">
            <w:pPr>
              <w:rPr>
                <w:rFonts w:ascii="Calibri" w:eastAsia="Calibri" w:hAnsi="Calibri" w:cs="Times New Roman"/>
              </w:rPr>
            </w:pPr>
            <w:r w:rsidRPr="000F7E56">
              <w:rPr>
                <w:rFonts w:ascii="Calibri" w:eastAsia="Calibri" w:hAnsi="Calibri" w:cs="Times New Roman"/>
              </w:rPr>
              <w:t>Indian</w:t>
            </w:r>
          </w:p>
        </w:tc>
        <w:tc>
          <w:tcPr>
            <w:tcW w:w="2551" w:type="dxa"/>
          </w:tcPr>
          <w:p w14:paraId="41AC9304" w14:textId="77777777" w:rsidR="000F7E56" w:rsidRPr="000F7E56" w:rsidRDefault="000F7E56" w:rsidP="000F7E56">
            <w:pPr>
              <w:rPr>
                <w:rFonts w:ascii="Calibri" w:eastAsia="Calibri" w:hAnsi="Calibri" w:cs="Times New Roman"/>
              </w:rPr>
            </w:pPr>
            <w:r w:rsidRPr="000F7E56">
              <w:rPr>
                <w:rFonts w:ascii="Calibri" w:eastAsia="Calibri" w:hAnsi="Calibri" w:cs="Times New Roman"/>
              </w:rPr>
              <w:t>Daughter</w:t>
            </w:r>
          </w:p>
        </w:tc>
      </w:tr>
      <w:tr w:rsidR="000F7E56" w:rsidRPr="000F7E56" w14:paraId="5546F15E" w14:textId="77777777" w:rsidTr="000F7E56">
        <w:tc>
          <w:tcPr>
            <w:tcW w:w="3256" w:type="dxa"/>
          </w:tcPr>
          <w:p w14:paraId="15BF8DA7" w14:textId="77777777" w:rsidR="000F7E56" w:rsidRPr="000F7E56" w:rsidRDefault="000F7E56" w:rsidP="000F7E56">
            <w:pPr>
              <w:rPr>
                <w:rFonts w:ascii="Calibri" w:eastAsia="Calibri" w:hAnsi="Calibri" w:cs="Times New Roman"/>
              </w:rPr>
            </w:pPr>
            <w:r w:rsidRPr="000F7E56">
              <w:rPr>
                <w:rFonts w:ascii="Calibri" w:eastAsia="Calibri" w:hAnsi="Calibri" w:cs="Times New Roman"/>
              </w:rPr>
              <w:t xml:space="preserve">Mrs </w:t>
            </w:r>
            <w:proofErr w:type="spellStart"/>
            <w:r w:rsidRPr="000F7E56">
              <w:rPr>
                <w:rFonts w:ascii="Calibri" w:eastAsia="Calibri" w:hAnsi="Calibri" w:cs="Times New Roman"/>
              </w:rPr>
              <w:t>BajPai</w:t>
            </w:r>
            <w:proofErr w:type="spellEnd"/>
          </w:p>
        </w:tc>
        <w:tc>
          <w:tcPr>
            <w:tcW w:w="2551" w:type="dxa"/>
          </w:tcPr>
          <w:p w14:paraId="70A9F277" w14:textId="77777777" w:rsidR="000F7E56" w:rsidRPr="000F7E56" w:rsidRDefault="000F7E56" w:rsidP="000F7E56">
            <w:pPr>
              <w:rPr>
                <w:rFonts w:ascii="Calibri" w:eastAsia="Calibri" w:hAnsi="Calibri" w:cs="Times New Roman"/>
              </w:rPr>
            </w:pPr>
            <w:r w:rsidRPr="000F7E56">
              <w:rPr>
                <w:rFonts w:ascii="Calibri" w:eastAsia="Calibri" w:hAnsi="Calibri" w:cs="Times New Roman"/>
              </w:rPr>
              <w:t>Hindu</w:t>
            </w:r>
          </w:p>
        </w:tc>
        <w:tc>
          <w:tcPr>
            <w:tcW w:w="2410" w:type="dxa"/>
          </w:tcPr>
          <w:p w14:paraId="42C7C547" w14:textId="77777777" w:rsidR="000F7E56" w:rsidRPr="000F7E56" w:rsidRDefault="000F7E56" w:rsidP="000F7E56">
            <w:pPr>
              <w:rPr>
                <w:rFonts w:ascii="Calibri" w:eastAsia="Calibri" w:hAnsi="Calibri" w:cs="Times New Roman"/>
              </w:rPr>
            </w:pPr>
            <w:r w:rsidRPr="000F7E56">
              <w:rPr>
                <w:rFonts w:ascii="Calibri" w:eastAsia="Calibri" w:hAnsi="Calibri" w:cs="Times New Roman"/>
              </w:rPr>
              <w:t>Indian</w:t>
            </w:r>
          </w:p>
        </w:tc>
        <w:tc>
          <w:tcPr>
            <w:tcW w:w="2551" w:type="dxa"/>
          </w:tcPr>
          <w:p w14:paraId="04E80CFD" w14:textId="77777777" w:rsidR="000F7E56" w:rsidRPr="000F7E56" w:rsidRDefault="000F7E56" w:rsidP="000F7E56">
            <w:pPr>
              <w:rPr>
                <w:rFonts w:ascii="Calibri" w:eastAsia="Calibri" w:hAnsi="Calibri" w:cs="Times New Roman"/>
              </w:rPr>
            </w:pPr>
            <w:r w:rsidRPr="000F7E56">
              <w:rPr>
                <w:rFonts w:ascii="Calibri" w:eastAsia="Calibri" w:hAnsi="Calibri" w:cs="Times New Roman"/>
              </w:rPr>
              <w:t>Granddaughter</w:t>
            </w:r>
          </w:p>
        </w:tc>
      </w:tr>
      <w:tr w:rsidR="000F7E56" w:rsidRPr="000F7E56" w14:paraId="50C192AB" w14:textId="77777777" w:rsidTr="000F7E56">
        <w:tc>
          <w:tcPr>
            <w:tcW w:w="3256" w:type="dxa"/>
          </w:tcPr>
          <w:p w14:paraId="1DA68A7A" w14:textId="77777777" w:rsidR="000F7E56" w:rsidRPr="000F7E56" w:rsidRDefault="000F7E56" w:rsidP="000F7E56">
            <w:pPr>
              <w:rPr>
                <w:rFonts w:ascii="Calibri" w:eastAsia="Calibri" w:hAnsi="Calibri" w:cs="Times New Roman"/>
              </w:rPr>
            </w:pPr>
            <w:r w:rsidRPr="000F7E56">
              <w:rPr>
                <w:rFonts w:ascii="Calibri" w:eastAsia="Calibri" w:hAnsi="Calibri" w:cs="Times New Roman"/>
              </w:rPr>
              <w:t xml:space="preserve">Mrs </w:t>
            </w:r>
            <w:proofErr w:type="spellStart"/>
            <w:r w:rsidRPr="000F7E56">
              <w:rPr>
                <w:rFonts w:ascii="Calibri" w:eastAsia="Calibri" w:hAnsi="Calibri" w:cs="Times New Roman"/>
              </w:rPr>
              <w:t>BajPai</w:t>
            </w:r>
            <w:proofErr w:type="spellEnd"/>
            <w:r w:rsidRPr="000F7E56">
              <w:rPr>
                <w:rFonts w:ascii="Calibri" w:eastAsia="Calibri" w:hAnsi="Calibri" w:cs="Times New Roman"/>
              </w:rPr>
              <w:t xml:space="preserve"> </w:t>
            </w:r>
          </w:p>
        </w:tc>
        <w:tc>
          <w:tcPr>
            <w:tcW w:w="2551" w:type="dxa"/>
          </w:tcPr>
          <w:p w14:paraId="191B304E" w14:textId="77777777" w:rsidR="000F7E56" w:rsidRPr="000F7E56" w:rsidRDefault="000F7E56" w:rsidP="000F7E56">
            <w:pPr>
              <w:rPr>
                <w:rFonts w:ascii="Calibri" w:eastAsia="Calibri" w:hAnsi="Calibri" w:cs="Times New Roman"/>
              </w:rPr>
            </w:pPr>
            <w:r w:rsidRPr="000F7E56">
              <w:rPr>
                <w:rFonts w:ascii="Calibri" w:eastAsia="Calibri" w:hAnsi="Calibri" w:cs="Times New Roman"/>
              </w:rPr>
              <w:t xml:space="preserve">Hindu </w:t>
            </w:r>
          </w:p>
        </w:tc>
        <w:tc>
          <w:tcPr>
            <w:tcW w:w="2410" w:type="dxa"/>
          </w:tcPr>
          <w:p w14:paraId="4318ECD6" w14:textId="77777777" w:rsidR="000F7E56" w:rsidRPr="000F7E56" w:rsidRDefault="000F7E56" w:rsidP="000F7E56">
            <w:pPr>
              <w:rPr>
                <w:rFonts w:ascii="Calibri" w:eastAsia="Calibri" w:hAnsi="Calibri" w:cs="Times New Roman"/>
              </w:rPr>
            </w:pPr>
            <w:r w:rsidRPr="000F7E56">
              <w:rPr>
                <w:rFonts w:ascii="Calibri" w:eastAsia="Calibri" w:hAnsi="Calibri" w:cs="Times New Roman"/>
              </w:rPr>
              <w:t>Indian</w:t>
            </w:r>
          </w:p>
        </w:tc>
        <w:tc>
          <w:tcPr>
            <w:tcW w:w="2551" w:type="dxa"/>
          </w:tcPr>
          <w:p w14:paraId="2E42B90A" w14:textId="77777777" w:rsidR="000F7E56" w:rsidRPr="000F7E56" w:rsidRDefault="000F7E56" w:rsidP="000F7E56">
            <w:pPr>
              <w:rPr>
                <w:rFonts w:ascii="Calibri" w:eastAsia="Calibri" w:hAnsi="Calibri" w:cs="Times New Roman"/>
              </w:rPr>
            </w:pPr>
            <w:r w:rsidRPr="000F7E56">
              <w:rPr>
                <w:rFonts w:ascii="Calibri" w:eastAsia="Calibri" w:hAnsi="Calibri" w:cs="Times New Roman"/>
              </w:rPr>
              <w:t>Son</w:t>
            </w:r>
          </w:p>
        </w:tc>
      </w:tr>
      <w:tr w:rsidR="000F7E56" w:rsidRPr="000F7E56" w14:paraId="2ACA59DD" w14:textId="77777777" w:rsidTr="000F7E56">
        <w:tc>
          <w:tcPr>
            <w:tcW w:w="3256" w:type="dxa"/>
          </w:tcPr>
          <w:p w14:paraId="2D248263" w14:textId="77777777" w:rsidR="000F7E56" w:rsidRPr="000F7E56" w:rsidRDefault="000F7E56" w:rsidP="000F7E56">
            <w:pPr>
              <w:rPr>
                <w:rFonts w:ascii="Calibri" w:eastAsia="Calibri" w:hAnsi="Calibri" w:cs="Times New Roman"/>
              </w:rPr>
            </w:pPr>
            <w:r w:rsidRPr="000F7E56">
              <w:rPr>
                <w:rFonts w:ascii="Calibri" w:eastAsia="Calibri" w:hAnsi="Calibri" w:cs="Times New Roman"/>
              </w:rPr>
              <w:t xml:space="preserve">Mr </w:t>
            </w:r>
            <w:proofErr w:type="spellStart"/>
            <w:r w:rsidRPr="000F7E56">
              <w:rPr>
                <w:rFonts w:ascii="Calibri" w:eastAsia="Calibri" w:hAnsi="Calibri" w:cs="Times New Roman"/>
              </w:rPr>
              <w:t>Beshara</w:t>
            </w:r>
            <w:proofErr w:type="spellEnd"/>
          </w:p>
        </w:tc>
        <w:tc>
          <w:tcPr>
            <w:tcW w:w="2551" w:type="dxa"/>
          </w:tcPr>
          <w:p w14:paraId="6CAAE8C1" w14:textId="77777777" w:rsidR="000F7E56" w:rsidRPr="000F7E56" w:rsidRDefault="000F7E56" w:rsidP="000F7E56">
            <w:pPr>
              <w:rPr>
                <w:rFonts w:ascii="Calibri" w:eastAsia="Calibri" w:hAnsi="Calibri" w:cs="Times New Roman"/>
              </w:rPr>
            </w:pPr>
            <w:r w:rsidRPr="000F7E56">
              <w:rPr>
                <w:rFonts w:ascii="Calibri" w:eastAsia="Calibri" w:hAnsi="Calibri" w:cs="Times New Roman"/>
              </w:rPr>
              <w:t>Muslim</w:t>
            </w:r>
          </w:p>
        </w:tc>
        <w:tc>
          <w:tcPr>
            <w:tcW w:w="2410" w:type="dxa"/>
          </w:tcPr>
          <w:p w14:paraId="73B01751" w14:textId="77777777" w:rsidR="000F7E56" w:rsidRPr="000F7E56" w:rsidRDefault="000F7E56" w:rsidP="000F7E56">
            <w:pPr>
              <w:rPr>
                <w:rFonts w:ascii="Calibri" w:eastAsia="Calibri" w:hAnsi="Calibri" w:cs="Times New Roman"/>
              </w:rPr>
            </w:pPr>
            <w:r w:rsidRPr="000F7E56">
              <w:rPr>
                <w:rFonts w:ascii="Calibri" w:eastAsia="Calibri" w:hAnsi="Calibri" w:cs="Times New Roman"/>
              </w:rPr>
              <w:t>Pakistani</w:t>
            </w:r>
          </w:p>
        </w:tc>
        <w:tc>
          <w:tcPr>
            <w:tcW w:w="2551" w:type="dxa"/>
          </w:tcPr>
          <w:p w14:paraId="457B6B26" w14:textId="77777777" w:rsidR="000F7E56" w:rsidRPr="000F7E56" w:rsidRDefault="000F7E56" w:rsidP="000F7E56">
            <w:pPr>
              <w:rPr>
                <w:rFonts w:ascii="Calibri" w:eastAsia="Calibri" w:hAnsi="Calibri" w:cs="Times New Roman"/>
              </w:rPr>
            </w:pPr>
            <w:r w:rsidRPr="000F7E56">
              <w:rPr>
                <w:rFonts w:ascii="Calibri" w:eastAsia="Calibri" w:hAnsi="Calibri" w:cs="Times New Roman"/>
              </w:rPr>
              <w:t>Son</w:t>
            </w:r>
          </w:p>
        </w:tc>
      </w:tr>
      <w:tr w:rsidR="000F7E56" w:rsidRPr="000F7E56" w14:paraId="28BD50B8" w14:textId="77777777" w:rsidTr="000F7E56">
        <w:trPr>
          <w:trHeight w:val="311"/>
        </w:trPr>
        <w:tc>
          <w:tcPr>
            <w:tcW w:w="3256" w:type="dxa"/>
          </w:tcPr>
          <w:p w14:paraId="2FE62A95" w14:textId="77777777" w:rsidR="000F7E56" w:rsidRPr="000F7E56" w:rsidRDefault="000F7E56" w:rsidP="000F7E56">
            <w:pPr>
              <w:rPr>
                <w:rFonts w:ascii="Calibri" w:eastAsia="Calibri" w:hAnsi="Calibri" w:cs="Times New Roman"/>
              </w:rPr>
            </w:pPr>
            <w:r w:rsidRPr="000F7E56">
              <w:rPr>
                <w:rFonts w:ascii="Calibri" w:eastAsia="Calibri" w:hAnsi="Calibri" w:cs="Times New Roman"/>
              </w:rPr>
              <w:t>Mrs Bailey</w:t>
            </w:r>
          </w:p>
        </w:tc>
        <w:tc>
          <w:tcPr>
            <w:tcW w:w="2551" w:type="dxa"/>
          </w:tcPr>
          <w:p w14:paraId="2BFC71EB" w14:textId="77777777" w:rsidR="000F7E56" w:rsidRPr="000F7E56" w:rsidRDefault="000F7E56" w:rsidP="000F7E56">
            <w:pPr>
              <w:rPr>
                <w:rFonts w:ascii="Calibri" w:eastAsia="Calibri" w:hAnsi="Calibri" w:cs="Times New Roman"/>
              </w:rPr>
            </w:pPr>
            <w:r w:rsidRPr="000F7E56">
              <w:rPr>
                <w:rFonts w:ascii="Calibri" w:eastAsia="Calibri" w:hAnsi="Calibri" w:cs="Times New Roman"/>
              </w:rPr>
              <w:t>Christian</w:t>
            </w:r>
          </w:p>
        </w:tc>
        <w:tc>
          <w:tcPr>
            <w:tcW w:w="2410" w:type="dxa"/>
          </w:tcPr>
          <w:p w14:paraId="0EAB0B68" w14:textId="77777777" w:rsidR="000F7E56" w:rsidRPr="000F7E56" w:rsidRDefault="000F7E56" w:rsidP="000F7E56">
            <w:pPr>
              <w:rPr>
                <w:rFonts w:ascii="Calibri" w:eastAsia="Calibri" w:hAnsi="Calibri" w:cs="Times New Roman"/>
              </w:rPr>
            </w:pPr>
            <w:r w:rsidRPr="000F7E56">
              <w:rPr>
                <w:rFonts w:ascii="Calibri" w:eastAsia="Calibri" w:hAnsi="Calibri" w:cs="Times New Roman"/>
              </w:rPr>
              <w:t>African Caribbean</w:t>
            </w:r>
          </w:p>
        </w:tc>
        <w:tc>
          <w:tcPr>
            <w:tcW w:w="2551" w:type="dxa"/>
          </w:tcPr>
          <w:p w14:paraId="52E14FC0" w14:textId="77777777" w:rsidR="000F7E56" w:rsidRPr="000F7E56" w:rsidRDefault="000F7E56" w:rsidP="000F7E56">
            <w:pPr>
              <w:rPr>
                <w:rFonts w:ascii="Calibri" w:eastAsia="Calibri" w:hAnsi="Calibri" w:cs="Times New Roman"/>
              </w:rPr>
            </w:pPr>
            <w:r w:rsidRPr="000F7E56">
              <w:rPr>
                <w:rFonts w:ascii="Calibri" w:eastAsia="Calibri" w:hAnsi="Calibri" w:cs="Times New Roman"/>
              </w:rPr>
              <w:t>Sister</w:t>
            </w:r>
          </w:p>
        </w:tc>
      </w:tr>
      <w:tr w:rsidR="000F7E56" w:rsidRPr="000F7E56" w14:paraId="08603E70" w14:textId="77777777" w:rsidTr="000F7E56">
        <w:tc>
          <w:tcPr>
            <w:tcW w:w="3256" w:type="dxa"/>
          </w:tcPr>
          <w:p w14:paraId="01CE5FC4" w14:textId="77777777" w:rsidR="000F7E56" w:rsidRPr="000F7E56" w:rsidRDefault="000F7E56" w:rsidP="000F7E56">
            <w:pPr>
              <w:rPr>
                <w:rFonts w:ascii="Calibri" w:eastAsia="Calibri" w:hAnsi="Calibri" w:cs="Times New Roman"/>
              </w:rPr>
            </w:pPr>
            <w:r w:rsidRPr="000F7E56">
              <w:rPr>
                <w:rFonts w:ascii="Calibri" w:eastAsia="Calibri" w:hAnsi="Calibri" w:cs="Times New Roman"/>
              </w:rPr>
              <w:t>Mr Bryan</w:t>
            </w:r>
          </w:p>
        </w:tc>
        <w:tc>
          <w:tcPr>
            <w:tcW w:w="2551" w:type="dxa"/>
          </w:tcPr>
          <w:p w14:paraId="653C892A" w14:textId="77777777" w:rsidR="000F7E56" w:rsidRPr="000F7E56" w:rsidRDefault="000F7E56" w:rsidP="000F7E56">
            <w:pPr>
              <w:rPr>
                <w:rFonts w:ascii="Calibri" w:eastAsia="Calibri" w:hAnsi="Calibri" w:cs="Times New Roman"/>
              </w:rPr>
            </w:pPr>
            <w:r w:rsidRPr="000F7E56">
              <w:rPr>
                <w:rFonts w:ascii="Calibri" w:eastAsia="Calibri" w:hAnsi="Calibri" w:cs="Times New Roman"/>
              </w:rPr>
              <w:t>Church of England</w:t>
            </w:r>
          </w:p>
        </w:tc>
        <w:tc>
          <w:tcPr>
            <w:tcW w:w="2410" w:type="dxa"/>
          </w:tcPr>
          <w:p w14:paraId="5E66FB7B" w14:textId="77777777" w:rsidR="000F7E56" w:rsidRPr="000F7E56" w:rsidRDefault="000F7E56" w:rsidP="000F7E56">
            <w:pPr>
              <w:rPr>
                <w:rFonts w:ascii="Calibri" w:eastAsia="Calibri" w:hAnsi="Calibri" w:cs="Times New Roman"/>
              </w:rPr>
            </w:pPr>
            <w:r w:rsidRPr="000F7E56">
              <w:rPr>
                <w:rFonts w:ascii="Calibri" w:eastAsia="Calibri" w:hAnsi="Calibri" w:cs="Times New Roman"/>
              </w:rPr>
              <w:t>African Caribbean</w:t>
            </w:r>
          </w:p>
        </w:tc>
        <w:tc>
          <w:tcPr>
            <w:tcW w:w="2551" w:type="dxa"/>
          </w:tcPr>
          <w:p w14:paraId="2FCA8BC1" w14:textId="77777777" w:rsidR="000F7E56" w:rsidRPr="000F7E56" w:rsidRDefault="000F7E56" w:rsidP="000F7E56">
            <w:pPr>
              <w:rPr>
                <w:rFonts w:ascii="Calibri" w:eastAsia="Calibri" w:hAnsi="Calibri" w:cs="Times New Roman"/>
              </w:rPr>
            </w:pPr>
            <w:r w:rsidRPr="000F7E56">
              <w:rPr>
                <w:rFonts w:ascii="Calibri" w:eastAsia="Calibri" w:hAnsi="Calibri" w:cs="Times New Roman"/>
              </w:rPr>
              <w:t>Wife</w:t>
            </w:r>
          </w:p>
        </w:tc>
      </w:tr>
      <w:tr w:rsidR="000F7E56" w:rsidRPr="000F7E56" w14:paraId="64C311D0" w14:textId="77777777" w:rsidTr="000F7E56">
        <w:tc>
          <w:tcPr>
            <w:tcW w:w="3256" w:type="dxa"/>
          </w:tcPr>
          <w:p w14:paraId="6F480190" w14:textId="77777777" w:rsidR="000F7E56" w:rsidRPr="000F7E56" w:rsidRDefault="000F7E56" w:rsidP="000F7E56">
            <w:pPr>
              <w:rPr>
                <w:rFonts w:ascii="Calibri" w:eastAsia="Calibri" w:hAnsi="Calibri" w:cs="Times New Roman"/>
              </w:rPr>
            </w:pPr>
            <w:r w:rsidRPr="000F7E56">
              <w:rPr>
                <w:rFonts w:ascii="Calibri" w:eastAsia="Calibri" w:hAnsi="Calibri" w:cs="Times New Roman"/>
              </w:rPr>
              <w:t xml:space="preserve">Mrs </w:t>
            </w:r>
            <w:proofErr w:type="spellStart"/>
            <w:r w:rsidRPr="000F7E56">
              <w:rPr>
                <w:rFonts w:ascii="Calibri" w:eastAsia="Calibri" w:hAnsi="Calibri" w:cs="Times New Roman"/>
              </w:rPr>
              <w:t>Bhajwar</w:t>
            </w:r>
            <w:proofErr w:type="spellEnd"/>
          </w:p>
        </w:tc>
        <w:tc>
          <w:tcPr>
            <w:tcW w:w="2551" w:type="dxa"/>
          </w:tcPr>
          <w:p w14:paraId="3870D7F7" w14:textId="77777777" w:rsidR="000F7E56" w:rsidRPr="000F7E56" w:rsidRDefault="000F7E56" w:rsidP="000F7E56">
            <w:pPr>
              <w:rPr>
                <w:rFonts w:ascii="Calibri" w:eastAsia="Calibri" w:hAnsi="Calibri" w:cs="Times New Roman"/>
              </w:rPr>
            </w:pPr>
            <w:r w:rsidRPr="000F7E56">
              <w:rPr>
                <w:rFonts w:ascii="Calibri" w:eastAsia="Calibri" w:hAnsi="Calibri" w:cs="Times New Roman"/>
              </w:rPr>
              <w:t>Muslim</w:t>
            </w:r>
          </w:p>
        </w:tc>
        <w:tc>
          <w:tcPr>
            <w:tcW w:w="2410" w:type="dxa"/>
          </w:tcPr>
          <w:p w14:paraId="5C19F2E0" w14:textId="77777777" w:rsidR="000F7E56" w:rsidRPr="000F7E56" w:rsidRDefault="000F7E56" w:rsidP="000F7E56">
            <w:pPr>
              <w:rPr>
                <w:rFonts w:ascii="Calibri" w:eastAsia="Calibri" w:hAnsi="Calibri" w:cs="Times New Roman"/>
              </w:rPr>
            </w:pPr>
            <w:r w:rsidRPr="000F7E56">
              <w:rPr>
                <w:rFonts w:ascii="Calibri" w:eastAsia="Calibri" w:hAnsi="Calibri" w:cs="Times New Roman"/>
              </w:rPr>
              <w:t>Indian</w:t>
            </w:r>
          </w:p>
        </w:tc>
        <w:tc>
          <w:tcPr>
            <w:tcW w:w="2551" w:type="dxa"/>
          </w:tcPr>
          <w:p w14:paraId="6A87548A" w14:textId="77777777" w:rsidR="000F7E56" w:rsidRPr="000F7E56" w:rsidRDefault="000F7E56" w:rsidP="000F7E56">
            <w:pPr>
              <w:rPr>
                <w:rFonts w:ascii="Calibri" w:eastAsia="Calibri" w:hAnsi="Calibri" w:cs="Times New Roman"/>
              </w:rPr>
            </w:pPr>
            <w:r w:rsidRPr="000F7E56">
              <w:rPr>
                <w:rFonts w:ascii="Calibri" w:eastAsia="Calibri" w:hAnsi="Calibri" w:cs="Times New Roman"/>
              </w:rPr>
              <w:t>Husband</w:t>
            </w:r>
          </w:p>
        </w:tc>
      </w:tr>
      <w:tr w:rsidR="000F7E56" w:rsidRPr="000F7E56" w14:paraId="4E1F493A" w14:textId="77777777" w:rsidTr="000F7E56">
        <w:tc>
          <w:tcPr>
            <w:tcW w:w="3256" w:type="dxa"/>
          </w:tcPr>
          <w:p w14:paraId="2A8F570B" w14:textId="77777777" w:rsidR="000F7E56" w:rsidRPr="000F7E56" w:rsidRDefault="000F7E56" w:rsidP="000F7E56">
            <w:pPr>
              <w:rPr>
                <w:rFonts w:ascii="Calibri" w:eastAsia="Calibri" w:hAnsi="Calibri" w:cs="Times New Roman"/>
              </w:rPr>
            </w:pPr>
            <w:r w:rsidRPr="000F7E56">
              <w:rPr>
                <w:rFonts w:ascii="Calibri" w:eastAsia="Calibri" w:hAnsi="Calibri" w:cs="Times New Roman"/>
              </w:rPr>
              <w:t>Mr Blake</w:t>
            </w:r>
          </w:p>
        </w:tc>
        <w:tc>
          <w:tcPr>
            <w:tcW w:w="2551" w:type="dxa"/>
          </w:tcPr>
          <w:p w14:paraId="580B0BD9" w14:textId="77777777" w:rsidR="000F7E56" w:rsidRPr="000F7E56" w:rsidRDefault="000F7E56" w:rsidP="000F7E56">
            <w:pPr>
              <w:rPr>
                <w:rFonts w:ascii="Calibri" w:eastAsia="Calibri" w:hAnsi="Calibri" w:cs="Times New Roman"/>
              </w:rPr>
            </w:pPr>
            <w:r w:rsidRPr="000F7E56">
              <w:rPr>
                <w:rFonts w:ascii="Calibri" w:eastAsia="Calibri" w:hAnsi="Calibri" w:cs="Times New Roman"/>
              </w:rPr>
              <w:t>Christian</w:t>
            </w:r>
          </w:p>
        </w:tc>
        <w:tc>
          <w:tcPr>
            <w:tcW w:w="2410" w:type="dxa"/>
          </w:tcPr>
          <w:p w14:paraId="3AD26F48" w14:textId="77777777" w:rsidR="000F7E56" w:rsidRPr="000F7E56" w:rsidRDefault="000F7E56" w:rsidP="000F7E56">
            <w:pPr>
              <w:rPr>
                <w:rFonts w:ascii="Calibri" w:eastAsia="Calibri" w:hAnsi="Calibri" w:cs="Times New Roman"/>
              </w:rPr>
            </w:pPr>
            <w:r w:rsidRPr="000F7E56">
              <w:rPr>
                <w:rFonts w:ascii="Calibri" w:eastAsia="Calibri" w:hAnsi="Calibri" w:cs="Times New Roman"/>
              </w:rPr>
              <w:t>African Caribbean</w:t>
            </w:r>
          </w:p>
        </w:tc>
        <w:tc>
          <w:tcPr>
            <w:tcW w:w="2551" w:type="dxa"/>
          </w:tcPr>
          <w:p w14:paraId="3603E2C4" w14:textId="77777777" w:rsidR="000F7E56" w:rsidRPr="000F7E56" w:rsidRDefault="000F7E56" w:rsidP="000F7E56">
            <w:pPr>
              <w:rPr>
                <w:rFonts w:ascii="Calibri" w:eastAsia="Calibri" w:hAnsi="Calibri" w:cs="Times New Roman"/>
              </w:rPr>
            </w:pPr>
            <w:r w:rsidRPr="000F7E56">
              <w:rPr>
                <w:rFonts w:ascii="Calibri" w:eastAsia="Calibri" w:hAnsi="Calibri" w:cs="Times New Roman"/>
              </w:rPr>
              <w:t>Brother</w:t>
            </w:r>
          </w:p>
        </w:tc>
      </w:tr>
      <w:tr w:rsidR="000F7E56" w:rsidRPr="000F7E56" w14:paraId="617DAD71" w14:textId="77777777" w:rsidTr="000F7E56">
        <w:tc>
          <w:tcPr>
            <w:tcW w:w="3256" w:type="dxa"/>
          </w:tcPr>
          <w:p w14:paraId="21490F9D" w14:textId="77777777" w:rsidR="000F7E56" w:rsidRPr="000F7E56" w:rsidRDefault="000F7E56" w:rsidP="000F7E56">
            <w:pPr>
              <w:rPr>
                <w:rFonts w:ascii="Calibri" w:eastAsia="Calibri" w:hAnsi="Calibri" w:cs="Times New Roman"/>
              </w:rPr>
            </w:pPr>
            <w:r w:rsidRPr="000F7E56">
              <w:rPr>
                <w:rFonts w:ascii="Calibri" w:eastAsia="Calibri" w:hAnsi="Calibri" w:cs="Times New Roman"/>
              </w:rPr>
              <w:t>Mr Barratt</w:t>
            </w:r>
          </w:p>
        </w:tc>
        <w:tc>
          <w:tcPr>
            <w:tcW w:w="2551" w:type="dxa"/>
          </w:tcPr>
          <w:p w14:paraId="0AE8AFD6" w14:textId="77777777" w:rsidR="000F7E56" w:rsidRPr="000F7E56" w:rsidRDefault="000F7E56" w:rsidP="000F7E56">
            <w:pPr>
              <w:rPr>
                <w:rFonts w:ascii="Calibri" w:eastAsia="Calibri" w:hAnsi="Calibri" w:cs="Times New Roman"/>
              </w:rPr>
            </w:pPr>
            <w:r w:rsidRPr="000F7E56">
              <w:rPr>
                <w:rFonts w:ascii="Calibri" w:eastAsia="Calibri" w:hAnsi="Calibri" w:cs="Times New Roman"/>
              </w:rPr>
              <w:t>Methodist</w:t>
            </w:r>
          </w:p>
        </w:tc>
        <w:tc>
          <w:tcPr>
            <w:tcW w:w="2410" w:type="dxa"/>
          </w:tcPr>
          <w:p w14:paraId="1BAE6841" w14:textId="77777777" w:rsidR="000F7E56" w:rsidRPr="000F7E56" w:rsidRDefault="000F7E56" w:rsidP="000F7E56">
            <w:pPr>
              <w:rPr>
                <w:rFonts w:ascii="Calibri" w:eastAsia="Calibri" w:hAnsi="Calibri" w:cs="Times New Roman"/>
              </w:rPr>
            </w:pPr>
            <w:r w:rsidRPr="000F7E56">
              <w:rPr>
                <w:rFonts w:ascii="Calibri" w:eastAsia="Calibri" w:hAnsi="Calibri" w:cs="Times New Roman"/>
              </w:rPr>
              <w:t>African Caribbean</w:t>
            </w:r>
          </w:p>
        </w:tc>
        <w:tc>
          <w:tcPr>
            <w:tcW w:w="2551" w:type="dxa"/>
          </w:tcPr>
          <w:p w14:paraId="0CE25258" w14:textId="77777777" w:rsidR="000F7E56" w:rsidRPr="000F7E56" w:rsidRDefault="000F7E56" w:rsidP="000F7E56">
            <w:pPr>
              <w:rPr>
                <w:rFonts w:ascii="Calibri" w:eastAsia="Calibri" w:hAnsi="Calibri" w:cs="Times New Roman"/>
              </w:rPr>
            </w:pPr>
            <w:r w:rsidRPr="000F7E56">
              <w:rPr>
                <w:rFonts w:ascii="Calibri" w:eastAsia="Calibri" w:hAnsi="Calibri" w:cs="Times New Roman"/>
              </w:rPr>
              <w:t>Partner (female)</w:t>
            </w:r>
          </w:p>
        </w:tc>
      </w:tr>
      <w:tr w:rsidR="000F7E56" w:rsidRPr="000F7E56" w14:paraId="3F913F8B" w14:textId="77777777" w:rsidTr="000F7E56">
        <w:tc>
          <w:tcPr>
            <w:tcW w:w="3256" w:type="dxa"/>
          </w:tcPr>
          <w:p w14:paraId="2D73C016" w14:textId="77777777" w:rsidR="000F7E56" w:rsidRPr="000F7E56" w:rsidRDefault="000F7E56" w:rsidP="000F7E56">
            <w:pPr>
              <w:rPr>
                <w:rFonts w:ascii="Calibri" w:eastAsia="Calibri" w:hAnsi="Calibri" w:cs="Times New Roman"/>
              </w:rPr>
            </w:pPr>
            <w:r w:rsidRPr="000F7E56">
              <w:rPr>
                <w:rFonts w:ascii="Calibri" w:eastAsia="Calibri" w:hAnsi="Calibri" w:cs="Times New Roman"/>
              </w:rPr>
              <w:t>Mrs Badawi</w:t>
            </w:r>
          </w:p>
        </w:tc>
        <w:tc>
          <w:tcPr>
            <w:tcW w:w="2551" w:type="dxa"/>
          </w:tcPr>
          <w:p w14:paraId="4C9CE562" w14:textId="77777777" w:rsidR="000F7E56" w:rsidRPr="000F7E56" w:rsidRDefault="000F7E56" w:rsidP="000F7E56">
            <w:pPr>
              <w:rPr>
                <w:rFonts w:ascii="Calibri" w:eastAsia="Calibri" w:hAnsi="Calibri" w:cs="Times New Roman"/>
              </w:rPr>
            </w:pPr>
            <w:r w:rsidRPr="000F7E56">
              <w:rPr>
                <w:rFonts w:ascii="Calibri" w:eastAsia="Calibri" w:hAnsi="Calibri" w:cs="Times New Roman"/>
              </w:rPr>
              <w:t>Muslim</w:t>
            </w:r>
          </w:p>
        </w:tc>
        <w:tc>
          <w:tcPr>
            <w:tcW w:w="2410" w:type="dxa"/>
          </w:tcPr>
          <w:p w14:paraId="3A18AED4" w14:textId="77777777" w:rsidR="000F7E56" w:rsidRPr="000F7E56" w:rsidRDefault="000F7E56" w:rsidP="000F7E56">
            <w:pPr>
              <w:rPr>
                <w:rFonts w:ascii="Calibri" w:eastAsia="Calibri" w:hAnsi="Calibri" w:cs="Times New Roman"/>
              </w:rPr>
            </w:pPr>
            <w:r w:rsidRPr="000F7E56">
              <w:rPr>
                <w:rFonts w:ascii="Calibri" w:eastAsia="Calibri" w:hAnsi="Calibri" w:cs="Times New Roman"/>
              </w:rPr>
              <w:t>Indian</w:t>
            </w:r>
          </w:p>
        </w:tc>
        <w:tc>
          <w:tcPr>
            <w:tcW w:w="2551" w:type="dxa"/>
          </w:tcPr>
          <w:p w14:paraId="5FF7C6C4" w14:textId="77777777" w:rsidR="000F7E56" w:rsidRPr="000F7E56" w:rsidRDefault="000F7E56" w:rsidP="000F7E56">
            <w:pPr>
              <w:rPr>
                <w:rFonts w:ascii="Calibri" w:eastAsia="Calibri" w:hAnsi="Calibri" w:cs="Times New Roman"/>
              </w:rPr>
            </w:pPr>
            <w:r w:rsidRPr="000F7E56">
              <w:rPr>
                <w:rFonts w:ascii="Calibri" w:eastAsia="Calibri" w:hAnsi="Calibri" w:cs="Times New Roman"/>
              </w:rPr>
              <w:t>Daughter</w:t>
            </w:r>
          </w:p>
        </w:tc>
      </w:tr>
      <w:tr w:rsidR="000F7E56" w:rsidRPr="000F7E56" w14:paraId="1E82A499" w14:textId="77777777" w:rsidTr="000F7E56">
        <w:tc>
          <w:tcPr>
            <w:tcW w:w="3256" w:type="dxa"/>
          </w:tcPr>
          <w:p w14:paraId="423F9861" w14:textId="77777777" w:rsidR="000F7E56" w:rsidRPr="000F7E56" w:rsidRDefault="000F7E56" w:rsidP="000F7E56">
            <w:pPr>
              <w:rPr>
                <w:rFonts w:ascii="Calibri" w:eastAsia="Calibri" w:hAnsi="Calibri" w:cs="Times New Roman"/>
              </w:rPr>
            </w:pPr>
            <w:r w:rsidRPr="000F7E56">
              <w:rPr>
                <w:rFonts w:ascii="Calibri" w:eastAsia="Calibri" w:hAnsi="Calibri" w:cs="Times New Roman"/>
              </w:rPr>
              <w:t>Mr Bangura</w:t>
            </w:r>
          </w:p>
        </w:tc>
        <w:tc>
          <w:tcPr>
            <w:tcW w:w="2551" w:type="dxa"/>
          </w:tcPr>
          <w:p w14:paraId="1CC595C3" w14:textId="77777777" w:rsidR="000F7E56" w:rsidRPr="000F7E56" w:rsidRDefault="000F7E56" w:rsidP="000F7E56">
            <w:pPr>
              <w:rPr>
                <w:rFonts w:ascii="Calibri" w:eastAsia="Calibri" w:hAnsi="Calibri" w:cs="Times New Roman"/>
              </w:rPr>
            </w:pPr>
            <w:r w:rsidRPr="000F7E56">
              <w:rPr>
                <w:rFonts w:ascii="Calibri" w:eastAsia="Calibri" w:hAnsi="Calibri" w:cs="Times New Roman"/>
              </w:rPr>
              <w:t>Muslim</w:t>
            </w:r>
          </w:p>
        </w:tc>
        <w:tc>
          <w:tcPr>
            <w:tcW w:w="2410" w:type="dxa"/>
          </w:tcPr>
          <w:p w14:paraId="630F091E" w14:textId="77777777" w:rsidR="000F7E56" w:rsidRPr="000F7E56" w:rsidRDefault="000F7E56" w:rsidP="000F7E56">
            <w:pPr>
              <w:rPr>
                <w:rFonts w:ascii="Calibri" w:eastAsia="Calibri" w:hAnsi="Calibri" w:cs="Times New Roman"/>
              </w:rPr>
            </w:pPr>
            <w:r w:rsidRPr="000F7E56">
              <w:rPr>
                <w:rFonts w:ascii="Calibri" w:eastAsia="Calibri" w:hAnsi="Calibri" w:cs="Times New Roman"/>
              </w:rPr>
              <w:t>Indian</w:t>
            </w:r>
          </w:p>
        </w:tc>
        <w:tc>
          <w:tcPr>
            <w:tcW w:w="2551" w:type="dxa"/>
          </w:tcPr>
          <w:p w14:paraId="52DDB557" w14:textId="77777777" w:rsidR="000F7E56" w:rsidRPr="000F7E56" w:rsidRDefault="000F7E56" w:rsidP="000F7E56">
            <w:pPr>
              <w:rPr>
                <w:rFonts w:ascii="Calibri" w:eastAsia="Calibri" w:hAnsi="Calibri" w:cs="Times New Roman"/>
              </w:rPr>
            </w:pPr>
            <w:r w:rsidRPr="000F7E56">
              <w:rPr>
                <w:rFonts w:ascii="Calibri" w:eastAsia="Calibri" w:hAnsi="Calibri" w:cs="Times New Roman"/>
              </w:rPr>
              <w:t>Son</w:t>
            </w:r>
          </w:p>
        </w:tc>
      </w:tr>
      <w:tr w:rsidR="000F7E56" w:rsidRPr="000F7E56" w14:paraId="555A705B" w14:textId="77777777" w:rsidTr="000F7E56">
        <w:tc>
          <w:tcPr>
            <w:tcW w:w="3256" w:type="dxa"/>
          </w:tcPr>
          <w:p w14:paraId="14F13AD5" w14:textId="77777777" w:rsidR="000F7E56" w:rsidRPr="000F7E56" w:rsidRDefault="000F7E56" w:rsidP="000F7E56">
            <w:pPr>
              <w:rPr>
                <w:rFonts w:ascii="Calibri" w:eastAsia="Calibri" w:hAnsi="Calibri" w:cs="Times New Roman"/>
              </w:rPr>
            </w:pPr>
            <w:r w:rsidRPr="000F7E56">
              <w:rPr>
                <w:rFonts w:ascii="Calibri" w:eastAsia="Calibri" w:hAnsi="Calibri" w:cs="Times New Roman"/>
              </w:rPr>
              <w:t>Mr Bal</w:t>
            </w:r>
          </w:p>
        </w:tc>
        <w:tc>
          <w:tcPr>
            <w:tcW w:w="2551" w:type="dxa"/>
          </w:tcPr>
          <w:p w14:paraId="056AA82B" w14:textId="77777777" w:rsidR="000F7E56" w:rsidRPr="000F7E56" w:rsidRDefault="000F7E56" w:rsidP="000F7E56">
            <w:pPr>
              <w:rPr>
                <w:rFonts w:ascii="Calibri" w:eastAsia="Calibri" w:hAnsi="Calibri" w:cs="Times New Roman"/>
              </w:rPr>
            </w:pPr>
            <w:r w:rsidRPr="000F7E56">
              <w:rPr>
                <w:rFonts w:ascii="Calibri" w:eastAsia="Calibri" w:hAnsi="Calibri" w:cs="Times New Roman"/>
              </w:rPr>
              <w:t>Sikh</w:t>
            </w:r>
          </w:p>
        </w:tc>
        <w:tc>
          <w:tcPr>
            <w:tcW w:w="2410" w:type="dxa"/>
          </w:tcPr>
          <w:p w14:paraId="67C2223B" w14:textId="77777777" w:rsidR="000F7E56" w:rsidRPr="000F7E56" w:rsidRDefault="000F7E56" w:rsidP="000F7E56">
            <w:pPr>
              <w:rPr>
                <w:rFonts w:ascii="Calibri" w:eastAsia="Calibri" w:hAnsi="Calibri" w:cs="Times New Roman"/>
              </w:rPr>
            </w:pPr>
            <w:r w:rsidRPr="000F7E56">
              <w:rPr>
                <w:rFonts w:ascii="Calibri" w:eastAsia="Calibri" w:hAnsi="Calibri" w:cs="Times New Roman"/>
              </w:rPr>
              <w:t>Indian</w:t>
            </w:r>
          </w:p>
        </w:tc>
        <w:tc>
          <w:tcPr>
            <w:tcW w:w="2551" w:type="dxa"/>
          </w:tcPr>
          <w:p w14:paraId="1DA81C82" w14:textId="77777777" w:rsidR="000F7E56" w:rsidRPr="000F7E56" w:rsidRDefault="000F7E56" w:rsidP="000F7E56">
            <w:pPr>
              <w:rPr>
                <w:rFonts w:ascii="Calibri" w:eastAsia="Calibri" w:hAnsi="Calibri" w:cs="Times New Roman"/>
              </w:rPr>
            </w:pPr>
            <w:r w:rsidRPr="000F7E56">
              <w:rPr>
                <w:rFonts w:ascii="Calibri" w:eastAsia="Calibri" w:hAnsi="Calibri" w:cs="Times New Roman"/>
              </w:rPr>
              <w:t>Wife *interview conducted in Punjabi</w:t>
            </w:r>
          </w:p>
        </w:tc>
      </w:tr>
      <w:tr w:rsidR="000F7E56" w:rsidRPr="000F7E56" w14:paraId="5267A59C" w14:textId="77777777" w:rsidTr="000F7E56">
        <w:tc>
          <w:tcPr>
            <w:tcW w:w="3256" w:type="dxa"/>
          </w:tcPr>
          <w:p w14:paraId="099537B1" w14:textId="77777777" w:rsidR="000F7E56" w:rsidRPr="000F7E56" w:rsidRDefault="000F7E56" w:rsidP="000F7E56">
            <w:pPr>
              <w:rPr>
                <w:rFonts w:ascii="Calibri" w:eastAsia="Calibri" w:hAnsi="Calibri" w:cs="Times New Roman"/>
              </w:rPr>
            </w:pPr>
            <w:r w:rsidRPr="000F7E56">
              <w:rPr>
                <w:rFonts w:ascii="Calibri" w:eastAsia="Calibri" w:hAnsi="Calibri" w:cs="Times New Roman"/>
              </w:rPr>
              <w:t>Mr Bharti</w:t>
            </w:r>
          </w:p>
        </w:tc>
        <w:tc>
          <w:tcPr>
            <w:tcW w:w="2551" w:type="dxa"/>
          </w:tcPr>
          <w:p w14:paraId="3C86329B" w14:textId="77777777" w:rsidR="000F7E56" w:rsidRPr="000F7E56" w:rsidRDefault="000F7E56" w:rsidP="000F7E56">
            <w:pPr>
              <w:rPr>
                <w:rFonts w:ascii="Calibri" w:eastAsia="Calibri" w:hAnsi="Calibri" w:cs="Times New Roman"/>
              </w:rPr>
            </w:pPr>
            <w:r w:rsidRPr="000F7E56">
              <w:rPr>
                <w:rFonts w:ascii="Calibri" w:eastAsia="Calibri" w:hAnsi="Calibri" w:cs="Times New Roman"/>
              </w:rPr>
              <w:t>Hindu</w:t>
            </w:r>
          </w:p>
        </w:tc>
        <w:tc>
          <w:tcPr>
            <w:tcW w:w="2410" w:type="dxa"/>
          </w:tcPr>
          <w:p w14:paraId="03502BB8" w14:textId="77777777" w:rsidR="000F7E56" w:rsidRPr="000F7E56" w:rsidRDefault="000F7E56" w:rsidP="000F7E56">
            <w:pPr>
              <w:rPr>
                <w:rFonts w:ascii="Calibri" w:eastAsia="Calibri" w:hAnsi="Calibri" w:cs="Times New Roman"/>
              </w:rPr>
            </w:pPr>
            <w:r w:rsidRPr="000F7E56">
              <w:rPr>
                <w:rFonts w:ascii="Calibri" w:eastAsia="Calibri" w:hAnsi="Calibri" w:cs="Times New Roman"/>
              </w:rPr>
              <w:t>British Indian</w:t>
            </w:r>
          </w:p>
        </w:tc>
        <w:tc>
          <w:tcPr>
            <w:tcW w:w="2551" w:type="dxa"/>
          </w:tcPr>
          <w:p w14:paraId="35A9E94B" w14:textId="77777777" w:rsidR="000F7E56" w:rsidRPr="000F7E56" w:rsidRDefault="000F7E56" w:rsidP="000F7E56">
            <w:pPr>
              <w:rPr>
                <w:rFonts w:ascii="Calibri" w:eastAsia="Calibri" w:hAnsi="Calibri" w:cs="Times New Roman"/>
              </w:rPr>
            </w:pPr>
            <w:r w:rsidRPr="000F7E56">
              <w:rPr>
                <w:rFonts w:ascii="Calibri" w:eastAsia="Calibri" w:hAnsi="Calibri" w:cs="Times New Roman"/>
              </w:rPr>
              <w:t>Wife</w:t>
            </w:r>
          </w:p>
        </w:tc>
      </w:tr>
      <w:tr w:rsidR="000F7E56" w:rsidRPr="000F7E56" w14:paraId="5D851BDF" w14:textId="77777777" w:rsidTr="000F7E56">
        <w:tc>
          <w:tcPr>
            <w:tcW w:w="3256" w:type="dxa"/>
          </w:tcPr>
          <w:p w14:paraId="6D492776" w14:textId="77777777" w:rsidR="000F7E56" w:rsidRPr="000F7E56" w:rsidRDefault="000F7E56" w:rsidP="000F7E56">
            <w:pPr>
              <w:rPr>
                <w:rFonts w:ascii="Calibri" w:eastAsia="Calibri" w:hAnsi="Calibri" w:cs="Times New Roman"/>
              </w:rPr>
            </w:pPr>
            <w:r w:rsidRPr="000F7E56">
              <w:rPr>
                <w:rFonts w:ascii="Calibri" w:eastAsia="Calibri" w:hAnsi="Calibri" w:cs="Times New Roman"/>
              </w:rPr>
              <w:t xml:space="preserve">Mr </w:t>
            </w:r>
            <w:proofErr w:type="spellStart"/>
            <w:r w:rsidRPr="000F7E56">
              <w:rPr>
                <w:rFonts w:ascii="Calibri" w:eastAsia="Calibri" w:hAnsi="Calibri" w:cs="Times New Roman"/>
              </w:rPr>
              <w:t>Bedi</w:t>
            </w:r>
            <w:proofErr w:type="spellEnd"/>
          </w:p>
        </w:tc>
        <w:tc>
          <w:tcPr>
            <w:tcW w:w="2551" w:type="dxa"/>
          </w:tcPr>
          <w:p w14:paraId="2A7BD93F" w14:textId="77777777" w:rsidR="000F7E56" w:rsidRPr="000F7E56" w:rsidRDefault="000F7E56" w:rsidP="000F7E56">
            <w:pPr>
              <w:rPr>
                <w:rFonts w:ascii="Calibri" w:eastAsia="Calibri" w:hAnsi="Calibri" w:cs="Times New Roman"/>
              </w:rPr>
            </w:pPr>
            <w:r w:rsidRPr="000F7E56">
              <w:rPr>
                <w:rFonts w:ascii="Calibri" w:eastAsia="Calibri" w:hAnsi="Calibri" w:cs="Times New Roman"/>
              </w:rPr>
              <w:t>Muslim</w:t>
            </w:r>
          </w:p>
        </w:tc>
        <w:tc>
          <w:tcPr>
            <w:tcW w:w="2410" w:type="dxa"/>
          </w:tcPr>
          <w:p w14:paraId="6C4A17A2" w14:textId="77777777" w:rsidR="000F7E56" w:rsidRPr="000F7E56" w:rsidRDefault="000F7E56" w:rsidP="000F7E56">
            <w:pPr>
              <w:rPr>
                <w:rFonts w:ascii="Calibri" w:eastAsia="Calibri" w:hAnsi="Calibri" w:cs="Times New Roman"/>
              </w:rPr>
            </w:pPr>
            <w:r w:rsidRPr="000F7E56">
              <w:rPr>
                <w:rFonts w:ascii="Calibri" w:eastAsia="Calibri" w:hAnsi="Calibri" w:cs="Times New Roman"/>
              </w:rPr>
              <w:t>Pakistani</w:t>
            </w:r>
          </w:p>
        </w:tc>
        <w:tc>
          <w:tcPr>
            <w:tcW w:w="2551" w:type="dxa"/>
          </w:tcPr>
          <w:p w14:paraId="71798235" w14:textId="77777777" w:rsidR="000F7E56" w:rsidRPr="000F7E56" w:rsidRDefault="000F7E56" w:rsidP="000F7E56">
            <w:pPr>
              <w:rPr>
                <w:rFonts w:ascii="Calibri" w:eastAsia="Calibri" w:hAnsi="Calibri" w:cs="Times New Roman"/>
              </w:rPr>
            </w:pPr>
            <w:r w:rsidRPr="000F7E56">
              <w:rPr>
                <w:rFonts w:ascii="Calibri" w:eastAsia="Calibri" w:hAnsi="Calibri" w:cs="Times New Roman"/>
              </w:rPr>
              <w:t>Wife</w:t>
            </w:r>
          </w:p>
        </w:tc>
      </w:tr>
      <w:tr w:rsidR="000F7E56" w:rsidRPr="000F7E56" w14:paraId="2F9F9727" w14:textId="77777777" w:rsidTr="000F7E56">
        <w:tc>
          <w:tcPr>
            <w:tcW w:w="3256" w:type="dxa"/>
          </w:tcPr>
          <w:p w14:paraId="568B1426" w14:textId="77777777" w:rsidR="000F7E56" w:rsidRPr="000F7E56" w:rsidRDefault="000F7E56" w:rsidP="000F7E56">
            <w:pPr>
              <w:rPr>
                <w:rFonts w:ascii="Calibri" w:eastAsia="Calibri" w:hAnsi="Calibri" w:cs="Times New Roman"/>
              </w:rPr>
            </w:pPr>
            <w:r w:rsidRPr="000F7E56">
              <w:rPr>
                <w:rFonts w:ascii="Calibri" w:eastAsia="Calibri" w:hAnsi="Calibri" w:cs="Times New Roman"/>
              </w:rPr>
              <w:t>Mr Bagri</w:t>
            </w:r>
          </w:p>
        </w:tc>
        <w:tc>
          <w:tcPr>
            <w:tcW w:w="2551" w:type="dxa"/>
          </w:tcPr>
          <w:p w14:paraId="3090E35A" w14:textId="77777777" w:rsidR="000F7E56" w:rsidRPr="000F7E56" w:rsidRDefault="000F7E56" w:rsidP="000F7E56">
            <w:pPr>
              <w:rPr>
                <w:rFonts w:ascii="Calibri" w:eastAsia="Calibri" w:hAnsi="Calibri" w:cs="Times New Roman"/>
              </w:rPr>
            </w:pPr>
            <w:r w:rsidRPr="000F7E56">
              <w:rPr>
                <w:rFonts w:ascii="Calibri" w:eastAsia="Calibri" w:hAnsi="Calibri" w:cs="Times New Roman"/>
              </w:rPr>
              <w:t>Hindu</w:t>
            </w:r>
          </w:p>
        </w:tc>
        <w:tc>
          <w:tcPr>
            <w:tcW w:w="2410" w:type="dxa"/>
          </w:tcPr>
          <w:p w14:paraId="416EBC9A" w14:textId="77777777" w:rsidR="000F7E56" w:rsidRPr="000F7E56" w:rsidRDefault="000F7E56" w:rsidP="000F7E56">
            <w:pPr>
              <w:rPr>
                <w:rFonts w:ascii="Calibri" w:eastAsia="Calibri" w:hAnsi="Calibri" w:cs="Times New Roman"/>
              </w:rPr>
            </w:pPr>
            <w:r w:rsidRPr="000F7E56">
              <w:rPr>
                <w:rFonts w:ascii="Calibri" w:eastAsia="Calibri" w:hAnsi="Calibri" w:cs="Times New Roman"/>
              </w:rPr>
              <w:t>Indian</w:t>
            </w:r>
          </w:p>
        </w:tc>
        <w:tc>
          <w:tcPr>
            <w:tcW w:w="2551" w:type="dxa"/>
          </w:tcPr>
          <w:p w14:paraId="50462FAB" w14:textId="77777777" w:rsidR="000F7E56" w:rsidRPr="000F7E56" w:rsidRDefault="000F7E56" w:rsidP="000F7E56">
            <w:pPr>
              <w:rPr>
                <w:rFonts w:ascii="Calibri" w:eastAsia="Calibri" w:hAnsi="Calibri" w:cs="Times New Roman"/>
              </w:rPr>
            </w:pPr>
            <w:r w:rsidRPr="000F7E56">
              <w:rPr>
                <w:rFonts w:ascii="Calibri" w:eastAsia="Calibri" w:hAnsi="Calibri" w:cs="Times New Roman"/>
              </w:rPr>
              <w:t>Wife</w:t>
            </w:r>
          </w:p>
        </w:tc>
      </w:tr>
      <w:tr w:rsidR="000F7E56" w:rsidRPr="000F7E56" w14:paraId="5B1DA805" w14:textId="77777777" w:rsidTr="000F7E56">
        <w:tc>
          <w:tcPr>
            <w:tcW w:w="3256" w:type="dxa"/>
          </w:tcPr>
          <w:p w14:paraId="18767974" w14:textId="77777777" w:rsidR="000F7E56" w:rsidRPr="000F7E56" w:rsidRDefault="000F7E56" w:rsidP="000F7E56">
            <w:pPr>
              <w:rPr>
                <w:rFonts w:ascii="Calibri" w:eastAsia="Calibri" w:hAnsi="Calibri" w:cs="Times New Roman"/>
              </w:rPr>
            </w:pPr>
            <w:r w:rsidRPr="000F7E56">
              <w:rPr>
                <w:rFonts w:ascii="Calibri" w:eastAsia="Calibri" w:hAnsi="Calibri" w:cs="Times New Roman"/>
              </w:rPr>
              <w:t>Mrs Banerjee</w:t>
            </w:r>
          </w:p>
        </w:tc>
        <w:tc>
          <w:tcPr>
            <w:tcW w:w="2551" w:type="dxa"/>
          </w:tcPr>
          <w:p w14:paraId="141E1928" w14:textId="77777777" w:rsidR="000F7E56" w:rsidRPr="000F7E56" w:rsidRDefault="000F7E56" w:rsidP="000F7E56">
            <w:pPr>
              <w:rPr>
                <w:rFonts w:ascii="Calibri" w:eastAsia="Calibri" w:hAnsi="Calibri" w:cs="Times New Roman"/>
              </w:rPr>
            </w:pPr>
            <w:r w:rsidRPr="000F7E56">
              <w:rPr>
                <w:rFonts w:ascii="Calibri" w:eastAsia="Calibri" w:hAnsi="Calibri" w:cs="Times New Roman"/>
              </w:rPr>
              <w:t xml:space="preserve">Hindu </w:t>
            </w:r>
          </w:p>
        </w:tc>
        <w:tc>
          <w:tcPr>
            <w:tcW w:w="2410" w:type="dxa"/>
          </w:tcPr>
          <w:p w14:paraId="61B7C7FB" w14:textId="77777777" w:rsidR="000F7E56" w:rsidRPr="000F7E56" w:rsidRDefault="000F7E56" w:rsidP="000F7E56">
            <w:pPr>
              <w:rPr>
                <w:rFonts w:ascii="Calibri" w:eastAsia="Calibri" w:hAnsi="Calibri" w:cs="Times New Roman"/>
              </w:rPr>
            </w:pPr>
            <w:r w:rsidRPr="000F7E56">
              <w:rPr>
                <w:rFonts w:ascii="Calibri" w:eastAsia="Calibri" w:hAnsi="Calibri" w:cs="Times New Roman"/>
              </w:rPr>
              <w:t>Indian</w:t>
            </w:r>
          </w:p>
        </w:tc>
        <w:tc>
          <w:tcPr>
            <w:tcW w:w="2551" w:type="dxa"/>
          </w:tcPr>
          <w:p w14:paraId="627FC7B7" w14:textId="77777777" w:rsidR="000F7E56" w:rsidRPr="000F7E56" w:rsidRDefault="000F7E56" w:rsidP="000F7E56">
            <w:pPr>
              <w:rPr>
                <w:rFonts w:ascii="Calibri" w:eastAsia="Calibri" w:hAnsi="Calibri" w:cs="Times New Roman"/>
              </w:rPr>
            </w:pPr>
            <w:r w:rsidRPr="000F7E56">
              <w:rPr>
                <w:rFonts w:ascii="Calibri" w:eastAsia="Calibri" w:hAnsi="Calibri" w:cs="Times New Roman"/>
              </w:rPr>
              <w:t>Son</w:t>
            </w:r>
          </w:p>
        </w:tc>
      </w:tr>
      <w:tr w:rsidR="000F7E56" w:rsidRPr="000F7E56" w14:paraId="3738E692" w14:textId="77777777" w:rsidTr="000F7E56">
        <w:tc>
          <w:tcPr>
            <w:tcW w:w="3256" w:type="dxa"/>
          </w:tcPr>
          <w:p w14:paraId="1BC3C147" w14:textId="77777777" w:rsidR="000F7E56" w:rsidRPr="000F7E56" w:rsidRDefault="000F7E56" w:rsidP="000F7E56">
            <w:pPr>
              <w:rPr>
                <w:rFonts w:ascii="Calibri" w:eastAsia="Calibri" w:hAnsi="Calibri" w:cs="Times New Roman"/>
              </w:rPr>
            </w:pPr>
            <w:r w:rsidRPr="000F7E56">
              <w:rPr>
                <w:rFonts w:ascii="Calibri" w:eastAsia="Calibri" w:hAnsi="Calibri" w:cs="Times New Roman"/>
              </w:rPr>
              <w:t>Mrs Bansal</w:t>
            </w:r>
          </w:p>
        </w:tc>
        <w:tc>
          <w:tcPr>
            <w:tcW w:w="2551" w:type="dxa"/>
          </w:tcPr>
          <w:p w14:paraId="3FDA8521" w14:textId="77777777" w:rsidR="000F7E56" w:rsidRPr="000F7E56" w:rsidRDefault="000F7E56" w:rsidP="000F7E56">
            <w:pPr>
              <w:rPr>
                <w:rFonts w:ascii="Calibri" w:eastAsia="Calibri" w:hAnsi="Calibri" w:cs="Times New Roman"/>
              </w:rPr>
            </w:pPr>
            <w:r w:rsidRPr="000F7E56">
              <w:rPr>
                <w:rFonts w:ascii="Calibri" w:eastAsia="Calibri" w:hAnsi="Calibri" w:cs="Times New Roman"/>
              </w:rPr>
              <w:t xml:space="preserve">Hindu </w:t>
            </w:r>
          </w:p>
        </w:tc>
        <w:tc>
          <w:tcPr>
            <w:tcW w:w="2410" w:type="dxa"/>
          </w:tcPr>
          <w:p w14:paraId="3D320FA4" w14:textId="77777777" w:rsidR="000F7E56" w:rsidRPr="000F7E56" w:rsidRDefault="000F7E56" w:rsidP="000F7E56">
            <w:pPr>
              <w:rPr>
                <w:rFonts w:ascii="Calibri" w:eastAsia="Calibri" w:hAnsi="Calibri" w:cs="Times New Roman"/>
              </w:rPr>
            </w:pPr>
            <w:r w:rsidRPr="000F7E56">
              <w:rPr>
                <w:rFonts w:ascii="Calibri" w:eastAsia="Calibri" w:hAnsi="Calibri" w:cs="Times New Roman"/>
              </w:rPr>
              <w:t>Indian</w:t>
            </w:r>
          </w:p>
        </w:tc>
        <w:tc>
          <w:tcPr>
            <w:tcW w:w="2551" w:type="dxa"/>
          </w:tcPr>
          <w:p w14:paraId="448ED973" w14:textId="77777777" w:rsidR="000F7E56" w:rsidRPr="000F7E56" w:rsidRDefault="000F7E56" w:rsidP="000F7E56">
            <w:pPr>
              <w:rPr>
                <w:rFonts w:ascii="Calibri" w:eastAsia="Calibri" w:hAnsi="Calibri" w:cs="Times New Roman"/>
              </w:rPr>
            </w:pPr>
            <w:r w:rsidRPr="000F7E56">
              <w:rPr>
                <w:rFonts w:ascii="Calibri" w:eastAsia="Calibri" w:hAnsi="Calibri" w:cs="Times New Roman"/>
              </w:rPr>
              <w:t>Daughter-in-law</w:t>
            </w:r>
          </w:p>
        </w:tc>
      </w:tr>
      <w:tr w:rsidR="000F7E56" w:rsidRPr="000F7E56" w14:paraId="192B1468" w14:textId="77777777" w:rsidTr="000F7E56">
        <w:tc>
          <w:tcPr>
            <w:tcW w:w="3256" w:type="dxa"/>
          </w:tcPr>
          <w:p w14:paraId="1CF2480E" w14:textId="77777777" w:rsidR="000F7E56" w:rsidRPr="000F7E56" w:rsidRDefault="000F7E56" w:rsidP="000F7E56">
            <w:pPr>
              <w:rPr>
                <w:rFonts w:ascii="Calibri" w:eastAsia="Calibri" w:hAnsi="Calibri" w:cs="Times New Roman"/>
              </w:rPr>
            </w:pPr>
            <w:r w:rsidRPr="000F7E56">
              <w:rPr>
                <w:rFonts w:ascii="Calibri" w:eastAsia="Calibri" w:hAnsi="Calibri" w:cs="Times New Roman"/>
              </w:rPr>
              <w:t>Mrs Bhagat</w:t>
            </w:r>
          </w:p>
        </w:tc>
        <w:tc>
          <w:tcPr>
            <w:tcW w:w="2551" w:type="dxa"/>
          </w:tcPr>
          <w:p w14:paraId="15C312D6" w14:textId="77777777" w:rsidR="000F7E56" w:rsidRPr="000F7E56" w:rsidRDefault="000F7E56" w:rsidP="000F7E56">
            <w:pPr>
              <w:rPr>
                <w:rFonts w:ascii="Calibri" w:eastAsia="Calibri" w:hAnsi="Calibri" w:cs="Times New Roman"/>
              </w:rPr>
            </w:pPr>
            <w:r w:rsidRPr="000F7E56">
              <w:rPr>
                <w:rFonts w:ascii="Calibri" w:eastAsia="Calibri" w:hAnsi="Calibri" w:cs="Times New Roman"/>
              </w:rPr>
              <w:t xml:space="preserve">Hindu </w:t>
            </w:r>
          </w:p>
        </w:tc>
        <w:tc>
          <w:tcPr>
            <w:tcW w:w="2410" w:type="dxa"/>
          </w:tcPr>
          <w:p w14:paraId="77B655BC" w14:textId="77777777" w:rsidR="000F7E56" w:rsidRPr="000F7E56" w:rsidRDefault="000F7E56" w:rsidP="000F7E56">
            <w:pPr>
              <w:rPr>
                <w:rFonts w:ascii="Calibri" w:eastAsia="Calibri" w:hAnsi="Calibri" w:cs="Times New Roman"/>
              </w:rPr>
            </w:pPr>
            <w:r w:rsidRPr="000F7E56">
              <w:rPr>
                <w:rFonts w:ascii="Calibri" w:eastAsia="Calibri" w:hAnsi="Calibri" w:cs="Times New Roman"/>
              </w:rPr>
              <w:t>Indian</w:t>
            </w:r>
          </w:p>
        </w:tc>
        <w:tc>
          <w:tcPr>
            <w:tcW w:w="2551" w:type="dxa"/>
          </w:tcPr>
          <w:p w14:paraId="2903FDC4" w14:textId="77777777" w:rsidR="000F7E56" w:rsidRPr="000F7E56" w:rsidRDefault="000F7E56" w:rsidP="000F7E56">
            <w:pPr>
              <w:rPr>
                <w:rFonts w:ascii="Calibri" w:eastAsia="Calibri" w:hAnsi="Calibri" w:cs="Times New Roman"/>
              </w:rPr>
            </w:pPr>
            <w:r w:rsidRPr="000F7E56">
              <w:rPr>
                <w:rFonts w:ascii="Calibri" w:eastAsia="Calibri" w:hAnsi="Calibri" w:cs="Times New Roman"/>
              </w:rPr>
              <w:t>Daughter</w:t>
            </w:r>
          </w:p>
        </w:tc>
      </w:tr>
      <w:tr w:rsidR="000F7E56" w:rsidRPr="000F7E56" w14:paraId="4D10FC37" w14:textId="77777777" w:rsidTr="000F7E56">
        <w:tc>
          <w:tcPr>
            <w:tcW w:w="3256" w:type="dxa"/>
          </w:tcPr>
          <w:p w14:paraId="24BAA935" w14:textId="77777777" w:rsidR="000F7E56" w:rsidRPr="000F7E56" w:rsidRDefault="000F7E56" w:rsidP="000F7E56">
            <w:pPr>
              <w:rPr>
                <w:rFonts w:ascii="Calibri" w:eastAsia="Calibri" w:hAnsi="Calibri" w:cs="Times New Roman"/>
              </w:rPr>
            </w:pPr>
            <w:r w:rsidRPr="000F7E56">
              <w:rPr>
                <w:rFonts w:ascii="Calibri" w:eastAsia="Calibri" w:hAnsi="Calibri" w:cs="Times New Roman"/>
              </w:rPr>
              <w:t xml:space="preserve">Mrs </w:t>
            </w:r>
            <w:proofErr w:type="spellStart"/>
            <w:r w:rsidRPr="000F7E56">
              <w:rPr>
                <w:rFonts w:ascii="Calibri" w:eastAsia="Calibri" w:hAnsi="Calibri" w:cs="Times New Roman"/>
              </w:rPr>
              <w:t>Bakshi</w:t>
            </w:r>
            <w:proofErr w:type="spellEnd"/>
          </w:p>
        </w:tc>
        <w:tc>
          <w:tcPr>
            <w:tcW w:w="2551" w:type="dxa"/>
          </w:tcPr>
          <w:p w14:paraId="27FA1E69" w14:textId="77777777" w:rsidR="000F7E56" w:rsidRPr="000F7E56" w:rsidRDefault="000F7E56" w:rsidP="000F7E56">
            <w:pPr>
              <w:rPr>
                <w:rFonts w:ascii="Calibri" w:eastAsia="Calibri" w:hAnsi="Calibri" w:cs="Times New Roman"/>
              </w:rPr>
            </w:pPr>
            <w:r w:rsidRPr="000F7E56">
              <w:rPr>
                <w:rFonts w:ascii="Calibri" w:eastAsia="Calibri" w:hAnsi="Calibri" w:cs="Times New Roman"/>
              </w:rPr>
              <w:t xml:space="preserve">Hindu </w:t>
            </w:r>
          </w:p>
        </w:tc>
        <w:tc>
          <w:tcPr>
            <w:tcW w:w="2410" w:type="dxa"/>
          </w:tcPr>
          <w:p w14:paraId="416D78E9" w14:textId="77777777" w:rsidR="000F7E56" w:rsidRPr="000F7E56" w:rsidRDefault="000F7E56" w:rsidP="000F7E56">
            <w:pPr>
              <w:rPr>
                <w:rFonts w:ascii="Calibri" w:eastAsia="Calibri" w:hAnsi="Calibri" w:cs="Times New Roman"/>
              </w:rPr>
            </w:pPr>
            <w:r w:rsidRPr="000F7E56">
              <w:rPr>
                <w:rFonts w:ascii="Calibri" w:eastAsia="Calibri" w:hAnsi="Calibri" w:cs="Times New Roman"/>
              </w:rPr>
              <w:t>British Asian</w:t>
            </w:r>
          </w:p>
        </w:tc>
        <w:tc>
          <w:tcPr>
            <w:tcW w:w="2551" w:type="dxa"/>
          </w:tcPr>
          <w:p w14:paraId="1FC46986" w14:textId="77777777" w:rsidR="000F7E56" w:rsidRPr="000F7E56" w:rsidRDefault="000F7E56" w:rsidP="000F7E56">
            <w:pPr>
              <w:rPr>
                <w:rFonts w:ascii="Calibri" w:eastAsia="Calibri" w:hAnsi="Calibri" w:cs="Times New Roman"/>
              </w:rPr>
            </w:pPr>
            <w:r w:rsidRPr="000F7E56">
              <w:rPr>
                <w:rFonts w:ascii="Calibri" w:eastAsia="Calibri" w:hAnsi="Calibri" w:cs="Times New Roman"/>
              </w:rPr>
              <w:t>Daughter</w:t>
            </w:r>
          </w:p>
        </w:tc>
      </w:tr>
    </w:tbl>
    <w:p w14:paraId="1FA8AF36" w14:textId="441D5DC5" w:rsidR="000F7E56" w:rsidRPr="000F7E56" w:rsidRDefault="000F7E56" w:rsidP="000F7E56">
      <w:pPr>
        <w:keepNext/>
        <w:spacing w:after="200" w:line="240" w:lineRule="auto"/>
        <w:jc w:val="both"/>
        <w:rPr>
          <w:rFonts w:cstheme="minorHAnsi"/>
          <w:iCs/>
          <w:color w:val="44546A" w:themeColor="text2"/>
        </w:rPr>
      </w:pPr>
      <w:bookmarkStart w:id="260" w:name="_Toc89967514"/>
      <w:bookmarkStart w:id="261" w:name="_Toc106701065"/>
      <w:r w:rsidRPr="000F7E56">
        <w:rPr>
          <w:rFonts w:cstheme="minorHAnsi"/>
          <w:iCs/>
          <w:color w:val="44546A" w:themeColor="text2"/>
        </w:rPr>
        <w:t xml:space="preserve">TABLE </w:t>
      </w:r>
      <w:r w:rsidRPr="000F7E56">
        <w:rPr>
          <w:rFonts w:cstheme="minorHAnsi"/>
          <w:iCs/>
          <w:color w:val="44546A" w:themeColor="text2"/>
        </w:rPr>
        <w:fldChar w:fldCharType="begin"/>
      </w:r>
      <w:r w:rsidRPr="000F7E56">
        <w:rPr>
          <w:rFonts w:cstheme="minorHAnsi"/>
          <w:iCs/>
          <w:color w:val="44546A" w:themeColor="text2"/>
        </w:rPr>
        <w:instrText xml:space="preserve"> SEQ Table \* ARABIC </w:instrText>
      </w:r>
      <w:r w:rsidRPr="000F7E56">
        <w:rPr>
          <w:rFonts w:cstheme="minorHAnsi"/>
          <w:iCs/>
          <w:color w:val="44546A" w:themeColor="text2"/>
        </w:rPr>
        <w:fldChar w:fldCharType="separate"/>
      </w:r>
      <w:r w:rsidR="00514EB4">
        <w:rPr>
          <w:rFonts w:cstheme="minorHAnsi"/>
          <w:iCs/>
          <w:noProof/>
          <w:color w:val="44546A" w:themeColor="text2"/>
        </w:rPr>
        <w:t>3</w:t>
      </w:r>
      <w:r w:rsidRPr="000F7E56">
        <w:rPr>
          <w:rFonts w:cstheme="minorHAnsi"/>
          <w:iCs/>
          <w:noProof/>
          <w:color w:val="44546A" w:themeColor="text2"/>
        </w:rPr>
        <w:fldChar w:fldCharType="end"/>
      </w:r>
      <w:r w:rsidRPr="000F7E56">
        <w:rPr>
          <w:rFonts w:cstheme="minorHAnsi"/>
          <w:iCs/>
          <w:color w:val="44546A" w:themeColor="text2"/>
        </w:rPr>
        <w:t xml:space="preserve"> - Details of the Bereaved Family Care Givers</w:t>
      </w:r>
      <w:bookmarkEnd w:id="260"/>
      <w:bookmarkEnd w:id="261"/>
      <w:r w:rsidRPr="000F7E56">
        <w:rPr>
          <w:rFonts w:cstheme="minorHAnsi"/>
          <w:iCs/>
          <w:color w:val="44546A" w:themeColor="text2"/>
        </w:rPr>
        <w:t xml:space="preserve">  </w:t>
      </w:r>
    </w:p>
    <w:p w14:paraId="25566D4E" w14:textId="77777777" w:rsidR="000F7E56" w:rsidRPr="000F7E56" w:rsidRDefault="000F7E56" w:rsidP="000F7E56">
      <w:pPr>
        <w:keepNext/>
        <w:spacing w:after="200" w:line="240" w:lineRule="auto"/>
        <w:jc w:val="both"/>
        <w:rPr>
          <w:rFonts w:ascii="Calibri" w:eastAsia="Calibri" w:hAnsi="Calibri" w:cs="Times New Roman"/>
          <w:iCs/>
          <w:color w:val="44546A" w:themeColor="text2"/>
        </w:rPr>
        <w:sectPr w:rsidR="000F7E56" w:rsidRPr="000F7E56" w:rsidSect="000F7E56">
          <w:pgSz w:w="11906" w:h="16838"/>
          <w:pgMar w:top="1440" w:right="1134" w:bottom="1440" w:left="1134" w:header="709" w:footer="709" w:gutter="0"/>
          <w:cols w:space="708"/>
          <w:docGrid w:linePitch="360"/>
        </w:sectPr>
      </w:pPr>
    </w:p>
    <w:p w14:paraId="7FAC1622" w14:textId="77777777" w:rsidR="000F7E56" w:rsidRPr="000F7E56" w:rsidRDefault="000F7E56" w:rsidP="000F7E56">
      <w:pPr>
        <w:spacing w:after="120" w:line="360" w:lineRule="auto"/>
        <w:rPr>
          <w:rFonts w:ascii="Calibri" w:eastAsia="Calibri" w:hAnsi="Calibri" w:cs="Times New Roman"/>
        </w:rPr>
      </w:pPr>
      <w:r w:rsidRPr="000F7E56">
        <w:rPr>
          <w:rFonts w:ascii="Calibri" w:eastAsia="Calibri" w:hAnsi="Calibri" w:cs="Times New Roman"/>
        </w:rPr>
        <w:lastRenderedPageBreak/>
        <w:t xml:space="preserve">The deceased relatives’ demographic characteristics as described by the bereaved FCGs are detailed in Table 4. In summary, the majority of the deceased had cancer 11 (58%). Eleven were female and eight male. Their ethnicity was described as Indian or Indian and African (n=12), African Caribbean (n=4), and Pakistani (n=1) and faith described as Hindu (n=8), Muslim (n=6), Christian (n=4), Sikh (n=1).   </w:t>
      </w:r>
    </w:p>
    <w:p w14:paraId="07DA1D87" w14:textId="77777777" w:rsidR="000F7E56" w:rsidRPr="000F7E56" w:rsidRDefault="000F7E56" w:rsidP="000F7E56">
      <w:pPr>
        <w:spacing w:after="120" w:line="360" w:lineRule="auto"/>
        <w:rPr>
          <w:rFonts w:ascii="Calibri" w:eastAsia="Calibri" w:hAnsi="Calibri" w:cs="Times New Roman"/>
          <w:b/>
        </w:rPr>
      </w:pPr>
      <w:r w:rsidRPr="000F7E56">
        <w:rPr>
          <w:rFonts w:ascii="Calibri" w:eastAsia="Calibri" w:hAnsi="Calibri" w:cs="Times New Roman"/>
          <w:b/>
        </w:rPr>
        <w:t xml:space="preserve"> </w:t>
      </w:r>
    </w:p>
    <w:tbl>
      <w:tblPr>
        <w:tblStyle w:val="TableGrid"/>
        <w:tblW w:w="0" w:type="auto"/>
        <w:tblLook w:val="04A0" w:firstRow="1" w:lastRow="0" w:firstColumn="1" w:lastColumn="0" w:noHBand="0" w:noVBand="1"/>
      </w:tblPr>
      <w:tblGrid>
        <w:gridCol w:w="1453"/>
        <w:gridCol w:w="1421"/>
        <w:gridCol w:w="2008"/>
        <w:gridCol w:w="2304"/>
        <w:gridCol w:w="1795"/>
        <w:gridCol w:w="647"/>
      </w:tblGrid>
      <w:tr w:rsidR="000F7E56" w:rsidRPr="000F7E56" w14:paraId="157BAB0E" w14:textId="77777777" w:rsidTr="000F7E56">
        <w:trPr>
          <w:trHeight w:val="269"/>
        </w:trPr>
        <w:tc>
          <w:tcPr>
            <w:tcW w:w="1541" w:type="dxa"/>
          </w:tcPr>
          <w:p w14:paraId="55AB6B3B" w14:textId="77777777" w:rsidR="000F7E56" w:rsidRPr="000F7E56" w:rsidRDefault="000F7E56" w:rsidP="000F7E56">
            <w:pPr>
              <w:rPr>
                <w:rFonts w:ascii="Calibri" w:eastAsia="Calibri" w:hAnsi="Calibri" w:cs="Times New Roman"/>
                <w:b/>
              </w:rPr>
            </w:pPr>
            <w:r w:rsidRPr="000F7E56">
              <w:rPr>
                <w:rFonts w:ascii="Calibri" w:eastAsia="Calibri" w:hAnsi="Calibri" w:cs="Times New Roman"/>
                <w:b/>
              </w:rPr>
              <w:t>Pseudonym of deceased patient</w:t>
            </w:r>
          </w:p>
        </w:tc>
        <w:tc>
          <w:tcPr>
            <w:tcW w:w="1643" w:type="dxa"/>
          </w:tcPr>
          <w:p w14:paraId="2C3D9033" w14:textId="77777777" w:rsidR="000F7E56" w:rsidRPr="000F7E56" w:rsidRDefault="000F7E56" w:rsidP="000F7E56">
            <w:pPr>
              <w:rPr>
                <w:rFonts w:ascii="Calibri" w:eastAsia="Calibri" w:hAnsi="Calibri" w:cs="Times New Roman"/>
                <w:b/>
              </w:rPr>
            </w:pPr>
            <w:r w:rsidRPr="000F7E56">
              <w:rPr>
                <w:rFonts w:ascii="Calibri" w:eastAsia="Calibri" w:hAnsi="Calibri" w:cs="Times New Roman"/>
                <w:b/>
              </w:rPr>
              <w:t xml:space="preserve">Religion / faith </w:t>
            </w:r>
          </w:p>
        </w:tc>
        <w:tc>
          <w:tcPr>
            <w:tcW w:w="2481" w:type="dxa"/>
          </w:tcPr>
          <w:p w14:paraId="50D1BF3B" w14:textId="77777777" w:rsidR="000F7E56" w:rsidRPr="000F7E56" w:rsidRDefault="000F7E56" w:rsidP="000F7E56">
            <w:pPr>
              <w:rPr>
                <w:rFonts w:ascii="Calibri" w:eastAsia="Calibri" w:hAnsi="Calibri" w:cs="Times New Roman"/>
                <w:b/>
              </w:rPr>
            </w:pPr>
            <w:r w:rsidRPr="000F7E56">
              <w:rPr>
                <w:rFonts w:ascii="Calibri" w:eastAsia="Calibri" w:hAnsi="Calibri" w:cs="Times New Roman"/>
                <w:b/>
              </w:rPr>
              <w:t>Ethnicity</w:t>
            </w:r>
          </w:p>
        </w:tc>
        <w:tc>
          <w:tcPr>
            <w:tcW w:w="2694" w:type="dxa"/>
          </w:tcPr>
          <w:p w14:paraId="19A217F2" w14:textId="77777777" w:rsidR="000F7E56" w:rsidRPr="000F7E56" w:rsidRDefault="000F7E56" w:rsidP="000F7E56">
            <w:pPr>
              <w:rPr>
                <w:rFonts w:ascii="Calibri" w:eastAsia="Calibri" w:hAnsi="Calibri" w:cs="Times New Roman"/>
                <w:b/>
              </w:rPr>
            </w:pPr>
            <w:r w:rsidRPr="000F7E56">
              <w:rPr>
                <w:rFonts w:ascii="Calibri" w:eastAsia="Calibri" w:hAnsi="Calibri" w:cs="Times New Roman"/>
                <w:b/>
              </w:rPr>
              <w:t>Disease/illness</w:t>
            </w:r>
          </w:p>
        </w:tc>
        <w:tc>
          <w:tcPr>
            <w:tcW w:w="2126" w:type="dxa"/>
          </w:tcPr>
          <w:p w14:paraId="7A7D6CC3" w14:textId="77777777" w:rsidR="000F7E56" w:rsidRPr="000F7E56" w:rsidRDefault="000F7E56" w:rsidP="000F7E56">
            <w:pPr>
              <w:rPr>
                <w:rFonts w:ascii="Calibri" w:eastAsia="Calibri" w:hAnsi="Calibri" w:cs="Times New Roman"/>
                <w:b/>
              </w:rPr>
            </w:pPr>
            <w:r w:rsidRPr="000F7E56">
              <w:rPr>
                <w:rFonts w:ascii="Calibri" w:eastAsia="Calibri" w:hAnsi="Calibri" w:cs="Times New Roman"/>
                <w:b/>
              </w:rPr>
              <w:t>Language interview conducted in (if not English)</w:t>
            </w:r>
          </w:p>
        </w:tc>
        <w:tc>
          <w:tcPr>
            <w:tcW w:w="709" w:type="dxa"/>
          </w:tcPr>
          <w:p w14:paraId="38C26A7A" w14:textId="77777777" w:rsidR="000F7E56" w:rsidRPr="000F7E56" w:rsidRDefault="000F7E56" w:rsidP="000F7E56">
            <w:pPr>
              <w:rPr>
                <w:rFonts w:ascii="Calibri" w:eastAsia="Calibri" w:hAnsi="Calibri" w:cs="Times New Roman"/>
                <w:b/>
              </w:rPr>
            </w:pPr>
            <w:r w:rsidRPr="000F7E56">
              <w:rPr>
                <w:rFonts w:ascii="Calibri" w:eastAsia="Calibri" w:hAnsi="Calibri" w:cs="Times New Roman"/>
                <w:b/>
              </w:rPr>
              <w:t xml:space="preserve">Sex </w:t>
            </w:r>
          </w:p>
        </w:tc>
      </w:tr>
      <w:tr w:rsidR="000F7E56" w:rsidRPr="000F7E56" w14:paraId="63DF70B1" w14:textId="77777777" w:rsidTr="000F7E56">
        <w:trPr>
          <w:trHeight w:val="269"/>
        </w:trPr>
        <w:tc>
          <w:tcPr>
            <w:tcW w:w="1541" w:type="dxa"/>
          </w:tcPr>
          <w:p w14:paraId="445DFEAB" w14:textId="77777777" w:rsidR="000F7E56" w:rsidRPr="000F7E56" w:rsidRDefault="000F7E56" w:rsidP="000F7E56">
            <w:pPr>
              <w:rPr>
                <w:rFonts w:ascii="Calibri" w:eastAsia="Calibri" w:hAnsi="Calibri" w:cs="Times New Roman"/>
              </w:rPr>
            </w:pPr>
            <w:r w:rsidRPr="000F7E56">
              <w:rPr>
                <w:rFonts w:ascii="Calibri" w:eastAsia="Calibri" w:hAnsi="Calibri" w:cs="Times New Roman"/>
              </w:rPr>
              <w:t>Mr Bashir</w:t>
            </w:r>
          </w:p>
        </w:tc>
        <w:tc>
          <w:tcPr>
            <w:tcW w:w="1643" w:type="dxa"/>
          </w:tcPr>
          <w:p w14:paraId="64FFC401" w14:textId="77777777" w:rsidR="000F7E56" w:rsidRPr="000F7E56" w:rsidRDefault="000F7E56" w:rsidP="000F7E56">
            <w:pPr>
              <w:rPr>
                <w:rFonts w:ascii="Calibri" w:eastAsia="Calibri" w:hAnsi="Calibri" w:cs="Times New Roman"/>
              </w:rPr>
            </w:pPr>
            <w:r w:rsidRPr="000F7E56">
              <w:rPr>
                <w:rFonts w:ascii="Calibri" w:eastAsia="Calibri" w:hAnsi="Calibri" w:cs="Times New Roman"/>
              </w:rPr>
              <w:t>Muslim</w:t>
            </w:r>
          </w:p>
        </w:tc>
        <w:tc>
          <w:tcPr>
            <w:tcW w:w="2481" w:type="dxa"/>
          </w:tcPr>
          <w:p w14:paraId="430F4B0E" w14:textId="77777777" w:rsidR="000F7E56" w:rsidRPr="000F7E56" w:rsidRDefault="000F7E56" w:rsidP="000F7E56">
            <w:pPr>
              <w:rPr>
                <w:rFonts w:ascii="Calibri" w:eastAsia="Calibri" w:hAnsi="Calibri" w:cs="Times New Roman"/>
              </w:rPr>
            </w:pPr>
            <w:r w:rsidRPr="000F7E56">
              <w:rPr>
                <w:rFonts w:ascii="Calibri" w:eastAsia="Calibri" w:hAnsi="Calibri" w:cs="Times New Roman"/>
              </w:rPr>
              <w:t>Indian</w:t>
            </w:r>
          </w:p>
        </w:tc>
        <w:tc>
          <w:tcPr>
            <w:tcW w:w="2694" w:type="dxa"/>
          </w:tcPr>
          <w:p w14:paraId="3CBF391E" w14:textId="77777777" w:rsidR="000F7E56" w:rsidRPr="000F7E56" w:rsidRDefault="000F7E56" w:rsidP="000F7E56">
            <w:pPr>
              <w:rPr>
                <w:rFonts w:ascii="Calibri" w:eastAsia="Calibri" w:hAnsi="Calibri" w:cs="Times New Roman"/>
              </w:rPr>
            </w:pPr>
            <w:r w:rsidRPr="000F7E56">
              <w:rPr>
                <w:rFonts w:ascii="Calibri" w:eastAsia="Calibri" w:hAnsi="Calibri" w:cs="Times New Roman"/>
              </w:rPr>
              <w:t>Cancer</w:t>
            </w:r>
          </w:p>
        </w:tc>
        <w:tc>
          <w:tcPr>
            <w:tcW w:w="2126" w:type="dxa"/>
          </w:tcPr>
          <w:p w14:paraId="0EFF165C" w14:textId="77777777" w:rsidR="000F7E56" w:rsidRPr="000F7E56" w:rsidRDefault="000F7E56" w:rsidP="000F7E56">
            <w:pPr>
              <w:rPr>
                <w:rFonts w:ascii="Calibri" w:eastAsia="Calibri" w:hAnsi="Calibri" w:cs="Times New Roman"/>
              </w:rPr>
            </w:pPr>
            <w:r w:rsidRPr="000F7E56">
              <w:rPr>
                <w:rFonts w:ascii="Calibri" w:eastAsia="Calibri" w:hAnsi="Calibri" w:cs="Times New Roman"/>
              </w:rPr>
              <w:t>Gujarati</w:t>
            </w:r>
          </w:p>
        </w:tc>
        <w:tc>
          <w:tcPr>
            <w:tcW w:w="709" w:type="dxa"/>
          </w:tcPr>
          <w:p w14:paraId="6B096E75" w14:textId="77777777" w:rsidR="000F7E56" w:rsidRPr="000F7E56" w:rsidRDefault="000F7E56" w:rsidP="000F7E56">
            <w:pPr>
              <w:rPr>
                <w:rFonts w:ascii="Calibri" w:eastAsia="Calibri" w:hAnsi="Calibri" w:cs="Times New Roman"/>
              </w:rPr>
            </w:pPr>
            <w:r w:rsidRPr="000F7E56">
              <w:rPr>
                <w:rFonts w:ascii="Calibri" w:eastAsia="Calibri" w:hAnsi="Calibri" w:cs="Times New Roman"/>
              </w:rPr>
              <w:t>M</w:t>
            </w:r>
          </w:p>
        </w:tc>
      </w:tr>
      <w:tr w:rsidR="000F7E56" w:rsidRPr="000F7E56" w14:paraId="066C1CA3" w14:textId="77777777" w:rsidTr="000F7E56">
        <w:trPr>
          <w:trHeight w:val="269"/>
        </w:trPr>
        <w:tc>
          <w:tcPr>
            <w:tcW w:w="1541" w:type="dxa"/>
          </w:tcPr>
          <w:p w14:paraId="0DF32F9D" w14:textId="77777777" w:rsidR="000F7E56" w:rsidRPr="000F7E56" w:rsidRDefault="000F7E56" w:rsidP="000F7E56">
            <w:pPr>
              <w:rPr>
                <w:rFonts w:ascii="Calibri" w:eastAsia="Calibri" w:hAnsi="Calibri" w:cs="Times New Roman"/>
              </w:rPr>
            </w:pPr>
            <w:r w:rsidRPr="000F7E56">
              <w:rPr>
                <w:rFonts w:ascii="Calibri" w:eastAsia="Calibri" w:hAnsi="Calibri" w:cs="Times New Roman"/>
              </w:rPr>
              <w:t xml:space="preserve">Mrs </w:t>
            </w:r>
            <w:proofErr w:type="spellStart"/>
            <w:r w:rsidRPr="000F7E56">
              <w:rPr>
                <w:rFonts w:ascii="Calibri" w:eastAsia="Calibri" w:hAnsi="Calibri" w:cs="Times New Roman"/>
              </w:rPr>
              <w:t>BajPai</w:t>
            </w:r>
            <w:proofErr w:type="spellEnd"/>
          </w:p>
        </w:tc>
        <w:tc>
          <w:tcPr>
            <w:tcW w:w="1643" w:type="dxa"/>
          </w:tcPr>
          <w:p w14:paraId="4576506F" w14:textId="77777777" w:rsidR="000F7E56" w:rsidRPr="000F7E56" w:rsidRDefault="000F7E56" w:rsidP="000F7E56">
            <w:pPr>
              <w:rPr>
                <w:rFonts w:ascii="Calibri" w:eastAsia="Calibri" w:hAnsi="Calibri" w:cs="Times New Roman"/>
              </w:rPr>
            </w:pPr>
            <w:r w:rsidRPr="000F7E56">
              <w:rPr>
                <w:rFonts w:ascii="Calibri" w:eastAsia="Calibri" w:hAnsi="Calibri" w:cs="Times New Roman"/>
              </w:rPr>
              <w:t>Hindu</w:t>
            </w:r>
          </w:p>
        </w:tc>
        <w:tc>
          <w:tcPr>
            <w:tcW w:w="2481" w:type="dxa"/>
          </w:tcPr>
          <w:p w14:paraId="66F88737" w14:textId="77777777" w:rsidR="000F7E56" w:rsidRPr="000F7E56" w:rsidRDefault="000F7E56" w:rsidP="000F7E56">
            <w:pPr>
              <w:rPr>
                <w:rFonts w:ascii="Calibri" w:eastAsia="Calibri" w:hAnsi="Calibri" w:cs="Times New Roman"/>
              </w:rPr>
            </w:pPr>
            <w:r w:rsidRPr="000F7E56">
              <w:rPr>
                <w:rFonts w:ascii="Calibri" w:eastAsia="Calibri" w:hAnsi="Calibri" w:cs="Times New Roman"/>
              </w:rPr>
              <w:t>Indian (from Kenya)</w:t>
            </w:r>
          </w:p>
        </w:tc>
        <w:tc>
          <w:tcPr>
            <w:tcW w:w="2694" w:type="dxa"/>
          </w:tcPr>
          <w:p w14:paraId="67684177" w14:textId="77777777" w:rsidR="000F7E56" w:rsidRPr="000F7E56" w:rsidRDefault="000F7E56" w:rsidP="000F7E56">
            <w:pPr>
              <w:rPr>
                <w:rFonts w:ascii="Calibri" w:eastAsia="Calibri" w:hAnsi="Calibri" w:cs="Times New Roman"/>
              </w:rPr>
            </w:pPr>
            <w:r w:rsidRPr="000F7E56">
              <w:rPr>
                <w:rFonts w:ascii="Calibri" w:eastAsia="Calibri" w:hAnsi="Calibri" w:cs="Times New Roman"/>
              </w:rPr>
              <w:t>Dementia</w:t>
            </w:r>
          </w:p>
        </w:tc>
        <w:tc>
          <w:tcPr>
            <w:tcW w:w="2126" w:type="dxa"/>
          </w:tcPr>
          <w:p w14:paraId="25A44F12" w14:textId="77777777" w:rsidR="000F7E56" w:rsidRPr="000F7E56" w:rsidRDefault="000F7E56" w:rsidP="000F7E56">
            <w:pPr>
              <w:rPr>
                <w:rFonts w:ascii="Calibri" w:eastAsia="Calibri" w:hAnsi="Calibri" w:cs="Times New Roman"/>
              </w:rPr>
            </w:pPr>
            <w:r w:rsidRPr="000F7E56">
              <w:rPr>
                <w:rFonts w:ascii="Calibri" w:eastAsia="Calibri" w:hAnsi="Calibri" w:cs="Times New Roman"/>
              </w:rPr>
              <w:t>Gujarati</w:t>
            </w:r>
          </w:p>
        </w:tc>
        <w:tc>
          <w:tcPr>
            <w:tcW w:w="709" w:type="dxa"/>
          </w:tcPr>
          <w:p w14:paraId="2B7A1B0A" w14:textId="77777777" w:rsidR="000F7E56" w:rsidRPr="000F7E56" w:rsidRDefault="000F7E56" w:rsidP="000F7E56">
            <w:pPr>
              <w:rPr>
                <w:rFonts w:ascii="Calibri" w:eastAsia="Calibri" w:hAnsi="Calibri" w:cs="Times New Roman"/>
              </w:rPr>
            </w:pPr>
            <w:r w:rsidRPr="000F7E56">
              <w:rPr>
                <w:rFonts w:ascii="Calibri" w:eastAsia="Calibri" w:hAnsi="Calibri" w:cs="Times New Roman"/>
              </w:rPr>
              <w:t>F</w:t>
            </w:r>
          </w:p>
        </w:tc>
      </w:tr>
      <w:tr w:rsidR="000F7E56" w:rsidRPr="000F7E56" w14:paraId="6E50A780" w14:textId="77777777" w:rsidTr="000F7E56">
        <w:trPr>
          <w:trHeight w:val="269"/>
        </w:trPr>
        <w:tc>
          <w:tcPr>
            <w:tcW w:w="1541" w:type="dxa"/>
          </w:tcPr>
          <w:p w14:paraId="7C93500F" w14:textId="77777777" w:rsidR="000F7E56" w:rsidRPr="000F7E56" w:rsidRDefault="000F7E56" w:rsidP="000F7E56">
            <w:pPr>
              <w:rPr>
                <w:rFonts w:ascii="Calibri" w:eastAsia="Calibri" w:hAnsi="Calibri" w:cs="Times New Roman"/>
              </w:rPr>
            </w:pPr>
            <w:r w:rsidRPr="000F7E56">
              <w:rPr>
                <w:rFonts w:ascii="Calibri" w:eastAsia="Calibri" w:hAnsi="Calibri" w:cs="Times New Roman"/>
              </w:rPr>
              <w:t xml:space="preserve">Mr </w:t>
            </w:r>
            <w:proofErr w:type="spellStart"/>
            <w:r w:rsidRPr="000F7E56">
              <w:rPr>
                <w:rFonts w:ascii="Calibri" w:eastAsia="Calibri" w:hAnsi="Calibri" w:cs="Times New Roman"/>
              </w:rPr>
              <w:t>Beshara</w:t>
            </w:r>
            <w:proofErr w:type="spellEnd"/>
          </w:p>
        </w:tc>
        <w:tc>
          <w:tcPr>
            <w:tcW w:w="1643" w:type="dxa"/>
          </w:tcPr>
          <w:p w14:paraId="3A734E27" w14:textId="77777777" w:rsidR="000F7E56" w:rsidRPr="000F7E56" w:rsidRDefault="000F7E56" w:rsidP="000F7E56">
            <w:pPr>
              <w:rPr>
                <w:rFonts w:ascii="Calibri" w:eastAsia="Calibri" w:hAnsi="Calibri" w:cs="Times New Roman"/>
              </w:rPr>
            </w:pPr>
            <w:r w:rsidRPr="000F7E56">
              <w:rPr>
                <w:rFonts w:ascii="Calibri" w:eastAsia="Calibri" w:hAnsi="Calibri" w:cs="Times New Roman"/>
              </w:rPr>
              <w:t>Muslim</w:t>
            </w:r>
          </w:p>
        </w:tc>
        <w:tc>
          <w:tcPr>
            <w:tcW w:w="2481" w:type="dxa"/>
          </w:tcPr>
          <w:p w14:paraId="748A0E00" w14:textId="77777777" w:rsidR="000F7E56" w:rsidRPr="000F7E56" w:rsidRDefault="000F7E56" w:rsidP="000F7E56">
            <w:pPr>
              <w:rPr>
                <w:rFonts w:ascii="Calibri" w:eastAsia="Calibri" w:hAnsi="Calibri" w:cs="Times New Roman"/>
              </w:rPr>
            </w:pPr>
            <w:r w:rsidRPr="000F7E56">
              <w:rPr>
                <w:rFonts w:ascii="Calibri" w:eastAsia="Calibri" w:hAnsi="Calibri" w:cs="Times New Roman"/>
              </w:rPr>
              <w:t>Pakistani</w:t>
            </w:r>
          </w:p>
        </w:tc>
        <w:tc>
          <w:tcPr>
            <w:tcW w:w="2694" w:type="dxa"/>
          </w:tcPr>
          <w:p w14:paraId="6F47FC0D" w14:textId="77777777" w:rsidR="000F7E56" w:rsidRPr="000F7E56" w:rsidRDefault="000F7E56" w:rsidP="000F7E56">
            <w:pPr>
              <w:rPr>
                <w:rFonts w:ascii="Calibri" w:eastAsia="Calibri" w:hAnsi="Calibri" w:cs="Times New Roman"/>
              </w:rPr>
            </w:pPr>
            <w:r w:rsidRPr="000F7E56">
              <w:rPr>
                <w:rFonts w:ascii="Calibri" w:eastAsia="Calibri" w:hAnsi="Calibri" w:cs="Times New Roman"/>
              </w:rPr>
              <w:t>Dementia</w:t>
            </w:r>
          </w:p>
        </w:tc>
        <w:tc>
          <w:tcPr>
            <w:tcW w:w="2126" w:type="dxa"/>
          </w:tcPr>
          <w:p w14:paraId="379D67D9" w14:textId="77777777" w:rsidR="000F7E56" w:rsidRPr="000F7E56" w:rsidRDefault="000F7E56" w:rsidP="000F7E56">
            <w:pPr>
              <w:rPr>
                <w:rFonts w:ascii="Calibri" w:eastAsia="Calibri" w:hAnsi="Calibri" w:cs="Times New Roman"/>
              </w:rPr>
            </w:pPr>
          </w:p>
        </w:tc>
        <w:tc>
          <w:tcPr>
            <w:tcW w:w="709" w:type="dxa"/>
          </w:tcPr>
          <w:p w14:paraId="2CA5C3AE" w14:textId="77777777" w:rsidR="000F7E56" w:rsidRPr="000F7E56" w:rsidRDefault="000F7E56" w:rsidP="000F7E56">
            <w:pPr>
              <w:rPr>
                <w:rFonts w:ascii="Calibri" w:eastAsia="Calibri" w:hAnsi="Calibri" w:cs="Times New Roman"/>
              </w:rPr>
            </w:pPr>
            <w:r w:rsidRPr="000F7E56">
              <w:rPr>
                <w:rFonts w:ascii="Calibri" w:eastAsia="Calibri" w:hAnsi="Calibri" w:cs="Times New Roman"/>
              </w:rPr>
              <w:t>M</w:t>
            </w:r>
          </w:p>
        </w:tc>
      </w:tr>
      <w:tr w:rsidR="000F7E56" w:rsidRPr="000F7E56" w14:paraId="00A23B11" w14:textId="77777777" w:rsidTr="000F7E56">
        <w:trPr>
          <w:trHeight w:val="269"/>
        </w:trPr>
        <w:tc>
          <w:tcPr>
            <w:tcW w:w="1541" w:type="dxa"/>
          </w:tcPr>
          <w:p w14:paraId="2736C9AB" w14:textId="77777777" w:rsidR="000F7E56" w:rsidRPr="000F7E56" w:rsidRDefault="000F7E56" w:rsidP="000F7E56">
            <w:pPr>
              <w:rPr>
                <w:rFonts w:ascii="Calibri" w:eastAsia="Calibri" w:hAnsi="Calibri" w:cs="Times New Roman"/>
              </w:rPr>
            </w:pPr>
            <w:r w:rsidRPr="000F7E56">
              <w:rPr>
                <w:rFonts w:ascii="Calibri" w:eastAsia="Calibri" w:hAnsi="Calibri" w:cs="Times New Roman"/>
              </w:rPr>
              <w:t>Mrs Bailey</w:t>
            </w:r>
          </w:p>
        </w:tc>
        <w:tc>
          <w:tcPr>
            <w:tcW w:w="1643" w:type="dxa"/>
          </w:tcPr>
          <w:p w14:paraId="7BE37BCF" w14:textId="77777777" w:rsidR="000F7E56" w:rsidRPr="000F7E56" w:rsidRDefault="000F7E56" w:rsidP="000F7E56">
            <w:pPr>
              <w:rPr>
                <w:rFonts w:ascii="Calibri" w:eastAsia="Calibri" w:hAnsi="Calibri" w:cs="Times New Roman"/>
              </w:rPr>
            </w:pPr>
            <w:r w:rsidRPr="000F7E56">
              <w:rPr>
                <w:rFonts w:ascii="Calibri" w:eastAsia="Calibri" w:hAnsi="Calibri" w:cs="Times New Roman"/>
              </w:rPr>
              <w:t>Christian</w:t>
            </w:r>
          </w:p>
        </w:tc>
        <w:tc>
          <w:tcPr>
            <w:tcW w:w="2481" w:type="dxa"/>
          </w:tcPr>
          <w:p w14:paraId="6111BA78" w14:textId="77777777" w:rsidR="000F7E56" w:rsidRPr="000F7E56" w:rsidRDefault="000F7E56" w:rsidP="000F7E56">
            <w:pPr>
              <w:rPr>
                <w:rFonts w:ascii="Calibri" w:eastAsia="Calibri" w:hAnsi="Calibri" w:cs="Times New Roman"/>
              </w:rPr>
            </w:pPr>
            <w:r w:rsidRPr="000F7E56">
              <w:rPr>
                <w:rFonts w:ascii="Calibri" w:eastAsia="Calibri" w:hAnsi="Calibri" w:cs="Times New Roman"/>
              </w:rPr>
              <w:t>African Caribbean</w:t>
            </w:r>
          </w:p>
        </w:tc>
        <w:tc>
          <w:tcPr>
            <w:tcW w:w="2694" w:type="dxa"/>
          </w:tcPr>
          <w:p w14:paraId="002B7A9E" w14:textId="77777777" w:rsidR="000F7E56" w:rsidRPr="000F7E56" w:rsidRDefault="000F7E56" w:rsidP="000F7E56">
            <w:pPr>
              <w:rPr>
                <w:rFonts w:ascii="Calibri" w:eastAsia="Calibri" w:hAnsi="Calibri" w:cs="Times New Roman"/>
              </w:rPr>
            </w:pPr>
            <w:r w:rsidRPr="000F7E56">
              <w:rPr>
                <w:rFonts w:ascii="Calibri" w:eastAsia="Calibri" w:hAnsi="Calibri" w:cs="Times New Roman"/>
              </w:rPr>
              <w:t>Pancreatic cancer</w:t>
            </w:r>
          </w:p>
        </w:tc>
        <w:tc>
          <w:tcPr>
            <w:tcW w:w="2126" w:type="dxa"/>
          </w:tcPr>
          <w:p w14:paraId="1F0BBDE4" w14:textId="77777777" w:rsidR="000F7E56" w:rsidRPr="000F7E56" w:rsidRDefault="000F7E56" w:rsidP="000F7E56">
            <w:pPr>
              <w:rPr>
                <w:rFonts w:ascii="Calibri" w:eastAsia="Calibri" w:hAnsi="Calibri" w:cs="Times New Roman"/>
              </w:rPr>
            </w:pPr>
          </w:p>
        </w:tc>
        <w:tc>
          <w:tcPr>
            <w:tcW w:w="709" w:type="dxa"/>
          </w:tcPr>
          <w:p w14:paraId="20809A0A" w14:textId="77777777" w:rsidR="000F7E56" w:rsidRPr="000F7E56" w:rsidRDefault="000F7E56" w:rsidP="000F7E56">
            <w:pPr>
              <w:rPr>
                <w:rFonts w:ascii="Calibri" w:eastAsia="Calibri" w:hAnsi="Calibri" w:cs="Times New Roman"/>
              </w:rPr>
            </w:pPr>
            <w:r w:rsidRPr="000F7E56">
              <w:rPr>
                <w:rFonts w:ascii="Calibri" w:eastAsia="Calibri" w:hAnsi="Calibri" w:cs="Times New Roman"/>
              </w:rPr>
              <w:t>F</w:t>
            </w:r>
          </w:p>
        </w:tc>
      </w:tr>
      <w:tr w:rsidR="000F7E56" w:rsidRPr="000F7E56" w14:paraId="605B1F08" w14:textId="77777777" w:rsidTr="000F7E56">
        <w:trPr>
          <w:trHeight w:val="269"/>
        </w:trPr>
        <w:tc>
          <w:tcPr>
            <w:tcW w:w="1541" w:type="dxa"/>
          </w:tcPr>
          <w:p w14:paraId="6AC0AEF3" w14:textId="77777777" w:rsidR="000F7E56" w:rsidRPr="000F7E56" w:rsidRDefault="000F7E56" w:rsidP="000F7E56">
            <w:pPr>
              <w:rPr>
                <w:rFonts w:ascii="Calibri" w:eastAsia="Calibri" w:hAnsi="Calibri" w:cs="Times New Roman"/>
              </w:rPr>
            </w:pPr>
            <w:r w:rsidRPr="000F7E56">
              <w:rPr>
                <w:rFonts w:ascii="Calibri" w:eastAsia="Calibri" w:hAnsi="Calibri" w:cs="Times New Roman"/>
              </w:rPr>
              <w:t>Mr Bryan</w:t>
            </w:r>
          </w:p>
        </w:tc>
        <w:tc>
          <w:tcPr>
            <w:tcW w:w="1643" w:type="dxa"/>
          </w:tcPr>
          <w:p w14:paraId="7D048DD2" w14:textId="77777777" w:rsidR="000F7E56" w:rsidRPr="000F7E56" w:rsidRDefault="000F7E56" w:rsidP="000F7E56">
            <w:pPr>
              <w:rPr>
                <w:rFonts w:ascii="Calibri" w:eastAsia="Calibri" w:hAnsi="Calibri" w:cs="Times New Roman"/>
              </w:rPr>
            </w:pPr>
            <w:r w:rsidRPr="000F7E56">
              <w:rPr>
                <w:rFonts w:ascii="Calibri" w:eastAsia="Calibri" w:hAnsi="Calibri" w:cs="Times New Roman"/>
              </w:rPr>
              <w:t>Christian</w:t>
            </w:r>
          </w:p>
        </w:tc>
        <w:tc>
          <w:tcPr>
            <w:tcW w:w="2481" w:type="dxa"/>
          </w:tcPr>
          <w:p w14:paraId="32C1AC06" w14:textId="77777777" w:rsidR="000F7E56" w:rsidRPr="000F7E56" w:rsidRDefault="000F7E56" w:rsidP="000F7E56">
            <w:pPr>
              <w:rPr>
                <w:rFonts w:ascii="Calibri" w:eastAsia="Calibri" w:hAnsi="Calibri" w:cs="Times New Roman"/>
              </w:rPr>
            </w:pPr>
            <w:r w:rsidRPr="000F7E56">
              <w:rPr>
                <w:rFonts w:ascii="Calibri" w:eastAsia="Calibri" w:hAnsi="Calibri" w:cs="Times New Roman"/>
              </w:rPr>
              <w:t>African Caribbean</w:t>
            </w:r>
          </w:p>
        </w:tc>
        <w:tc>
          <w:tcPr>
            <w:tcW w:w="2694" w:type="dxa"/>
          </w:tcPr>
          <w:p w14:paraId="4AF12A09" w14:textId="77777777" w:rsidR="000F7E56" w:rsidRPr="000F7E56" w:rsidRDefault="000F7E56" w:rsidP="000F7E56">
            <w:pPr>
              <w:rPr>
                <w:rFonts w:ascii="Calibri" w:eastAsia="Calibri" w:hAnsi="Calibri" w:cs="Times New Roman"/>
              </w:rPr>
            </w:pPr>
            <w:r w:rsidRPr="000F7E56">
              <w:rPr>
                <w:rFonts w:ascii="Calibri" w:eastAsia="Calibri" w:hAnsi="Calibri" w:cs="Times New Roman"/>
              </w:rPr>
              <w:t>Dementia</w:t>
            </w:r>
          </w:p>
        </w:tc>
        <w:tc>
          <w:tcPr>
            <w:tcW w:w="2126" w:type="dxa"/>
          </w:tcPr>
          <w:p w14:paraId="20E67C87" w14:textId="77777777" w:rsidR="000F7E56" w:rsidRPr="000F7E56" w:rsidRDefault="000F7E56" w:rsidP="000F7E56">
            <w:pPr>
              <w:rPr>
                <w:rFonts w:ascii="Calibri" w:eastAsia="Calibri" w:hAnsi="Calibri" w:cs="Times New Roman"/>
              </w:rPr>
            </w:pPr>
          </w:p>
        </w:tc>
        <w:tc>
          <w:tcPr>
            <w:tcW w:w="709" w:type="dxa"/>
          </w:tcPr>
          <w:p w14:paraId="4544180A" w14:textId="77777777" w:rsidR="000F7E56" w:rsidRPr="000F7E56" w:rsidRDefault="000F7E56" w:rsidP="000F7E56">
            <w:pPr>
              <w:rPr>
                <w:rFonts w:ascii="Calibri" w:eastAsia="Calibri" w:hAnsi="Calibri" w:cs="Times New Roman"/>
              </w:rPr>
            </w:pPr>
            <w:r w:rsidRPr="000F7E56">
              <w:rPr>
                <w:rFonts w:ascii="Calibri" w:eastAsia="Calibri" w:hAnsi="Calibri" w:cs="Times New Roman"/>
              </w:rPr>
              <w:t>M</w:t>
            </w:r>
          </w:p>
        </w:tc>
      </w:tr>
      <w:tr w:rsidR="000F7E56" w:rsidRPr="000F7E56" w14:paraId="0B62366B" w14:textId="77777777" w:rsidTr="000F7E56">
        <w:trPr>
          <w:trHeight w:val="269"/>
        </w:trPr>
        <w:tc>
          <w:tcPr>
            <w:tcW w:w="1541" w:type="dxa"/>
          </w:tcPr>
          <w:p w14:paraId="22C26939" w14:textId="77777777" w:rsidR="000F7E56" w:rsidRPr="000F7E56" w:rsidRDefault="000F7E56" w:rsidP="000F7E56">
            <w:pPr>
              <w:rPr>
                <w:rFonts w:ascii="Calibri" w:eastAsia="Calibri" w:hAnsi="Calibri" w:cs="Times New Roman"/>
              </w:rPr>
            </w:pPr>
            <w:r w:rsidRPr="000F7E56">
              <w:rPr>
                <w:rFonts w:ascii="Calibri" w:eastAsia="Calibri" w:hAnsi="Calibri" w:cs="Times New Roman"/>
              </w:rPr>
              <w:t xml:space="preserve">Mrs </w:t>
            </w:r>
            <w:proofErr w:type="spellStart"/>
            <w:r w:rsidRPr="000F7E56">
              <w:rPr>
                <w:rFonts w:ascii="Calibri" w:eastAsia="Calibri" w:hAnsi="Calibri" w:cs="Times New Roman"/>
              </w:rPr>
              <w:t>Bhajwar</w:t>
            </w:r>
            <w:proofErr w:type="spellEnd"/>
          </w:p>
        </w:tc>
        <w:tc>
          <w:tcPr>
            <w:tcW w:w="1643" w:type="dxa"/>
          </w:tcPr>
          <w:p w14:paraId="174B7817" w14:textId="77777777" w:rsidR="000F7E56" w:rsidRPr="000F7E56" w:rsidRDefault="000F7E56" w:rsidP="000F7E56">
            <w:pPr>
              <w:rPr>
                <w:rFonts w:ascii="Calibri" w:eastAsia="Calibri" w:hAnsi="Calibri" w:cs="Times New Roman"/>
              </w:rPr>
            </w:pPr>
            <w:r w:rsidRPr="000F7E56">
              <w:rPr>
                <w:rFonts w:ascii="Calibri" w:eastAsia="Calibri" w:hAnsi="Calibri" w:cs="Times New Roman"/>
              </w:rPr>
              <w:t>Muslim</w:t>
            </w:r>
          </w:p>
        </w:tc>
        <w:tc>
          <w:tcPr>
            <w:tcW w:w="2481" w:type="dxa"/>
          </w:tcPr>
          <w:p w14:paraId="454ACFAA" w14:textId="77777777" w:rsidR="000F7E56" w:rsidRPr="000F7E56" w:rsidRDefault="000F7E56" w:rsidP="000F7E56">
            <w:pPr>
              <w:rPr>
                <w:rFonts w:ascii="Calibri" w:eastAsia="Calibri" w:hAnsi="Calibri" w:cs="Times New Roman"/>
              </w:rPr>
            </w:pPr>
            <w:r w:rsidRPr="000F7E56">
              <w:rPr>
                <w:rFonts w:ascii="Calibri" w:eastAsia="Calibri" w:hAnsi="Calibri" w:cs="Times New Roman"/>
              </w:rPr>
              <w:t>Indian</w:t>
            </w:r>
          </w:p>
        </w:tc>
        <w:tc>
          <w:tcPr>
            <w:tcW w:w="2694" w:type="dxa"/>
          </w:tcPr>
          <w:p w14:paraId="620D8745" w14:textId="77777777" w:rsidR="000F7E56" w:rsidRPr="000F7E56" w:rsidRDefault="000F7E56" w:rsidP="000F7E56">
            <w:pPr>
              <w:rPr>
                <w:rFonts w:ascii="Calibri" w:eastAsia="Calibri" w:hAnsi="Calibri" w:cs="Times New Roman"/>
              </w:rPr>
            </w:pPr>
            <w:r w:rsidRPr="000F7E56">
              <w:rPr>
                <w:rFonts w:ascii="Calibri" w:eastAsia="Calibri" w:hAnsi="Calibri" w:cs="Times New Roman"/>
              </w:rPr>
              <w:t>Ewing sarcoma (cancer)</w:t>
            </w:r>
          </w:p>
        </w:tc>
        <w:tc>
          <w:tcPr>
            <w:tcW w:w="2126" w:type="dxa"/>
          </w:tcPr>
          <w:p w14:paraId="3C0B4C17" w14:textId="77777777" w:rsidR="000F7E56" w:rsidRPr="000F7E56" w:rsidRDefault="000F7E56" w:rsidP="000F7E56">
            <w:pPr>
              <w:rPr>
                <w:rFonts w:ascii="Calibri" w:eastAsia="Calibri" w:hAnsi="Calibri" w:cs="Times New Roman"/>
              </w:rPr>
            </w:pPr>
          </w:p>
        </w:tc>
        <w:tc>
          <w:tcPr>
            <w:tcW w:w="709" w:type="dxa"/>
          </w:tcPr>
          <w:p w14:paraId="1872E905" w14:textId="77777777" w:rsidR="000F7E56" w:rsidRPr="000F7E56" w:rsidRDefault="000F7E56" w:rsidP="000F7E56">
            <w:pPr>
              <w:rPr>
                <w:rFonts w:ascii="Calibri" w:eastAsia="Calibri" w:hAnsi="Calibri" w:cs="Times New Roman"/>
              </w:rPr>
            </w:pPr>
            <w:r w:rsidRPr="000F7E56">
              <w:rPr>
                <w:rFonts w:ascii="Calibri" w:eastAsia="Calibri" w:hAnsi="Calibri" w:cs="Times New Roman"/>
              </w:rPr>
              <w:t>F</w:t>
            </w:r>
          </w:p>
        </w:tc>
      </w:tr>
      <w:tr w:rsidR="000F7E56" w:rsidRPr="000F7E56" w14:paraId="1C31930F" w14:textId="77777777" w:rsidTr="000F7E56">
        <w:trPr>
          <w:trHeight w:val="269"/>
        </w:trPr>
        <w:tc>
          <w:tcPr>
            <w:tcW w:w="1541" w:type="dxa"/>
          </w:tcPr>
          <w:p w14:paraId="51CE52EE" w14:textId="77777777" w:rsidR="000F7E56" w:rsidRPr="000F7E56" w:rsidRDefault="000F7E56" w:rsidP="000F7E56">
            <w:pPr>
              <w:rPr>
                <w:rFonts w:ascii="Calibri" w:eastAsia="Calibri" w:hAnsi="Calibri" w:cs="Times New Roman"/>
              </w:rPr>
            </w:pPr>
            <w:r w:rsidRPr="000F7E56">
              <w:rPr>
                <w:rFonts w:ascii="Calibri" w:eastAsia="Calibri" w:hAnsi="Calibri" w:cs="Times New Roman"/>
              </w:rPr>
              <w:t>Mr Blake</w:t>
            </w:r>
          </w:p>
        </w:tc>
        <w:tc>
          <w:tcPr>
            <w:tcW w:w="1643" w:type="dxa"/>
          </w:tcPr>
          <w:p w14:paraId="735046CE" w14:textId="77777777" w:rsidR="000F7E56" w:rsidRPr="000F7E56" w:rsidRDefault="000F7E56" w:rsidP="000F7E56">
            <w:pPr>
              <w:rPr>
                <w:rFonts w:ascii="Calibri" w:eastAsia="Calibri" w:hAnsi="Calibri" w:cs="Times New Roman"/>
              </w:rPr>
            </w:pPr>
            <w:r w:rsidRPr="000F7E56">
              <w:rPr>
                <w:rFonts w:ascii="Calibri" w:eastAsia="Calibri" w:hAnsi="Calibri" w:cs="Times New Roman"/>
              </w:rPr>
              <w:t>Christian</w:t>
            </w:r>
          </w:p>
        </w:tc>
        <w:tc>
          <w:tcPr>
            <w:tcW w:w="2481" w:type="dxa"/>
          </w:tcPr>
          <w:p w14:paraId="69B93E93" w14:textId="77777777" w:rsidR="000F7E56" w:rsidRPr="000F7E56" w:rsidRDefault="000F7E56" w:rsidP="000F7E56">
            <w:pPr>
              <w:rPr>
                <w:rFonts w:ascii="Calibri" w:eastAsia="Calibri" w:hAnsi="Calibri" w:cs="Times New Roman"/>
              </w:rPr>
            </w:pPr>
            <w:r w:rsidRPr="000F7E56">
              <w:rPr>
                <w:rFonts w:ascii="Calibri" w:eastAsia="Calibri" w:hAnsi="Calibri" w:cs="Times New Roman"/>
              </w:rPr>
              <w:t>African Caribbean</w:t>
            </w:r>
          </w:p>
        </w:tc>
        <w:tc>
          <w:tcPr>
            <w:tcW w:w="2694" w:type="dxa"/>
          </w:tcPr>
          <w:p w14:paraId="02A2836B" w14:textId="77777777" w:rsidR="000F7E56" w:rsidRPr="000F7E56" w:rsidRDefault="000F7E56" w:rsidP="000F7E56">
            <w:pPr>
              <w:rPr>
                <w:rFonts w:ascii="Calibri" w:eastAsia="Calibri" w:hAnsi="Calibri" w:cs="Times New Roman"/>
              </w:rPr>
            </w:pPr>
            <w:r w:rsidRPr="000F7E56">
              <w:rPr>
                <w:rFonts w:ascii="Calibri" w:eastAsia="Calibri" w:hAnsi="Calibri" w:cs="Times New Roman"/>
              </w:rPr>
              <w:t>Lung cancer</w:t>
            </w:r>
          </w:p>
        </w:tc>
        <w:tc>
          <w:tcPr>
            <w:tcW w:w="2126" w:type="dxa"/>
          </w:tcPr>
          <w:p w14:paraId="2F985692" w14:textId="77777777" w:rsidR="000F7E56" w:rsidRPr="000F7E56" w:rsidRDefault="000F7E56" w:rsidP="000F7E56">
            <w:pPr>
              <w:rPr>
                <w:rFonts w:ascii="Calibri" w:eastAsia="Calibri" w:hAnsi="Calibri" w:cs="Times New Roman"/>
              </w:rPr>
            </w:pPr>
          </w:p>
        </w:tc>
        <w:tc>
          <w:tcPr>
            <w:tcW w:w="709" w:type="dxa"/>
          </w:tcPr>
          <w:p w14:paraId="023DE973" w14:textId="77777777" w:rsidR="000F7E56" w:rsidRPr="000F7E56" w:rsidRDefault="000F7E56" w:rsidP="000F7E56">
            <w:pPr>
              <w:rPr>
                <w:rFonts w:ascii="Calibri" w:eastAsia="Calibri" w:hAnsi="Calibri" w:cs="Times New Roman"/>
              </w:rPr>
            </w:pPr>
            <w:r w:rsidRPr="000F7E56">
              <w:rPr>
                <w:rFonts w:ascii="Calibri" w:eastAsia="Calibri" w:hAnsi="Calibri" w:cs="Times New Roman"/>
              </w:rPr>
              <w:t>M</w:t>
            </w:r>
          </w:p>
        </w:tc>
      </w:tr>
      <w:tr w:rsidR="000F7E56" w:rsidRPr="000F7E56" w14:paraId="21E8D33F" w14:textId="77777777" w:rsidTr="000F7E56">
        <w:trPr>
          <w:trHeight w:val="269"/>
        </w:trPr>
        <w:tc>
          <w:tcPr>
            <w:tcW w:w="1541" w:type="dxa"/>
          </w:tcPr>
          <w:p w14:paraId="34E3555C" w14:textId="77777777" w:rsidR="000F7E56" w:rsidRPr="000F7E56" w:rsidRDefault="000F7E56" w:rsidP="000F7E56">
            <w:pPr>
              <w:rPr>
                <w:rFonts w:ascii="Calibri" w:eastAsia="Calibri" w:hAnsi="Calibri" w:cs="Times New Roman"/>
              </w:rPr>
            </w:pPr>
            <w:r w:rsidRPr="000F7E56">
              <w:rPr>
                <w:rFonts w:ascii="Calibri" w:eastAsia="Calibri" w:hAnsi="Calibri" w:cs="Times New Roman"/>
              </w:rPr>
              <w:t>Mr Barratt</w:t>
            </w:r>
          </w:p>
        </w:tc>
        <w:tc>
          <w:tcPr>
            <w:tcW w:w="1643" w:type="dxa"/>
          </w:tcPr>
          <w:p w14:paraId="104E69AA" w14:textId="77777777" w:rsidR="000F7E56" w:rsidRPr="000F7E56" w:rsidRDefault="000F7E56" w:rsidP="000F7E56">
            <w:pPr>
              <w:rPr>
                <w:rFonts w:ascii="Calibri" w:eastAsia="Calibri" w:hAnsi="Calibri" w:cs="Times New Roman"/>
              </w:rPr>
            </w:pPr>
            <w:r w:rsidRPr="000F7E56">
              <w:rPr>
                <w:rFonts w:ascii="Calibri" w:eastAsia="Calibri" w:hAnsi="Calibri" w:cs="Times New Roman"/>
              </w:rPr>
              <w:t>Christian</w:t>
            </w:r>
          </w:p>
        </w:tc>
        <w:tc>
          <w:tcPr>
            <w:tcW w:w="2481" w:type="dxa"/>
          </w:tcPr>
          <w:p w14:paraId="2B385DED" w14:textId="77777777" w:rsidR="000F7E56" w:rsidRPr="000F7E56" w:rsidRDefault="000F7E56" w:rsidP="000F7E56">
            <w:pPr>
              <w:rPr>
                <w:rFonts w:ascii="Calibri" w:eastAsia="Calibri" w:hAnsi="Calibri" w:cs="Times New Roman"/>
              </w:rPr>
            </w:pPr>
            <w:r w:rsidRPr="000F7E56">
              <w:rPr>
                <w:rFonts w:ascii="Calibri" w:eastAsia="Calibri" w:hAnsi="Calibri" w:cs="Times New Roman"/>
              </w:rPr>
              <w:t>African Caribbean</w:t>
            </w:r>
          </w:p>
        </w:tc>
        <w:tc>
          <w:tcPr>
            <w:tcW w:w="2694" w:type="dxa"/>
          </w:tcPr>
          <w:p w14:paraId="2C78054C" w14:textId="77777777" w:rsidR="000F7E56" w:rsidRPr="000F7E56" w:rsidRDefault="000F7E56" w:rsidP="000F7E56">
            <w:pPr>
              <w:rPr>
                <w:rFonts w:ascii="Calibri" w:eastAsia="Calibri" w:hAnsi="Calibri" w:cs="Times New Roman"/>
              </w:rPr>
            </w:pPr>
            <w:r w:rsidRPr="000F7E56">
              <w:rPr>
                <w:rFonts w:ascii="Calibri" w:eastAsia="Calibri" w:hAnsi="Calibri" w:cs="Times New Roman"/>
              </w:rPr>
              <w:t>Stroke</w:t>
            </w:r>
          </w:p>
        </w:tc>
        <w:tc>
          <w:tcPr>
            <w:tcW w:w="2126" w:type="dxa"/>
          </w:tcPr>
          <w:p w14:paraId="136FF0EE" w14:textId="77777777" w:rsidR="000F7E56" w:rsidRPr="000F7E56" w:rsidRDefault="000F7E56" w:rsidP="000F7E56">
            <w:pPr>
              <w:rPr>
                <w:rFonts w:ascii="Calibri" w:eastAsia="Calibri" w:hAnsi="Calibri" w:cs="Times New Roman"/>
              </w:rPr>
            </w:pPr>
          </w:p>
        </w:tc>
        <w:tc>
          <w:tcPr>
            <w:tcW w:w="709" w:type="dxa"/>
          </w:tcPr>
          <w:p w14:paraId="487A9667" w14:textId="77777777" w:rsidR="000F7E56" w:rsidRPr="000F7E56" w:rsidRDefault="000F7E56" w:rsidP="000F7E56">
            <w:pPr>
              <w:rPr>
                <w:rFonts w:ascii="Calibri" w:eastAsia="Calibri" w:hAnsi="Calibri" w:cs="Times New Roman"/>
              </w:rPr>
            </w:pPr>
            <w:r w:rsidRPr="000F7E56">
              <w:rPr>
                <w:rFonts w:ascii="Calibri" w:eastAsia="Calibri" w:hAnsi="Calibri" w:cs="Times New Roman"/>
              </w:rPr>
              <w:t>M</w:t>
            </w:r>
          </w:p>
        </w:tc>
      </w:tr>
      <w:tr w:rsidR="000F7E56" w:rsidRPr="000F7E56" w14:paraId="1AF2CEE3" w14:textId="77777777" w:rsidTr="000F7E56">
        <w:trPr>
          <w:trHeight w:val="269"/>
        </w:trPr>
        <w:tc>
          <w:tcPr>
            <w:tcW w:w="1541" w:type="dxa"/>
          </w:tcPr>
          <w:p w14:paraId="7BFCEBF4" w14:textId="77777777" w:rsidR="000F7E56" w:rsidRPr="000F7E56" w:rsidRDefault="000F7E56" w:rsidP="000F7E56">
            <w:pPr>
              <w:rPr>
                <w:rFonts w:ascii="Calibri" w:eastAsia="Calibri" w:hAnsi="Calibri" w:cs="Times New Roman"/>
              </w:rPr>
            </w:pPr>
            <w:r w:rsidRPr="000F7E56">
              <w:rPr>
                <w:rFonts w:ascii="Calibri" w:eastAsia="Calibri" w:hAnsi="Calibri" w:cs="Times New Roman"/>
              </w:rPr>
              <w:t>Mrs Badawi</w:t>
            </w:r>
          </w:p>
        </w:tc>
        <w:tc>
          <w:tcPr>
            <w:tcW w:w="1643" w:type="dxa"/>
          </w:tcPr>
          <w:p w14:paraId="30F4E834" w14:textId="77777777" w:rsidR="000F7E56" w:rsidRPr="000F7E56" w:rsidRDefault="000F7E56" w:rsidP="000F7E56">
            <w:pPr>
              <w:rPr>
                <w:rFonts w:ascii="Calibri" w:eastAsia="Calibri" w:hAnsi="Calibri" w:cs="Times New Roman"/>
              </w:rPr>
            </w:pPr>
            <w:r w:rsidRPr="000F7E56">
              <w:rPr>
                <w:rFonts w:ascii="Calibri" w:eastAsia="Calibri" w:hAnsi="Calibri" w:cs="Times New Roman"/>
              </w:rPr>
              <w:t>Muslim</w:t>
            </w:r>
          </w:p>
        </w:tc>
        <w:tc>
          <w:tcPr>
            <w:tcW w:w="2481" w:type="dxa"/>
          </w:tcPr>
          <w:p w14:paraId="3E7CD068" w14:textId="77777777" w:rsidR="000F7E56" w:rsidRPr="000F7E56" w:rsidRDefault="000F7E56" w:rsidP="000F7E56">
            <w:pPr>
              <w:rPr>
                <w:rFonts w:ascii="Calibri" w:eastAsia="Calibri" w:hAnsi="Calibri" w:cs="Times New Roman"/>
              </w:rPr>
            </w:pPr>
            <w:r w:rsidRPr="000F7E56">
              <w:rPr>
                <w:rFonts w:ascii="Calibri" w:eastAsia="Calibri" w:hAnsi="Calibri" w:cs="Times New Roman"/>
              </w:rPr>
              <w:t>Indian</w:t>
            </w:r>
          </w:p>
        </w:tc>
        <w:tc>
          <w:tcPr>
            <w:tcW w:w="2694" w:type="dxa"/>
          </w:tcPr>
          <w:p w14:paraId="5554047D" w14:textId="77777777" w:rsidR="000F7E56" w:rsidRPr="000F7E56" w:rsidRDefault="000F7E56" w:rsidP="000F7E56">
            <w:pPr>
              <w:rPr>
                <w:rFonts w:ascii="Calibri" w:eastAsia="Calibri" w:hAnsi="Calibri" w:cs="Times New Roman"/>
              </w:rPr>
            </w:pPr>
            <w:r w:rsidRPr="000F7E56">
              <w:rPr>
                <w:rFonts w:ascii="Calibri" w:eastAsia="Calibri" w:hAnsi="Calibri" w:cs="Times New Roman"/>
              </w:rPr>
              <w:t>Cervical cancer</w:t>
            </w:r>
          </w:p>
        </w:tc>
        <w:tc>
          <w:tcPr>
            <w:tcW w:w="2126" w:type="dxa"/>
          </w:tcPr>
          <w:p w14:paraId="133D2008" w14:textId="77777777" w:rsidR="000F7E56" w:rsidRPr="000F7E56" w:rsidRDefault="000F7E56" w:rsidP="000F7E56">
            <w:pPr>
              <w:rPr>
                <w:rFonts w:ascii="Calibri" w:eastAsia="Calibri" w:hAnsi="Calibri" w:cs="Times New Roman"/>
              </w:rPr>
            </w:pPr>
          </w:p>
        </w:tc>
        <w:tc>
          <w:tcPr>
            <w:tcW w:w="709" w:type="dxa"/>
          </w:tcPr>
          <w:p w14:paraId="2B02869C" w14:textId="77777777" w:rsidR="000F7E56" w:rsidRPr="000F7E56" w:rsidRDefault="000F7E56" w:rsidP="000F7E56">
            <w:pPr>
              <w:rPr>
                <w:rFonts w:ascii="Calibri" w:eastAsia="Calibri" w:hAnsi="Calibri" w:cs="Times New Roman"/>
              </w:rPr>
            </w:pPr>
            <w:r w:rsidRPr="000F7E56">
              <w:rPr>
                <w:rFonts w:ascii="Calibri" w:eastAsia="Calibri" w:hAnsi="Calibri" w:cs="Times New Roman"/>
              </w:rPr>
              <w:t>F</w:t>
            </w:r>
          </w:p>
        </w:tc>
      </w:tr>
      <w:tr w:rsidR="000F7E56" w:rsidRPr="000F7E56" w14:paraId="053FF91F" w14:textId="77777777" w:rsidTr="000F7E56">
        <w:trPr>
          <w:trHeight w:val="269"/>
        </w:trPr>
        <w:tc>
          <w:tcPr>
            <w:tcW w:w="1541" w:type="dxa"/>
          </w:tcPr>
          <w:p w14:paraId="6FF7A77D" w14:textId="77777777" w:rsidR="000F7E56" w:rsidRPr="000F7E56" w:rsidRDefault="000F7E56" w:rsidP="000F7E56">
            <w:pPr>
              <w:rPr>
                <w:rFonts w:ascii="Calibri" w:eastAsia="Calibri" w:hAnsi="Calibri" w:cs="Times New Roman"/>
              </w:rPr>
            </w:pPr>
            <w:r w:rsidRPr="000F7E56">
              <w:rPr>
                <w:rFonts w:ascii="Calibri" w:eastAsia="Calibri" w:hAnsi="Calibri" w:cs="Times New Roman"/>
              </w:rPr>
              <w:t>Mr Bangura</w:t>
            </w:r>
          </w:p>
        </w:tc>
        <w:tc>
          <w:tcPr>
            <w:tcW w:w="1643" w:type="dxa"/>
          </w:tcPr>
          <w:p w14:paraId="0AE15C20" w14:textId="77777777" w:rsidR="000F7E56" w:rsidRPr="000F7E56" w:rsidRDefault="000F7E56" w:rsidP="000F7E56">
            <w:pPr>
              <w:rPr>
                <w:rFonts w:ascii="Calibri" w:eastAsia="Calibri" w:hAnsi="Calibri" w:cs="Times New Roman"/>
              </w:rPr>
            </w:pPr>
            <w:r w:rsidRPr="000F7E56">
              <w:rPr>
                <w:rFonts w:ascii="Calibri" w:eastAsia="Calibri" w:hAnsi="Calibri" w:cs="Times New Roman"/>
              </w:rPr>
              <w:t>Muslim</w:t>
            </w:r>
          </w:p>
        </w:tc>
        <w:tc>
          <w:tcPr>
            <w:tcW w:w="2481" w:type="dxa"/>
          </w:tcPr>
          <w:p w14:paraId="0297F8E4" w14:textId="77777777" w:rsidR="000F7E56" w:rsidRPr="000F7E56" w:rsidRDefault="000F7E56" w:rsidP="000F7E56">
            <w:pPr>
              <w:rPr>
                <w:rFonts w:ascii="Calibri" w:eastAsia="Calibri" w:hAnsi="Calibri" w:cs="Times New Roman"/>
              </w:rPr>
            </w:pPr>
            <w:r w:rsidRPr="000F7E56">
              <w:rPr>
                <w:rFonts w:ascii="Calibri" w:eastAsia="Calibri" w:hAnsi="Calibri" w:cs="Times New Roman"/>
              </w:rPr>
              <w:t>Indian</w:t>
            </w:r>
          </w:p>
        </w:tc>
        <w:tc>
          <w:tcPr>
            <w:tcW w:w="2694" w:type="dxa"/>
          </w:tcPr>
          <w:p w14:paraId="1B33FE53" w14:textId="77777777" w:rsidR="000F7E56" w:rsidRPr="000F7E56" w:rsidRDefault="000F7E56" w:rsidP="000F7E56">
            <w:pPr>
              <w:rPr>
                <w:rFonts w:ascii="Calibri" w:eastAsia="Calibri" w:hAnsi="Calibri" w:cs="Times New Roman"/>
              </w:rPr>
            </w:pPr>
            <w:r w:rsidRPr="000F7E56">
              <w:rPr>
                <w:rFonts w:ascii="Calibri" w:eastAsia="Calibri" w:hAnsi="Calibri" w:cs="Times New Roman"/>
              </w:rPr>
              <w:t>Comorbidity</w:t>
            </w:r>
          </w:p>
        </w:tc>
        <w:tc>
          <w:tcPr>
            <w:tcW w:w="2126" w:type="dxa"/>
          </w:tcPr>
          <w:p w14:paraId="34B0722C" w14:textId="77777777" w:rsidR="000F7E56" w:rsidRPr="000F7E56" w:rsidRDefault="000F7E56" w:rsidP="000F7E56">
            <w:pPr>
              <w:rPr>
                <w:rFonts w:ascii="Calibri" w:eastAsia="Calibri" w:hAnsi="Calibri" w:cs="Times New Roman"/>
              </w:rPr>
            </w:pPr>
          </w:p>
        </w:tc>
        <w:tc>
          <w:tcPr>
            <w:tcW w:w="709" w:type="dxa"/>
          </w:tcPr>
          <w:p w14:paraId="7018DF6B" w14:textId="77777777" w:rsidR="000F7E56" w:rsidRPr="000F7E56" w:rsidRDefault="000F7E56" w:rsidP="000F7E56">
            <w:pPr>
              <w:rPr>
                <w:rFonts w:ascii="Calibri" w:eastAsia="Calibri" w:hAnsi="Calibri" w:cs="Times New Roman"/>
              </w:rPr>
            </w:pPr>
            <w:r w:rsidRPr="000F7E56">
              <w:rPr>
                <w:rFonts w:ascii="Calibri" w:eastAsia="Calibri" w:hAnsi="Calibri" w:cs="Times New Roman"/>
              </w:rPr>
              <w:t>M</w:t>
            </w:r>
          </w:p>
        </w:tc>
      </w:tr>
      <w:tr w:rsidR="000F7E56" w:rsidRPr="000F7E56" w14:paraId="4AE41ABD" w14:textId="77777777" w:rsidTr="000F7E56">
        <w:trPr>
          <w:trHeight w:val="269"/>
        </w:trPr>
        <w:tc>
          <w:tcPr>
            <w:tcW w:w="1541" w:type="dxa"/>
          </w:tcPr>
          <w:p w14:paraId="0244C773" w14:textId="77777777" w:rsidR="000F7E56" w:rsidRPr="000F7E56" w:rsidRDefault="000F7E56" w:rsidP="000F7E56">
            <w:pPr>
              <w:rPr>
                <w:rFonts w:ascii="Calibri" w:eastAsia="Calibri" w:hAnsi="Calibri" w:cs="Times New Roman"/>
              </w:rPr>
            </w:pPr>
            <w:r w:rsidRPr="000F7E56">
              <w:rPr>
                <w:rFonts w:ascii="Calibri" w:eastAsia="Calibri" w:hAnsi="Calibri" w:cs="Times New Roman"/>
              </w:rPr>
              <w:t>Mr Bal</w:t>
            </w:r>
          </w:p>
        </w:tc>
        <w:tc>
          <w:tcPr>
            <w:tcW w:w="1643" w:type="dxa"/>
          </w:tcPr>
          <w:p w14:paraId="23A42833" w14:textId="77777777" w:rsidR="000F7E56" w:rsidRPr="000F7E56" w:rsidRDefault="000F7E56" w:rsidP="000F7E56">
            <w:pPr>
              <w:rPr>
                <w:rFonts w:ascii="Calibri" w:eastAsia="Calibri" w:hAnsi="Calibri" w:cs="Times New Roman"/>
              </w:rPr>
            </w:pPr>
            <w:r w:rsidRPr="000F7E56">
              <w:rPr>
                <w:rFonts w:ascii="Calibri" w:eastAsia="Calibri" w:hAnsi="Calibri" w:cs="Times New Roman"/>
              </w:rPr>
              <w:t>Sikh</w:t>
            </w:r>
          </w:p>
        </w:tc>
        <w:tc>
          <w:tcPr>
            <w:tcW w:w="2481" w:type="dxa"/>
          </w:tcPr>
          <w:p w14:paraId="6BA6E074" w14:textId="77777777" w:rsidR="000F7E56" w:rsidRPr="000F7E56" w:rsidRDefault="000F7E56" w:rsidP="000F7E56">
            <w:pPr>
              <w:rPr>
                <w:rFonts w:ascii="Calibri" w:eastAsia="Calibri" w:hAnsi="Calibri" w:cs="Times New Roman"/>
              </w:rPr>
            </w:pPr>
            <w:r w:rsidRPr="000F7E56">
              <w:rPr>
                <w:rFonts w:ascii="Calibri" w:eastAsia="Calibri" w:hAnsi="Calibri" w:cs="Times New Roman"/>
              </w:rPr>
              <w:t>Indian</w:t>
            </w:r>
          </w:p>
        </w:tc>
        <w:tc>
          <w:tcPr>
            <w:tcW w:w="2694" w:type="dxa"/>
          </w:tcPr>
          <w:p w14:paraId="7BFDAE42" w14:textId="77777777" w:rsidR="000F7E56" w:rsidRPr="000F7E56" w:rsidRDefault="000F7E56" w:rsidP="000F7E56">
            <w:pPr>
              <w:rPr>
                <w:rFonts w:ascii="Calibri" w:eastAsia="Calibri" w:hAnsi="Calibri" w:cs="Times New Roman"/>
              </w:rPr>
            </w:pPr>
            <w:r w:rsidRPr="000F7E56">
              <w:rPr>
                <w:rFonts w:ascii="Calibri" w:eastAsia="Calibri" w:hAnsi="Calibri" w:cs="Times New Roman"/>
              </w:rPr>
              <w:t>Cancer</w:t>
            </w:r>
          </w:p>
        </w:tc>
        <w:tc>
          <w:tcPr>
            <w:tcW w:w="2126" w:type="dxa"/>
          </w:tcPr>
          <w:p w14:paraId="4E131E60" w14:textId="77777777" w:rsidR="000F7E56" w:rsidRPr="000F7E56" w:rsidRDefault="000F7E56" w:rsidP="000F7E56">
            <w:pPr>
              <w:rPr>
                <w:rFonts w:ascii="Calibri" w:eastAsia="Calibri" w:hAnsi="Calibri" w:cs="Times New Roman"/>
              </w:rPr>
            </w:pPr>
            <w:r w:rsidRPr="000F7E56">
              <w:rPr>
                <w:rFonts w:ascii="Calibri" w:eastAsia="Calibri" w:hAnsi="Calibri" w:cs="Times New Roman"/>
              </w:rPr>
              <w:t>Punjabi</w:t>
            </w:r>
          </w:p>
        </w:tc>
        <w:tc>
          <w:tcPr>
            <w:tcW w:w="709" w:type="dxa"/>
          </w:tcPr>
          <w:p w14:paraId="4E812137" w14:textId="77777777" w:rsidR="000F7E56" w:rsidRPr="000F7E56" w:rsidRDefault="000F7E56" w:rsidP="000F7E56">
            <w:pPr>
              <w:rPr>
                <w:rFonts w:ascii="Calibri" w:eastAsia="Calibri" w:hAnsi="Calibri" w:cs="Times New Roman"/>
              </w:rPr>
            </w:pPr>
            <w:r w:rsidRPr="000F7E56">
              <w:rPr>
                <w:rFonts w:ascii="Calibri" w:eastAsia="Calibri" w:hAnsi="Calibri" w:cs="Times New Roman"/>
              </w:rPr>
              <w:t>M</w:t>
            </w:r>
          </w:p>
        </w:tc>
      </w:tr>
      <w:tr w:rsidR="000F7E56" w:rsidRPr="000F7E56" w14:paraId="195B85DC" w14:textId="77777777" w:rsidTr="000F7E56">
        <w:trPr>
          <w:trHeight w:val="269"/>
        </w:trPr>
        <w:tc>
          <w:tcPr>
            <w:tcW w:w="1541" w:type="dxa"/>
          </w:tcPr>
          <w:p w14:paraId="2BE2A3BF" w14:textId="77777777" w:rsidR="000F7E56" w:rsidRPr="000F7E56" w:rsidRDefault="000F7E56" w:rsidP="000F7E56">
            <w:pPr>
              <w:rPr>
                <w:rFonts w:ascii="Calibri" w:eastAsia="Calibri" w:hAnsi="Calibri" w:cs="Times New Roman"/>
              </w:rPr>
            </w:pPr>
            <w:r w:rsidRPr="000F7E56">
              <w:rPr>
                <w:rFonts w:ascii="Calibri" w:eastAsia="Calibri" w:hAnsi="Calibri" w:cs="Times New Roman"/>
              </w:rPr>
              <w:t>Mr Bharti</w:t>
            </w:r>
          </w:p>
        </w:tc>
        <w:tc>
          <w:tcPr>
            <w:tcW w:w="1643" w:type="dxa"/>
          </w:tcPr>
          <w:p w14:paraId="30B09D1F" w14:textId="77777777" w:rsidR="000F7E56" w:rsidRPr="000F7E56" w:rsidRDefault="000F7E56" w:rsidP="000F7E56">
            <w:pPr>
              <w:rPr>
                <w:rFonts w:ascii="Calibri" w:eastAsia="Calibri" w:hAnsi="Calibri" w:cs="Times New Roman"/>
              </w:rPr>
            </w:pPr>
            <w:r w:rsidRPr="000F7E56">
              <w:rPr>
                <w:rFonts w:ascii="Calibri" w:eastAsia="Calibri" w:hAnsi="Calibri" w:cs="Times New Roman"/>
              </w:rPr>
              <w:t>Hindu</w:t>
            </w:r>
          </w:p>
        </w:tc>
        <w:tc>
          <w:tcPr>
            <w:tcW w:w="2481" w:type="dxa"/>
          </w:tcPr>
          <w:p w14:paraId="028873B9" w14:textId="77777777" w:rsidR="000F7E56" w:rsidRPr="000F7E56" w:rsidRDefault="000F7E56" w:rsidP="000F7E56">
            <w:pPr>
              <w:rPr>
                <w:rFonts w:ascii="Calibri" w:eastAsia="Calibri" w:hAnsi="Calibri" w:cs="Times New Roman"/>
              </w:rPr>
            </w:pPr>
            <w:r w:rsidRPr="000F7E56">
              <w:rPr>
                <w:rFonts w:ascii="Calibri" w:eastAsia="Calibri" w:hAnsi="Calibri" w:cs="Times New Roman"/>
              </w:rPr>
              <w:t>Indian – Ugandan</w:t>
            </w:r>
          </w:p>
        </w:tc>
        <w:tc>
          <w:tcPr>
            <w:tcW w:w="2694" w:type="dxa"/>
          </w:tcPr>
          <w:p w14:paraId="47CC424B" w14:textId="77777777" w:rsidR="000F7E56" w:rsidRPr="000F7E56" w:rsidRDefault="000F7E56" w:rsidP="000F7E56">
            <w:pPr>
              <w:rPr>
                <w:rFonts w:ascii="Calibri" w:eastAsia="Calibri" w:hAnsi="Calibri" w:cs="Times New Roman"/>
              </w:rPr>
            </w:pPr>
            <w:r w:rsidRPr="000F7E56">
              <w:rPr>
                <w:rFonts w:ascii="Calibri" w:eastAsia="Calibri" w:hAnsi="Calibri" w:cs="Times New Roman"/>
              </w:rPr>
              <w:t>Multi morbidity (Diabetes, Lymphoma, Stoma)</w:t>
            </w:r>
          </w:p>
        </w:tc>
        <w:tc>
          <w:tcPr>
            <w:tcW w:w="2126" w:type="dxa"/>
          </w:tcPr>
          <w:p w14:paraId="02181909" w14:textId="77777777" w:rsidR="000F7E56" w:rsidRPr="000F7E56" w:rsidRDefault="000F7E56" w:rsidP="000F7E56">
            <w:pPr>
              <w:rPr>
                <w:rFonts w:ascii="Calibri" w:eastAsia="Calibri" w:hAnsi="Calibri" w:cs="Times New Roman"/>
              </w:rPr>
            </w:pPr>
          </w:p>
        </w:tc>
        <w:tc>
          <w:tcPr>
            <w:tcW w:w="709" w:type="dxa"/>
          </w:tcPr>
          <w:p w14:paraId="718513F5" w14:textId="77777777" w:rsidR="000F7E56" w:rsidRPr="000F7E56" w:rsidRDefault="000F7E56" w:rsidP="000F7E56">
            <w:pPr>
              <w:rPr>
                <w:rFonts w:ascii="Calibri" w:eastAsia="Calibri" w:hAnsi="Calibri" w:cs="Times New Roman"/>
              </w:rPr>
            </w:pPr>
            <w:r w:rsidRPr="000F7E56">
              <w:rPr>
                <w:rFonts w:ascii="Calibri" w:eastAsia="Calibri" w:hAnsi="Calibri" w:cs="Times New Roman"/>
              </w:rPr>
              <w:t>M</w:t>
            </w:r>
          </w:p>
        </w:tc>
      </w:tr>
      <w:tr w:rsidR="000F7E56" w:rsidRPr="000F7E56" w14:paraId="19237A86" w14:textId="77777777" w:rsidTr="000F7E56">
        <w:trPr>
          <w:trHeight w:val="269"/>
        </w:trPr>
        <w:tc>
          <w:tcPr>
            <w:tcW w:w="1541" w:type="dxa"/>
          </w:tcPr>
          <w:p w14:paraId="672B0A08" w14:textId="77777777" w:rsidR="000F7E56" w:rsidRPr="000F7E56" w:rsidRDefault="000F7E56" w:rsidP="000F7E56">
            <w:pPr>
              <w:rPr>
                <w:rFonts w:ascii="Calibri" w:eastAsia="Calibri" w:hAnsi="Calibri" w:cs="Times New Roman"/>
              </w:rPr>
            </w:pPr>
            <w:r w:rsidRPr="000F7E56">
              <w:rPr>
                <w:rFonts w:ascii="Calibri" w:eastAsia="Calibri" w:hAnsi="Calibri" w:cs="Times New Roman"/>
              </w:rPr>
              <w:t xml:space="preserve">Mr </w:t>
            </w:r>
            <w:proofErr w:type="spellStart"/>
            <w:r w:rsidRPr="000F7E56">
              <w:rPr>
                <w:rFonts w:ascii="Calibri" w:eastAsia="Calibri" w:hAnsi="Calibri" w:cs="Times New Roman"/>
              </w:rPr>
              <w:t>Bedi</w:t>
            </w:r>
            <w:proofErr w:type="spellEnd"/>
          </w:p>
        </w:tc>
        <w:tc>
          <w:tcPr>
            <w:tcW w:w="1643" w:type="dxa"/>
          </w:tcPr>
          <w:p w14:paraId="792CCF30" w14:textId="77777777" w:rsidR="000F7E56" w:rsidRPr="000F7E56" w:rsidRDefault="000F7E56" w:rsidP="000F7E56">
            <w:pPr>
              <w:rPr>
                <w:rFonts w:ascii="Calibri" w:eastAsia="Calibri" w:hAnsi="Calibri" w:cs="Times New Roman"/>
              </w:rPr>
            </w:pPr>
            <w:r w:rsidRPr="000F7E56">
              <w:rPr>
                <w:rFonts w:ascii="Calibri" w:eastAsia="Calibri" w:hAnsi="Calibri" w:cs="Times New Roman"/>
              </w:rPr>
              <w:t>Muslim</w:t>
            </w:r>
          </w:p>
        </w:tc>
        <w:tc>
          <w:tcPr>
            <w:tcW w:w="2481" w:type="dxa"/>
          </w:tcPr>
          <w:p w14:paraId="47154F0F" w14:textId="77777777" w:rsidR="000F7E56" w:rsidRPr="000F7E56" w:rsidRDefault="000F7E56" w:rsidP="000F7E56">
            <w:pPr>
              <w:rPr>
                <w:rFonts w:ascii="Calibri" w:eastAsia="Calibri" w:hAnsi="Calibri" w:cs="Times New Roman"/>
              </w:rPr>
            </w:pPr>
            <w:r w:rsidRPr="000F7E56">
              <w:rPr>
                <w:rFonts w:ascii="Calibri" w:eastAsia="Calibri" w:hAnsi="Calibri" w:cs="Times New Roman"/>
              </w:rPr>
              <w:t>Pakistani</w:t>
            </w:r>
          </w:p>
        </w:tc>
        <w:tc>
          <w:tcPr>
            <w:tcW w:w="2694" w:type="dxa"/>
          </w:tcPr>
          <w:p w14:paraId="1786DE93" w14:textId="77777777" w:rsidR="000F7E56" w:rsidRPr="000F7E56" w:rsidRDefault="000F7E56" w:rsidP="000F7E56">
            <w:pPr>
              <w:rPr>
                <w:rFonts w:ascii="Calibri" w:eastAsia="Calibri" w:hAnsi="Calibri" w:cs="Times New Roman"/>
              </w:rPr>
            </w:pPr>
            <w:r w:rsidRPr="000F7E56">
              <w:rPr>
                <w:rFonts w:ascii="Calibri" w:eastAsia="Calibri" w:hAnsi="Calibri" w:cs="Times New Roman"/>
              </w:rPr>
              <w:t>Brain cancer</w:t>
            </w:r>
          </w:p>
        </w:tc>
        <w:tc>
          <w:tcPr>
            <w:tcW w:w="2126" w:type="dxa"/>
          </w:tcPr>
          <w:p w14:paraId="2C156500" w14:textId="77777777" w:rsidR="000F7E56" w:rsidRPr="000F7E56" w:rsidRDefault="000F7E56" w:rsidP="000F7E56">
            <w:pPr>
              <w:rPr>
                <w:rFonts w:ascii="Calibri" w:eastAsia="Calibri" w:hAnsi="Calibri" w:cs="Times New Roman"/>
              </w:rPr>
            </w:pPr>
          </w:p>
        </w:tc>
        <w:tc>
          <w:tcPr>
            <w:tcW w:w="709" w:type="dxa"/>
          </w:tcPr>
          <w:p w14:paraId="4BD0824C" w14:textId="77777777" w:rsidR="000F7E56" w:rsidRPr="000F7E56" w:rsidRDefault="000F7E56" w:rsidP="000F7E56">
            <w:pPr>
              <w:rPr>
                <w:rFonts w:ascii="Calibri" w:eastAsia="Calibri" w:hAnsi="Calibri" w:cs="Times New Roman"/>
              </w:rPr>
            </w:pPr>
            <w:r w:rsidRPr="000F7E56">
              <w:rPr>
                <w:rFonts w:ascii="Calibri" w:eastAsia="Calibri" w:hAnsi="Calibri" w:cs="Times New Roman"/>
              </w:rPr>
              <w:t>M</w:t>
            </w:r>
          </w:p>
        </w:tc>
      </w:tr>
      <w:tr w:rsidR="000F7E56" w:rsidRPr="000F7E56" w14:paraId="7E5417B5" w14:textId="77777777" w:rsidTr="000F7E56">
        <w:trPr>
          <w:trHeight w:val="269"/>
        </w:trPr>
        <w:tc>
          <w:tcPr>
            <w:tcW w:w="1541" w:type="dxa"/>
          </w:tcPr>
          <w:p w14:paraId="01202327" w14:textId="77777777" w:rsidR="000F7E56" w:rsidRPr="000F7E56" w:rsidRDefault="000F7E56" w:rsidP="000F7E56">
            <w:pPr>
              <w:rPr>
                <w:rFonts w:ascii="Calibri" w:eastAsia="Calibri" w:hAnsi="Calibri" w:cs="Times New Roman"/>
              </w:rPr>
            </w:pPr>
            <w:r w:rsidRPr="000F7E56">
              <w:rPr>
                <w:rFonts w:ascii="Calibri" w:eastAsia="Calibri" w:hAnsi="Calibri" w:cs="Times New Roman"/>
              </w:rPr>
              <w:t>Mr Bagri</w:t>
            </w:r>
          </w:p>
        </w:tc>
        <w:tc>
          <w:tcPr>
            <w:tcW w:w="1643" w:type="dxa"/>
          </w:tcPr>
          <w:p w14:paraId="48F132AF" w14:textId="77777777" w:rsidR="000F7E56" w:rsidRPr="000F7E56" w:rsidRDefault="000F7E56" w:rsidP="000F7E56">
            <w:pPr>
              <w:rPr>
                <w:rFonts w:ascii="Calibri" w:eastAsia="Calibri" w:hAnsi="Calibri" w:cs="Times New Roman"/>
              </w:rPr>
            </w:pPr>
            <w:r w:rsidRPr="000F7E56">
              <w:rPr>
                <w:rFonts w:ascii="Calibri" w:eastAsia="Calibri" w:hAnsi="Calibri" w:cs="Times New Roman"/>
              </w:rPr>
              <w:t>Hindu</w:t>
            </w:r>
          </w:p>
        </w:tc>
        <w:tc>
          <w:tcPr>
            <w:tcW w:w="2481" w:type="dxa"/>
          </w:tcPr>
          <w:p w14:paraId="68324129" w14:textId="77777777" w:rsidR="000F7E56" w:rsidRPr="000F7E56" w:rsidRDefault="000F7E56" w:rsidP="000F7E56">
            <w:pPr>
              <w:rPr>
                <w:rFonts w:ascii="Calibri" w:eastAsia="Calibri" w:hAnsi="Calibri" w:cs="Times New Roman"/>
              </w:rPr>
            </w:pPr>
            <w:r w:rsidRPr="000F7E56">
              <w:rPr>
                <w:rFonts w:ascii="Calibri" w:eastAsia="Calibri" w:hAnsi="Calibri" w:cs="Times New Roman"/>
              </w:rPr>
              <w:t>Indian – Kenyan</w:t>
            </w:r>
          </w:p>
        </w:tc>
        <w:tc>
          <w:tcPr>
            <w:tcW w:w="2694" w:type="dxa"/>
          </w:tcPr>
          <w:p w14:paraId="6AFAA22D" w14:textId="77777777" w:rsidR="000F7E56" w:rsidRPr="000F7E56" w:rsidRDefault="000F7E56" w:rsidP="000F7E56">
            <w:pPr>
              <w:rPr>
                <w:rFonts w:ascii="Calibri" w:eastAsia="Calibri" w:hAnsi="Calibri" w:cs="Times New Roman"/>
              </w:rPr>
            </w:pPr>
            <w:r w:rsidRPr="000F7E56">
              <w:rPr>
                <w:rFonts w:ascii="Calibri" w:eastAsia="Calibri" w:hAnsi="Calibri" w:cs="Times New Roman"/>
              </w:rPr>
              <w:t>Parkinson’s and Multiple System Atrophy (MSA)</w:t>
            </w:r>
          </w:p>
        </w:tc>
        <w:tc>
          <w:tcPr>
            <w:tcW w:w="2126" w:type="dxa"/>
          </w:tcPr>
          <w:p w14:paraId="2C2C81D9" w14:textId="77777777" w:rsidR="000F7E56" w:rsidRPr="000F7E56" w:rsidRDefault="000F7E56" w:rsidP="000F7E56">
            <w:pPr>
              <w:rPr>
                <w:rFonts w:ascii="Calibri" w:eastAsia="Calibri" w:hAnsi="Calibri" w:cs="Times New Roman"/>
              </w:rPr>
            </w:pPr>
          </w:p>
        </w:tc>
        <w:tc>
          <w:tcPr>
            <w:tcW w:w="709" w:type="dxa"/>
          </w:tcPr>
          <w:p w14:paraId="427E3215" w14:textId="77777777" w:rsidR="000F7E56" w:rsidRPr="000F7E56" w:rsidRDefault="000F7E56" w:rsidP="000F7E56">
            <w:pPr>
              <w:rPr>
                <w:rFonts w:ascii="Calibri" w:eastAsia="Calibri" w:hAnsi="Calibri" w:cs="Times New Roman"/>
              </w:rPr>
            </w:pPr>
            <w:r w:rsidRPr="000F7E56">
              <w:rPr>
                <w:rFonts w:ascii="Calibri" w:eastAsia="Calibri" w:hAnsi="Calibri" w:cs="Times New Roman"/>
              </w:rPr>
              <w:t>M</w:t>
            </w:r>
          </w:p>
        </w:tc>
      </w:tr>
      <w:tr w:rsidR="000F7E56" w:rsidRPr="000F7E56" w14:paraId="75279FBF" w14:textId="77777777" w:rsidTr="000F7E56">
        <w:trPr>
          <w:trHeight w:val="269"/>
        </w:trPr>
        <w:tc>
          <w:tcPr>
            <w:tcW w:w="1541" w:type="dxa"/>
          </w:tcPr>
          <w:p w14:paraId="7B1E70EA" w14:textId="77777777" w:rsidR="000F7E56" w:rsidRPr="000F7E56" w:rsidRDefault="000F7E56" w:rsidP="000F7E56">
            <w:pPr>
              <w:rPr>
                <w:rFonts w:ascii="Calibri" w:eastAsia="Calibri" w:hAnsi="Calibri" w:cs="Times New Roman"/>
              </w:rPr>
            </w:pPr>
            <w:r w:rsidRPr="000F7E56">
              <w:rPr>
                <w:rFonts w:ascii="Calibri" w:eastAsia="Calibri" w:hAnsi="Calibri" w:cs="Times New Roman"/>
              </w:rPr>
              <w:t>Mrs Banerjee</w:t>
            </w:r>
          </w:p>
        </w:tc>
        <w:tc>
          <w:tcPr>
            <w:tcW w:w="1643" w:type="dxa"/>
          </w:tcPr>
          <w:p w14:paraId="59DEAC14" w14:textId="77777777" w:rsidR="000F7E56" w:rsidRPr="000F7E56" w:rsidRDefault="000F7E56" w:rsidP="000F7E56">
            <w:pPr>
              <w:rPr>
                <w:rFonts w:ascii="Calibri" w:eastAsia="Calibri" w:hAnsi="Calibri" w:cs="Times New Roman"/>
              </w:rPr>
            </w:pPr>
            <w:r w:rsidRPr="000F7E56">
              <w:rPr>
                <w:rFonts w:ascii="Calibri" w:eastAsia="Calibri" w:hAnsi="Calibri" w:cs="Times New Roman"/>
              </w:rPr>
              <w:t>Hindu</w:t>
            </w:r>
          </w:p>
        </w:tc>
        <w:tc>
          <w:tcPr>
            <w:tcW w:w="2481" w:type="dxa"/>
          </w:tcPr>
          <w:p w14:paraId="4E7C6AD5" w14:textId="77777777" w:rsidR="000F7E56" w:rsidRPr="000F7E56" w:rsidRDefault="000F7E56" w:rsidP="000F7E56">
            <w:pPr>
              <w:rPr>
                <w:rFonts w:ascii="Calibri" w:eastAsia="Calibri" w:hAnsi="Calibri" w:cs="Times New Roman"/>
              </w:rPr>
            </w:pPr>
            <w:r w:rsidRPr="000F7E56">
              <w:rPr>
                <w:rFonts w:ascii="Calibri" w:eastAsia="Calibri" w:hAnsi="Calibri" w:cs="Times New Roman"/>
              </w:rPr>
              <w:t>Indian</w:t>
            </w:r>
          </w:p>
        </w:tc>
        <w:tc>
          <w:tcPr>
            <w:tcW w:w="2694" w:type="dxa"/>
          </w:tcPr>
          <w:p w14:paraId="161B58FB" w14:textId="77777777" w:rsidR="000F7E56" w:rsidRPr="000F7E56" w:rsidRDefault="000F7E56" w:rsidP="000F7E56">
            <w:pPr>
              <w:rPr>
                <w:rFonts w:ascii="Calibri" w:eastAsia="Calibri" w:hAnsi="Calibri" w:cs="Times New Roman"/>
              </w:rPr>
            </w:pPr>
            <w:r w:rsidRPr="000F7E56">
              <w:rPr>
                <w:rFonts w:ascii="Calibri" w:eastAsia="Calibri" w:hAnsi="Calibri" w:cs="Times New Roman"/>
              </w:rPr>
              <w:t>Pancreatic cancer</w:t>
            </w:r>
          </w:p>
        </w:tc>
        <w:tc>
          <w:tcPr>
            <w:tcW w:w="2126" w:type="dxa"/>
          </w:tcPr>
          <w:p w14:paraId="3231425E" w14:textId="77777777" w:rsidR="000F7E56" w:rsidRPr="000F7E56" w:rsidRDefault="000F7E56" w:rsidP="000F7E56">
            <w:pPr>
              <w:rPr>
                <w:rFonts w:ascii="Calibri" w:eastAsia="Calibri" w:hAnsi="Calibri" w:cs="Times New Roman"/>
              </w:rPr>
            </w:pPr>
            <w:r w:rsidRPr="000F7E56">
              <w:rPr>
                <w:rFonts w:ascii="Calibri" w:eastAsia="Calibri" w:hAnsi="Calibri" w:cs="Times New Roman"/>
              </w:rPr>
              <w:t>Gujarati</w:t>
            </w:r>
          </w:p>
        </w:tc>
        <w:tc>
          <w:tcPr>
            <w:tcW w:w="709" w:type="dxa"/>
          </w:tcPr>
          <w:p w14:paraId="26CBD7EE" w14:textId="77777777" w:rsidR="000F7E56" w:rsidRPr="000F7E56" w:rsidRDefault="000F7E56" w:rsidP="000F7E56">
            <w:pPr>
              <w:rPr>
                <w:rFonts w:ascii="Calibri" w:eastAsia="Calibri" w:hAnsi="Calibri" w:cs="Times New Roman"/>
              </w:rPr>
            </w:pPr>
            <w:r w:rsidRPr="000F7E56">
              <w:rPr>
                <w:rFonts w:ascii="Calibri" w:eastAsia="Calibri" w:hAnsi="Calibri" w:cs="Times New Roman"/>
              </w:rPr>
              <w:t>M</w:t>
            </w:r>
          </w:p>
        </w:tc>
      </w:tr>
      <w:tr w:rsidR="000F7E56" w:rsidRPr="000F7E56" w14:paraId="6E370F55" w14:textId="77777777" w:rsidTr="000F7E56">
        <w:trPr>
          <w:trHeight w:val="269"/>
        </w:trPr>
        <w:tc>
          <w:tcPr>
            <w:tcW w:w="1541" w:type="dxa"/>
          </w:tcPr>
          <w:p w14:paraId="0C285DDF" w14:textId="77777777" w:rsidR="000F7E56" w:rsidRPr="000F7E56" w:rsidRDefault="000F7E56" w:rsidP="000F7E56">
            <w:pPr>
              <w:rPr>
                <w:rFonts w:ascii="Calibri" w:eastAsia="Calibri" w:hAnsi="Calibri" w:cs="Times New Roman"/>
              </w:rPr>
            </w:pPr>
            <w:r w:rsidRPr="000F7E56">
              <w:rPr>
                <w:rFonts w:ascii="Calibri" w:eastAsia="Calibri" w:hAnsi="Calibri" w:cs="Times New Roman"/>
              </w:rPr>
              <w:t>Mrs Bansal</w:t>
            </w:r>
          </w:p>
        </w:tc>
        <w:tc>
          <w:tcPr>
            <w:tcW w:w="1643" w:type="dxa"/>
          </w:tcPr>
          <w:p w14:paraId="03A5F4AE" w14:textId="77777777" w:rsidR="000F7E56" w:rsidRPr="000F7E56" w:rsidRDefault="000F7E56" w:rsidP="000F7E56">
            <w:pPr>
              <w:rPr>
                <w:rFonts w:ascii="Calibri" w:eastAsia="Calibri" w:hAnsi="Calibri" w:cs="Times New Roman"/>
              </w:rPr>
            </w:pPr>
            <w:r w:rsidRPr="000F7E56">
              <w:rPr>
                <w:rFonts w:ascii="Calibri" w:eastAsia="Calibri" w:hAnsi="Calibri" w:cs="Times New Roman"/>
              </w:rPr>
              <w:t>Hindu</w:t>
            </w:r>
          </w:p>
        </w:tc>
        <w:tc>
          <w:tcPr>
            <w:tcW w:w="2481" w:type="dxa"/>
          </w:tcPr>
          <w:p w14:paraId="10A86153" w14:textId="77777777" w:rsidR="000F7E56" w:rsidRPr="000F7E56" w:rsidRDefault="000F7E56" w:rsidP="000F7E56">
            <w:pPr>
              <w:rPr>
                <w:rFonts w:ascii="Calibri" w:eastAsia="Calibri" w:hAnsi="Calibri" w:cs="Times New Roman"/>
              </w:rPr>
            </w:pPr>
            <w:r w:rsidRPr="000F7E56">
              <w:rPr>
                <w:rFonts w:ascii="Calibri" w:eastAsia="Calibri" w:hAnsi="Calibri" w:cs="Times New Roman"/>
              </w:rPr>
              <w:t>Indian</w:t>
            </w:r>
          </w:p>
        </w:tc>
        <w:tc>
          <w:tcPr>
            <w:tcW w:w="2694" w:type="dxa"/>
          </w:tcPr>
          <w:p w14:paraId="26AA63C7" w14:textId="77777777" w:rsidR="000F7E56" w:rsidRPr="000F7E56" w:rsidRDefault="000F7E56" w:rsidP="000F7E56">
            <w:pPr>
              <w:rPr>
                <w:rFonts w:ascii="Calibri" w:eastAsia="Calibri" w:hAnsi="Calibri" w:cs="Times New Roman"/>
              </w:rPr>
            </w:pPr>
            <w:r w:rsidRPr="000F7E56">
              <w:rPr>
                <w:rFonts w:ascii="Calibri" w:eastAsia="Calibri" w:hAnsi="Calibri" w:cs="Times New Roman"/>
              </w:rPr>
              <w:t>Pancreatic cancer</w:t>
            </w:r>
          </w:p>
        </w:tc>
        <w:tc>
          <w:tcPr>
            <w:tcW w:w="2126" w:type="dxa"/>
          </w:tcPr>
          <w:p w14:paraId="71C28CBA" w14:textId="77777777" w:rsidR="000F7E56" w:rsidRPr="000F7E56" w:rsidRDefault="000F7E56" w:rsidP="000F7E56">
            <w:pPr>
              <w:rPr>
                <w:rFonts w:ascii="Calibri" w:eastAsia="Calibri" w:hAnsi="Calibri" w:cs="Times New Roman"/>
              </w:rPr>
            </w:pPr>
            <w:r w:rsidRPr="000F7E56">
              <w:rPr>
                <w:rFonts w:ascii="Calibri" w:eastAsia="Calibri" w:hAnsi="Calibri" w:cs="Times New Roman"/>
              </w:rPr>
              <w:t>Gujarati</w:t>
            </w:r>
          </w:p>
        </w:tc>
        <w:tc>
          <w:tcPr>
            <w:tcW w:w="709" w:type="dxa"/>
          </w:tcPr>
          <w:p w14:paraId="4F9DA7B1" w14:textId="77777777" w:rsidR="000F7E56" w:rsidRPr="000F7E56" w:rsidRDefault="000F7E56" w:rsidP="000F7E56">
            <w:pPr>
              <w:rPr>
                <w:rFonts w:ascii="Calibri" w:eastAsia="Calibri" w:hAnsi="Calibri" w:cs="Times New Roman"/>
              </w:rPr>
            </w:pPr>
            <w:r w:rsidRPr="000F7E56">
              <w:rPr>
                <w:rFonts w:ascii="Calibri" w:eastAsia="Calibri" w:hAnsi="Calibri" w:cs="Times New Roman"/>
              </w:rPr>
              <w:t>F</w:t>
            </w:r>
          </w:p>
        </w:tc>
      </w:tr>
      <w:tr w:rsidR="000F7E56" w:rsidRPr="000F7E56" w14:paraId="331E8CDE" w14:textId="77777777" w:rsidTr="000F7E56">
        <w:trPr>
          <w:trHeight w:val="269"/>
        </w:trPr>
        <w:tc>
          <w:tcPr>
            <w:tcW w:w="1541" w:type="dxa"/>
          </w:tcPr>
          <w:p w14:paraId="51542E82" w14:textId="77777777" w:rsidR="000F7E56" w:rsidRPr="000F7E56" w:rsidRDefault="000F7E56" w:rsidP="000F7E56">
            <w:pPr>
              <w:rPr>
                <w:rFonts w:ascii="Calibri" w:eastAsia="Calibri" w:hAnsi="Calibri" w:cs="Times New Roman"/>
              </w:rPr>
            </w:pPr>
            <w:r w:rsidRPr="000F7E56">
              <w:rPr>
                <w:rFonts w:ascii="Calibri" w:eastAsia="Calibri" w:hAnsi="Calibri" w:cs="Times New Roman"/>
              </w:rPr>
              <w:t>Mrs Bhagat</w:t>
            </w:r>
          </w:p>
        </w:tc>
        <w:tc>
          <w:tcPr>
            <w:tcW w:w="1643" w:type="dxa"/>
          </w:tcPr>
          <w:p w14:paraId="25890A2B" w14:textId="77777777" w:rsidR="000F7E56" w:rsidRPr="000F7E56" w:rsidRDefault="000F7E56" w:rsidP="000F7E56">
            <w:pPr>
              <w:rPr>
                <w:rFonts w:ascii="Calibri" w:eastAsia="Calibri" w:hAnsi="Calibri" w:cs="Times New Roman"/>
              </w:rPr>
            </w:pPr>
            <w:r w:rsidRPr="000F7E56">
              <w:rPr>
                <w:rFonts w:ascii="Calibri" w:eastAsia="Calibri" w:hAnsi="Calibri" w:cs="Times New Roman"/>
              </w:rPr>
              <w:t>Hindu</w:t>
            </w:r>
          </w:p>
        </w:tc>
        <w:tc>
          <w:tcPr>
            <w:tcW w:w="2481" w:type="dxa"/>
          </w:tcPr>
          <w:p w14:paraId="1557DE67" w14:textId="77777777" w:rsidR="000F7E56" w:rsidRPr="000F7E56" w:rsidRDefault="000F7E56" w:rsidP="000F7E56">
            <w:pPr>
              <w:rPr>
                <w:rFonts w:ascii="Calibri" w:eastAsia="Calibri" w:hAnsi="Calibri" w:cs="Times New Roman"/>
              </w:rPr>
            </w:pPr>
            <w:r w:rsidRPr="000F7E56">
              <w:rPr>
                <w:rFonts w:ascii="Calibri" w:eastAsia="Calibri" w:hAnsi="Calibri" w:cs="Times New Roman"/>
              </w:rPr>
              <w:t>Indian</w:t>
            </w:r>
          </w:p>
        </w:tc>
        <w:tc>
          <w:tcPr>
            <w:tcW w:w="2694" w:type="dxa"/>
          </w:tcPr>
          <w:p w14:paraId="66FBD388" w14:textId="77777777" w:rsidR="000F7E56" w:rsidRPr="000F7E56" w:rsidRDefault="000F7E56" w:rsidP="000F7E56">
            <w:pPr>
              <w:rPr>
                <w:rFonts w:ascii="Calibri" w:eastAsia="Calibri" w:hAnsi="Calibri" w:cs="Times New Roman"/>
              </w:rPr>
            </w:pPr>
            <w:r w:rsidRPr="000F7E56">
              <w:rPr>
                <w:rFonts w:ascii="Calibri" w:eastAsia="Calibri" w:hAnsi="Calibri" w:cs="Times New Roman"/>
              </w:rPr>
              <w:t>Cervical cancer</w:t>
            </w:r>
          </w:p>
        </w:tc>
        <w:tc>
          <w:tcPr>
            <w:tcW w:w="2126" w:type="dxa"/>
          </w:tcPr>
          <w:p w14:paraId="65EEF87F" w14:textId="77777777" w:rsidR="000F7E56" w:rsidRPr="000F7E56" w:rsidRDefault="000F7E56" w:rsidP="000F7E56">
            <w:pPr>
              <w:rPr>
                <w:rFonts w:ascii="Calibri" w:eastAsia="Calibri" w:hAnsi="Calibri" w:cs="Times New Roman"/>
              </w:rPr>
            </w:pPr>
          </w:p>
        </w:tc>
        <w:tc>
          <w:tcPr>
            <w:tcW w:w="709" w:type="dxa"/>
          </w:tcPr>
          <w:p w14:paraId="1BC01627" w14:textId="77777777" w:rsidR="000F7E56" w:rsidRPr="000F7E56" w:rsidRDefault="000F7E56" w:rsidP="000F7E56">
            <w:pPr>
              <w:rPr>
                <w:rFonts w:ascii="Calibri" w:eastAsia="Calibri" w:hAnsi="Calibri" w:cs="Times New Roman"/>
              </w:rPr>
            </w:pPr>
            <w:r w:rsidRPr="000F7E56">
              <w:rPr>
                <w:rFonts w:ascii="Calibri" w:eastAsia="Calibri" w:hAnsi="Calibri" w:cs="Times New Roman"/>
              </w:rPr>
              <w:t>F</w:t>
            </w:r>
          </w:p>
        </w:tc>
      </w:tr>
      <w:tr w:rsidR="000F7E56" w:rsidRPr="000F7E56" w14:paraId="44A028BA" w14:textId="77777777" w:rsidTr="000F7E56">
        <w:trPr>
          <w:trHeight w:val="269"/>
        </w:trPr>
        <w:tc>
          <w:tcPr>
            <w:tcW w:w="1541" w:type="dxa"/>
          </w:tcPr>
          <w:p w14:paraId="360EEB0E" w14:textId="77777777" w:rsidR="000F7E56" w:rsidRPr="000F7E56" w:rsidRDefault="000F7E56" w:rsidP="000F7E56">
            <w:pPr>
              <w:rPr>
                <w:rFonts w:ascii="Calibri" w:eastAsia="Calibri" w:hAnsi="Calibri" w:cs="Times New Roman"/>
              </w:rPr>
            </w:pPr>
            <w:r w:rsidRPr="000F7E56">
              <w:rPr>
                <w:rFonts w:ascii="Calibri" w:eastAsia="Calibri" w:hAnsi="Calibri" w:cs="Times New Roman"/>
              </w:rPr>
              <w:t xml:space="preserve">Mrs </w:t>
            </w:r>
            <w:proofErr w:type="spellStart"/>
            <w:r w:rsidRPr="000F7E56">
              <w:rPr>
                <w:rFonts w:ascii="Calibri" w:eastAsia="Calibri" w:hAnsi="Calibri" w:cs="Times New Roman"/>
              </w:rPr>
              <w:t>Bakshi</w:t>
            </w:r>
            <w:proofErr w:type="spellEnd"/>
          </w:p>
        </w:tc>
        <w:tc>
          <w:tcPr>
            <w:tcW w:w="1643" w:type="dxa"/>
          </w:tcPr>
          <w:p w14:paraId="755C39B8" w14:textId="77777777" w:rsidR="000F7E56" w:rsidRPr="000F7E56" w:rsidRDefault="000F7E56" w:rsidP="000F7E56">
            <w:pPr>
              <w:rPr>
                <w:rFonts w:ascii="Calibri" w:eastAsia="Calibri" w:hAnsi="Calibri" w:cs="Times New Roman"/>
              </w:rPr>
            </w:pPr>
            <w:r w:rsidRPr="000F7E56">
              <w:rPr>
                <w:rFonts w:ascii="Calibri" w:eastAsia="Calibri" w:hAnsi="Calibri" w:cs="Times New Roman"/>
              </w:rPr>
              <w:t>Hindu</w:t>
            </w:r>
          </w:p>
        </w:tc>
        <w:tc>
          <w:tcPr>
            <w:tcW w:w="2481" w:type="dxa"/>
          </w:tcPr>
          <w:p w14:paraId="6E1F4C8A" w14:textId="77777777" w:rsidR="000F7E56" w:rsidRPr="000F7E56" w:rsidRDefault="000F7E56" w:rsidP="000F7E56">
            <w:pPr>
              <w:rPr>
                <w:rFonts w:ascii="Calibri" w:eastAsia="Calibri" w:hAnsi="Calibri" w:cs="Times New Roman"/>
              </w:rPr>
            </w:pPr>
            <w:r w:rsidRPr="000F7E56">
              <w:rPr>
                <w:rFonts w:ascii="Calibri" w:eastAsia="Calibri" w:hAnsi="Calibri" w:cs="Times New Roman"/>
              </w:rPr>
              <w:t>Indian</w:t>
            </w:r>
          </w:p>
        </w:tc>
        <w:tc>
          <w:tcPr>
            <w:tcW w:w="2694" w:type="dxa"/>
          </w:tcPr>
          <w:p w14:paraId="41C83E59" w14:textId="77777777" w:rsidR="000F7E56" w:rsidRPr="000F7E56" w:rsidRDefault="000F7E56" w:rsidP="000F7E56">
            <w:pPr>
              <w:rPr>
                <w:rFonts w:ascii="Calibri" w:eastAsia="Calibri" w:hAnsi="Calibri" w:cs="Times New Roman"/>
              </w:rPr>
            </w:pPr>
            <w:r w:rsidRPr="000F7E56">
              <w:rPr>
                <w:rFonts w:ascii="Calibri" w:eastAsia="Calibri" w:hAnsi="Calibri" w:cs="Times New Roman"/>
              </w:rPr>
              <w:t>Kidney Cancer &amp; co-morbidities</w:t>
            </w:r>
          </w:p>
        </w:tc>
        <w:tc>
          <w:tcPr>
            <w:tcW w:w="2126" w:type="dxa"/>
          </w:tcPr>
          <w:p w14:paraId="3A0CABAF" w14:textId="77777777" w:rsidR="000F7E56" w:rsidRPr="000F7E56" w:rsidRDefault="000F7E56" w:rsidP="000F7E56">
            <w:pPr>
              <w:rPr>
                <w:rFonts w:ascii="Calibri" w:eastAsia="Calibri" w:hAnsi="Calibri" w:cs="Times New Roman"/>
              </w:rPr>
            </w:pPr>
            <w:r w:rsidRPr="000F7E56">
              <w:rPr>
                <w:rFonts w:ascii="Calibri" w:eastAsia="Calibri" w:hAnsi="Calibri" w:cs="Times New Roman"/>
              </w:rPr>
              <w:t>Gujarati</w:t>
            </w:r>
          </w:p>
        </w:tc>
        <w:tc>
          <w:tcPr>
            <w:tcW w:w="709" w:type="dxa"/>
          </w:tcPr>
          <w:p w14:paraId="132319C4" w14:textId="77777777" w:rsidR="000F7E56" w:rsidRPr="000F7E56" w:rsidRDefault="000F7E56" w:rsidP="000F7E56">
            <w:pPr>
              <w:rPr>
                <w:rFonts w:ascii="Calibri" w:eastAsia="Calibri" w:hAnsi="Calibri" w:cs="Times New Roman"/>
              </w:rPr>
            </w:pPr>
            <w:r w:rsidRPr="000F7E56">
              <w:rPr>
                <w:rFonts w:ascii="Calibri" w:eastAsia="Calibri" w:hAnsi="Calibri" w:cs="Times New Roman"/>
              </w:rPr>
              <w:t>F</w:t>
            </w:r>
          </w:p>
        </w:tc>
      </w:tr>
    </w:tbl>
    <w:p w14:paraId="4F474E12" w14:textId="51009AAA" w:rsidR="000F7E56" w:rsidRPr="000F7E56" w:rsidRDefault="000F7E56" w:rsidP="000F7E56">
      <w:pPr>
        <w:keepNext/>
        <w:spacing w:after="200" w:line="240" w:lineRule="auto"/>
        <w:jc w:val="both"/>
        <w:rPr>
          <w:rFonts w:ascii="Calibri" w:eastAsia="Calibri" w:hAnsi="Calibri" w:cs="Times New Roman"/>
          <w:iCs/>
          <w:color w:val="44546A" w:themeColor="text2"/>
        </w:rPr>
        <w:sectPr w:rsidR="000F7E56" w:rsidRPr="000F7E56" w:rsidSect="000F7E56">
          <w:pgSz w:w="11906" w:h="16838"/>
          <w:pgMar w:top="1440" w:right="1134" w:bottom="1440" w:left="1134" w:header="709" w:footer="709" w:gutter="0"/>
          <w:cols w:space="708"/>
          <w:docGrid w:linePitch="360"/>
        </w:sectPr>
      </w:pPr>
      <w:bookmarkStart w:id="262" w:name="_Toc89967515"/>
      <w:bookmarkStart w:id="263" w:name="_Toc106701066"/>
      <w:r w:rsidRPr="000F7E56">
        <w:rPr>
          <w:rFonts w:cstheme="minorHAnsi"/>
          <w:iCs/>
          <w:color w:val="44546A" w:themeColor="text2"/>
        </w:rPr>
        <w:t xml:space="preserve">TABLE </w:t>
      </w:r>
      <w:r w:rsidRPr="000F7E56">
        <w:rPr>
          <w:rFonts w:cstheme="minorHAnsi"/>
          <w:iCs/>
          <w:color w:val="44546A" w:themeColor="text2"/>
        </w:rPr>
        <w:fldChar w:fldCharType="begin"/>
      </w:r>
      <w:r w:rsidRPr="000F7E56">
        <w:rPr>
          <w:rFonts w:cstheme="minorHAnsi"/>
          <w:iCs/>
          <w:color w:val="44546A" w:themeColor="text2"/>
        </w:rPr>
        <w:instrText xml:space="preserve"> SEQ Table \* ARABIC </w:instrText>
      </w:r>
      <w:r w:rsidRPr="000F7E56">
        <w:rPr>
          <w:rFonts w:cstheme="minorHAnsi"/>
          <w:iCs/>
          <w:color w:val="44546A" w:themeColor="text2"/>
        </w:rPr>
        <w:fldChar w:fldCharType="separate"/>
      </w:r>
      <w:r w:rsidR="00514EB4">
        <w:rPr>
          <w:rFonts w:cstheme="minorHAnsi"/>
          <w:iCs/>
          <w:noProof/>
          <w:color w:val="44546A" w:themeColor="text2"/>
        </w:rPr>
        <w:t>4</w:t>
      </w:r>
      <w:r w:rsidRPr="000F7E56">
        <w:rPr>
          <w:rFonts w:cstheme="minorHAnsi"/>
          <w:iCs/>
          <w:noProof/>
          <w:color w:val="44546A" w:themeColor="text2"/>
        </w:rPr>
        <w:fldChar w:fldCharType="end"/>
      </w:r>
      <w:r w:rsidRPr="000F7E56">
        <w:rPr>
          <w:rFonts w:cstheme="minorHAnsi"/>
          <w:iCs/>
          <w:noProof/>
          <w:color w:val="44546A" w:themeColor="text2"/>
        </w:rPr>
        <w:t xml:space="preserve"> </w:t>
      </w:r>
      <w:r w:rsidRPr="000F7E56">
        <w:rPr>
          <w:rFonts w:cstheme="minorHAnsi"/>
          <w:iCs/>
          <w:color w:val="44546A" w:themeColor="text2"/>
        </w:rPr>
        <w:t>- Work Stream 2: Characteristics of the deceased family member</w:t>
      </w:r>
      <w:bookmarkEnd w:id="262"/>
      <w:bookmarkEnd w:id="263"/>
    </w:p>
    <w:p w14:paraId="7D8AF4F5" w14:textId="77777777" w:rsidR="000F7E56" w:rsidRPr="000F7E56" w:rsidRDefault="000F7E56" w:rsidP="000F7E56">
      <w:pPr>
        <w:spacing w:after="120" w:line="360" w:lineRule="auto"/>
        <w:rPr>
          <w:rFonts w:ascii="Calibri" w:eastAsia="Calibri" w:hAnsi="Calibri" w:cs="Times New Roman"/>
        </w:rPr>
      </w:pPr>
    </w:p>
    <w:p w14:paraId="56E454D6" w14:textId="77777777" w:rsidR="000F7E56" w:rsidRPr="000F7E56" w:rsidRDefault="00A662A8" w:rsidP="000F7E56">
      <w:pPr>
        <w:keepNext/>
        <w:keepLines/>
        <w:spacing w:before="40" w:after="0" w:line="360" w:lineRule="auto"/>
        <w:outlineLvl w:val="1"/>
        <w:rPr>
          <w:rFonts w:asciiTheme="majorHAnsi" w:eastAsia="Calibri" w:hAnsiTheme="majorHAnsi" w:cstheme="majorBidi"/>
          <w:color w:val="2F5496" w:themeColor="accent1" w:themeShade="BF"/>
          <w:sz w:val="24"/>
          <w:szCs w:val="24"/>
        </w:rPr>
      </w:pPr>
      <w:bookmarkStart w:id="264" w:name="_Toc89665181"/>
      <w:bookmarkStart w:id="265" w:name="_Toc89671933"/>
      <w:bookmarkStart w:id="266" w:name="_Toc89763983"/>
      <w:bookmarkStart w:id="267" w:name="_Toc106697812"/>
      <w:r>
        <w:rPr>
          <w:rFonts w:asciiTheme="majorHAnsi" w:eastAsia="Calibri" w:hAnsiTheme="majorHAnsi" w:cstheme="majorBidi"/>
          <w:color w:val="2F5496" w:themeColor="accent1" w:themeShade="BF"/>
          <w:sz w:val="24"/>
          <w:szCs w:val="24"/>
        </w:rPr>
        <w:t>Work Stream 3:</w:t>
      </w:r>
      <w:r w:rsidR="000F7E56" w:rsidRPr="000F7E56">
        <w:rPr>
          <w:rFonts w:asciiTheme="majorHAnsi" w:eastAsia="Calibri" w:hAnsiTheme="majorHAnsi" w:cstheme="majorBidi"/>
          <w:color w:val="2F5496" w:themeColor="accent1" w:themeShade="BF"/>
          <w:sz w:val="24"/>
          <w:szCs w:val="24"/>
        </w:rPr>
        <w:t xml:space="preserve"> Stakeholder workshops</w:t>
      </w:r>
      <w:bookmarkEnd w:id="264"/>
      <w:bookmarkEnd w:id="265"/>
      <w:bookmarkEnd w:id="266"/>
      <w:bookmarkEnd w:id="267"/>
    </w:p>
    <w:p w14:paraId="10977D12" w14:textId="77777777" w:rsidR="000F7E56" w:rsidRPr="000F7E56" w:rsidRDefault="000F7E56" w:rsidP="000F7E56">
      <w:pPr>
        <w:spacing w:after="120" w:line="360" w:lineRule="auto"/>
        <w:rPr>
          <w:rFonts w:ascii="Calibri" w:eastAsia="Calibri" w:hAnsi="Calibri" w:cs="Times New Roman"/>
          <w:lang w:val="en-US"/>
        </w:rPr>
      </w:pPr>
      <w:r w:rsidRPr="000F7E56">
        <w:rPr>
          <w:rFonts w:ascii="Calibri" w:eastAsia="Calibri" w:hAnsi="Calibri" w:cs="Times New Roman"/>
          <w:lang w:val="en-US"/>
        </w:rPr>
        <w:t xml:space="preserve">Between October 2020 and end of April 2021 through a process of snowballing over 140 potential participants were contacted (see details in Chapter 2). This resulted in a total of 11 virtual discussion workshops being held with 37 stakeholders between December 2020 and the end of April 2021. Another 13 participants completed workbooks. This resulted in a total of 50 participants in WS3 which included 18 Lay and Community or Faith Leaders; 19 HCPs; seven Academics and six Educators. </w:t>
      </w:r>
    </w:p>
    <w:p w14:paraId="1EA5E186" w14:textId="76E605C7" w:rsidR="000F7E56" w:rsidRPr="000F7E56" w:rsidRDefault="000F7E56" w:rsidP="000F7E56">
      <w:pPr>
        <w:spacing w:after="120" w:line="360" w:lineRule="auto"/>
        <w:rPr>
          <w:rFonts w:ascii="Calibri" w:eastAsia="Calibri" w:hAnsi="Calibri" w:cs="Times New Roman"/>
        </w:rPr>
      </w:pPr>
      <w:r w:rsidRPr="000F7E56">
        <w:rPr>
          <w:rFonts w:ascii="Calibri" w:eastAsia="Calibri" w:hAnsi="Calibri" w:cs="Times New Roman"/>
          <w:lang w:val="en-US"/>
        </w:rPr>
        <w:t xml:space="preserve">The majority of the 18 Lay and Community or Faith Leaders described their ethnicity as Indian (n=5) followed by White (n=3), Bangladeshi (n=2), others described themselves as Pakistani (n=1), Indian and Pakistani (n=1), British Sikh (n=1), Asian (n=1), England (n=1), White and Asian (n=1), English (n=1), African (n=1). Eleven were female. The key characteristics of these Lay and Community or Faith Leaders are detailed in Table 5. </w:t>
      </w:r>
    </w:p>
    <w:p w14:paraId="5CC99E2E" w14:textId="77777777" w:rsidR="000F7E56" w:rsidRPr="000F7E56" w:rsidRDefault="000F7E56" w:rsidP="000F7E56">
      <w:pPr>
        <w:spacing w:after="120" w:line="240" w:lineRule="auto"/>
        <w:rPr>
          <w:rFonts w:ascii="Calibri" w:eastAsia="Calibri" w:hAnsi="Calibri" w:cs="Times New Roman"/>
        </w:rPr>
      </w:pPr>
    </w:p>
    <w:p w14:paraId="3DC63602" w14:textId="77777777" w:rsidR="000F7E56" w:rsidRPr="000F7E56" w:rsidRDefault="000F7E56" w:rsidP="000F7E56">
      <w:pPr>
        <w:spacing w:after="120" w:line="360" w:lineRule="auto"/>
        <w:rPr>
          <w:rFonts w:ascii="Calibri" w:eastAsia="Calibri" w:hAnsi="Calibri" w:cs="Times New Roman"/>
        </w:rPr>
      </w:pPr>
    </w:p>
    <w:p w14:paraId="7812C8C2" w14:textId="77777777" w:rsidR="000F7E56" w:rsidRPr="000F7E56" w:rsidRDefault="000F7E56" w:rsidP="000F7E56">
      <w:pPr>
        <w:spacing w:after="120" w:line="360" w:lineRule="auto"/>
        <w:rPr>
          <w:rFonts w:ascii="Calibri" w:eastAsia="Calibri" w:hAnsi="Calibri" w:cs="Times New Roman"/>
        </w:rPr>
      </w:pPr>
    </w:p>
    <w:p w14:paraId="03ACB91C" w14:textId="77777777" w:rsidR="000F7E56" w:rsidRPr="000F7E56" w:rsidRDefault="000F7E56" w:rsidP="000F7E56">
      <w:pPr>
        <w:spacing w:after="120" w:line="360" w:lineRule="auto"/>
        <w:rPr>
          <w:rFonts w:ascii="Calibri" w:eastAsia="Calibri" w:hAnsi="Calibri" w:cs="Times New Roman"/>
          <w:b/>
          <w:bCs/>
        </w:rPr>
        <w:sectPr w:rsidR="000F7E56" w:rsidRPr="000F7E56" w:rsidSect="000F7E56">
          <w:pgSz w:w="11906" w:h="16838"/>
          <w:pgMar w:top="1440" w:right="1134" w:bottom="1440" w:left="1134" w:header="709" w:footer="709" w:gutter="0"/>
          <w:cols w:space="708"/>
          <w:docGrid w:linePitch="360"/>
        </w:sectPr>
      </w:pPr>
    </w:p>
    <w:tbl>
      <w:tblPr>
        <w:tblStyle w:val="TableGrid"/>
        <w:tblW w:w="15168" w:type="dxa"/>
        <w:tblInd w:w="-856" w:type="dxa"/>
        <w:tblLook w:val="04A0" w:firstRow="1" w:lastRow="0" w:firstColumn="1" w:lastColumn="0" w:noHBand="0" w:noVBand="1"/>
      </w:tblPr>
      <w:tblGrid>
        <w:gridCol w:w="2704"/>
        <w:gridCol w:w="1608"/>
        <w:gridCol w:w="609"/>
        <w:gridCol w:w="533"/>
        <w:gridCol w:w="2201"/>
        <w:gridCol w:w="2127"/>
        <w:gridCol w:w="1984"/>
        <w:gridCol w:w="1559"/>
        <w:gridCol w:w="1843"/>
      </w:tblGrid>
      <w:tr w:rsidR="000F7E56" w:rsidRPr="000F7E56" w14:paraId="0BC99BCA" w14:textId="77777777" w:rsidTr="00966DB7">
        <w:trPr>
          <w:trHeight w:val="560"/>
        </w:trPr>
        <w:tc>
          <w:tcPr>
            <w:tcW w:w="2704" w:type="dxa"/>
            <w:noWrap/>
            <w:hideMark/>
          </w:tcPr>
          <w:p w14:paraId="144619C0" w14:textId="77777777" w:rsidR="000F7E56" w:rsidRPr="000F7E56" w:rsidRDefault="000F7E56" w:rsidP="000F7E56">
            <w:pPr>
              <w:spacing w:after="120"/>
              <w:rPr>
                <w:rFonts w:ascii="Calibri" w:eastAsia="Calibri" w:hAnsi="Calibri" w:cs="Times New Roman"/>
                <w:b/>
                <w:bCs/>
              </w:rPr>
            </w:pPr>
            <w:r w:rsidRPr="000F7E56">
              <w:rPr>
                <w:rFonts w:ascii="Calibri" w:eastAsia="Calibri" w:hAnsi="Calibri" w:cs="Times New Roman"/>
                <w:b/>
                <w:bCs/>
              </w:rPr>
              <w:lastRenderedPageBreak/>
              <w:t xml:space="preserve">Participant </w:t>
            </w:r>
          </w:p>
        </w:tc>
        <w:tc>
          <w:tcPr>
            <w:tcW w:w="1608" w:type="dxa"/>
          </w:tcPr>
          <w:p w14:paraId="6056A587" w14:textId="77777777" w:rsidR="000F7E56" w:rsidRPr="000F7E56" w:rsidRDefault="000F7E56" w:rsidP="000F7E56">
            <w:pPr>
              <w:spacing w:after="120"/>
              <w:rPr>
                <w:rFonts w:ascii="Calibri" w:eastAsia="Calibri" w:hAnsi="Calibri" w:cs="Times New Roman"/>
                <w:b/>
                <w:bCs/>
              </w:rPr>
            </w:pPr>
            <w:r w:rsidRPr="000F7E56">
              <w:rPr>
                <w:rFonts w:ascii="Calibri" w:eastAsia="Calibri" w:hAnsi="Calibri" w:cs="Times New Roman"/>
                <w:b/>
                <w:bCs/>
              </w:rPr>
              <w:t xml:space="preserve">Workshop or Workbook  </w:t>
            </w:r>
          </w:p>
        </w:tc>
        <w:tc>
          <w:tcPr>
            <w:tcW w:w="609" w:type="dxa"/>
            <w:noWrap/>
            <w:hideMark/>
          </w:tcPr>
          <w:p w14:paraId="77191085" w14:textId="77777777" w:rsidR="000F7E56" w:rsidRPr="000F7E56" w:rsidRDefault="000F7E56" w:rsidP="000F7E56">
            <w:pPr>
              <w:spacing w:after="120"/>
              <w:rPr>
                <w:rFonts w:ascii="Calibri" w:eastAsia="Calibri" w:hAnsi="Calibri" w:cs="Times New Roman"/>
                <w:b/>
                <w:bCs/>
              </w:rPr>
            </w:pPr>
            <w:r w:rsidRPr="000F7E56">
              <w:rPr>
                <w:rFonts w:ascii="Calibri" w:eastAsia="Calibri" w:hAnsi="Calibri" w:cs="Times New Roman"/>
                <w:b/>
                <w:bCs/>
              </w:rPr>
              <w:t>Age</w:t>
            </w:r>
          </w:p>
        </w:tc>
        <w:tc>
          <w:tcPr>
            <w:tcW w:w="533" w:type="dxa"/>
            <w:noWrap/>
            <w:hideMark/>
          </w:tcPr>
          <w:p w14:paraId="179BAE69" w14:textId="77777777" w:rsidR="000F7E56" w:rsidRPr="000F7E56" w:rsidRDefault="000F7E56" w:rsidP="000F7E56">
            <w:pPr>
              <w:spacing w:after="120"/>
              <w:rPr>
                <w:rFonts w:ascii="Calibri" w:eastAsia="Calibri" w:hAnsi="Calibri" w:cs="Times New Roman"/>
                <w:b/>
                <w:bCs/>
              </w:rPr>
            </w:pPr>
            <w:r w:rsidRPr="000F7E56">
              <w:rPr>
                <w:rFonts w:ascii="Calibri" w:eastAsia="Calibri" w:hAnsi="Calibri" w:cs="Times New Roman"/>
                <w:b/>
                <w:bCs/>
              </w:rPr>
              <w:t>Sex</w:t>
            </w:r>
          </w:p>
        </w:tc>
        <w:tc>
          <w:tcPr>
            <w:tcW w:w="2201" w:type="dxa"/>
            <w:noWrap/>
            <w:hideMark/>
          </w:tcPr>
          <w:p w14:paraId="4A7EC1CB" w14:textId="77777777" w:rsidR="000F7E56" w:rsidRPr="000F7E56" w:rsidRDefault="000F7E56" w:rsidP="000F7E56">
            <w:pPr>
              <w:spacing w:after="120"/>
              <w:rPr>
                <w:rFonts w:ascii="Calibri" w:eastAsia="Calibri" w:hAnsi="Calibri" w:cs="Times New Roman"/>
                <w:b/>
                <w:bCs/>
              </w:rPr>
            </w:pPr>
            <w:r w:rsidRPr="000F7E56">
              <w:rPr>
                <w:rFonts w:ascii="Calibri" w:eastAsia="Calibri" w:hAnsi="Calibri" w:cs="Times New Roman"/>
                <w:b/>
                <w:bCs/>
              </w:rPr>
              <w:t>Ethnicity</w:t>
            </w:r>
          </w:p>
        </w:tc>
        <w:tc>
          <w:tcPr>
            <w:tcW w:w="2127" w:type="dxa"/>
            <w:hideMark/>
          </w:tcPr>
          <w:p w14:paraId="7BDD65CE" w14:textId="77777777" w:rsidR="000F7E56" w:rsidRPr="000F7E56" w:rsidRDefault="000F7E56" w:rsidP="000F7E56">
            <w:pPr>
              <w:spacing w:after="120"/>
              <w:rPr>
                <w:rFonts w:ascii="Calibri" w:eastAsia="Calibri" w:hAnsi="Calibri" w:cs="Times New Roman"/>
                <w:b/>
                <w:bCs/>
              </w:rPr>
            </w:pPr>
            <w:r w:rsidRPr="000F7E56">
              <w:rPr>
                <w:rFonts w:ascii="Calibri" w:eastAsia="Calibri" w:hAnsi="Calibri" w:cs="Times New Roman"/>
                <w:b/>
                <w:bCs/>
              </w:rPr>
              <w:t>Participant country</w:t>
            </w:r>
            <w:r w:rsidRPr="000F7E56">
              <w:rPr>
                <w:rFonts w:ascii="Calibri" w:eastAsia="Calibri" w:hAnsi="Calibri" w:cs="Times New Roman"/>
                <w:b/>
                <w:bCs/>
              </w:rPr>
              <w:br/>
              <w:t xml:space="preserve"> of Birth</w:t>
            </w:r>
          </w:p>
        </w:tc>
        <w:tc>
          <w:tcPr>
            <w:tcW w:w="1984" w:type="dxa"/>
            <w:hideMark/>
          </w:tcPr>
          <w:p w14:paraId="7797809A" w14:textId="77777777" w:rsidR="000F7E56" w:rsidRPr="000F7E56" w:rsidRDefault="000F7E56" w:rsidP="000F7E56">
            <w:pPr>
              <w:spacing w:after="120"/>
              <w:rPr>
                <w:rFonts w:ascii="Calibri" w:eastAsia="Calibri" w:hAnsi="Calibri" w:cs="Times New Roman"/>
                <w:b/>
                <w:bCs/>
              </w:rPr>
            </w:pPr>
            <w:r w:rsidRPr="000F7E56">
              <w:rPr>
                <w:rFonts w:ascii="Calibri" w:eastAsia="Calibri" w:hAnsi="Calibri" w:cs="Times New Roman"/>
                <w:b/>
                <w:bCs/>
              </w:rPr>
              <w:t xml:space="preserve"> Parents country </w:t>
            </w:r>
            <w:r w:rsidRPr="000F7E56">
              <w:rPr>
                <w:rFonts w:ascii="Calibri" w:eastAsia="Calibri" w:hAnsi="Calibri" w:cs="Times New Roman"/>
                <w:b/>
                <w:bCs/>
              </w:rPr>
              <w:br/>
              <w:t>of birth</w:t>
            </w:r>
          </w:p>
        </w:tc>
        <w:tc>
          <w:tcPr>
            <w:tcW w:w="1559" w:type="dxa"/>
            <w:noWrap/>
            <w:hideMark/>
          </w:tcPr>
          <w:p w14:paraId="0A2D7C06" w14:textId="77777777" w:rsidR="000F7E56" w:rsidRPr="000F7E56" w:rsidRDefault="000F7E56" w:rsidP="000F7E56">
            <w:pPr>
              <w:spacing w:after="120"/>
              <w:rPr>
                <w:rFonts w:ascii="Calibri" w:eastAsia="Calibri" w:hAnsi="Calibri" w:cs="Times New Roman"/>
                <w:b/>
                <w:bCs/>
              </w:rPr>
            </w:pPr>
            <w:r w:rsidRPr="000F7E56">
              <w:rPr>
                <w:rFonts w:ascii="Calibri" w:eastAsia="Calibri" w:hAnsi="Calibri" w:cs="Times New Roman"/>
                <w:b/>
                <w:bCs/>
              </w:rPr>
              <w:t>Religion</w:t>
            </w:r>
          </w:p>
        </w:tc>
        <w:tc>
          <w:tcPr>
            <w:tcW w:w="1843" w:type="dxa"/>
            <w:noWrap/>
            <w:hideMark/>
          </w:tcPr>
          <w:p w14:paraId="0DFBB133" w14:textId="77777777" w:rsidR="000F7E56" w:rsidRPr="000F7E56" w:rsidRDefault="000F7E56" w:rsidP="000F7E56">
            <w:pPr>
              <w:spacing w:after="120"/>
              <w:rPr>
                <w:rFonts w:ascii="Calibri" w:eastAsia="Calibri" w:hAnsi="Calibri" w:cs="Times New Roman"/>
                <w:b/>
                <w:bCs/>
              </w:rPr>
            </w:pPr>
            <w:r w:rsidRPr="000F7E56">
              <w:rPr>
                <w:rFonts w:ascii="Calibri" w:eastAsia="Calibri" w:hAnsi="Calibri" w:cs="Times New Roman"/>
                <w:b/>
                <w:bCs/>
              </w:rPr>
              <w:t xml:space="preserve"> Education</w:t>
            </w:r>
          </w:p>
        </w:tc>
      </w:tr>
      <w:tr w:rsidR="000F7E56" w:rsidRPr="000F7E56" w14:paraId="7A7CC7E5" w14:textId="77777777" w:rsidTr="00966DB7">
        <w:trPr>
          <w:trHeight w:val="280"/>
        </w:trPr>
        <w:tc>
          <w:tcPr>
            <w:tcW w:w="2704" w:type="dxa"/>
            <w:noWrap/>
            <w:hideMark/>
          </w:tcPr>
          <w:p w14:paraId="506A58F1" w14:textId="77777777" w:rsidR="000F7E56" w:rsidRPr="000F7E56" w:rsidRDefault="000F7E56" w:rsidP="000F7E56">
            <w:pPr>
              <w:spacing w:after="120"/>
              <w:rPr>
                <w:rFonts w:ascii="Calibri" w:eastAsia="Calibri" w:hAnsi="Calibri" w:cs="Times New Roman"/>
              </w:rPr>
            </w:pPr>
            <w:r w:rsidRPr="000F7E56">
              <w:rPr>
                <w:rFonts w:ascii="Calibri" w:eastAsia="Calibri" w:hAnsi="Calibri" w:cs="Times New Roman"/>
              </w:rPr>
              <w:t xml:space="preserve">Lay </w:t>
            </w:r>
          </w:p>
        </w:tc>
        <w:tc>
          <w:tcPr>
            <w:tcW w:w="1608" w:type="dxa"/>
          </w:tcPr>
          <w:p w14:paraId="1AE2F71C" w14:textId="77777777" w:rsidR="000F7E56" w:rsidRPr="000F7E56" w:rsidRDefault="000F7E56" w:rsidP="000F7E56">
            <w:pPr>
              <w:spacing w:after="120"/>
              <w:rPr>
                <w:rFonts w:ascii="Calibri" w:eastAsia="Calibri" w:hAnsi="Calibri" w:cs="Times New Roman"/>
              </w:rPr>
            </w:pPr>
            <w:r w:rsidRPr="000F7E56">
              <w:rPr>
                <w:rFonts w:ascii="Calibri" w:eastAsia="Calibri" w:hAnsi="Calibri" w:cs="Times New Roman"/>
              </w:rPr>
              <w:t>Workshop</w:t>
            </w:r>
          </w:p>
        </w:tc>
        <w:tc>
          <w:tcPr>
            <w:tcW w:w="609" w:type="dxa"/>
            <w:noWrap/>
            <w:hideMark/>
          </w:tcPr>
          <w:p w14:paraId="102EB3AF" w14:textId="77777777" w:rsidR="000F7E56" w:rsidRPr="000F7E56" w:rsidRDefault="000F7E56" w:rsidP="000F7E56">
            <w:pPr>
              <w:spacing w:after="120"/>
              <w:rPr>
                <w:rFonts w:ascii="Calibri" w:eastAsia="Calibri" w:hAnsi="Calibri" w:cs="Times New Roman"/>
              </w:rPr>
            </w:pPr>
            <w:r w:rsidRPr="000F7E56">
              <w:rPr>
                <w:rFonts w:ascii="Calibri" w:eastAsia="Calibri" w:hAnsi="Calibri" w:cs="Times New Roman"/>
              </w:rPr>
              <w:t>31</w:t>
            </w:r>
          </w:p>
        </w:tc>
        <w:tc>
          <w:tcPr>
            <w:tcW w:w="533" w:type="dxa"/>
            <w:noWrap/>
            <w:hideMark/>
          </w:tcPr>
          <w:p w14:paraId="6AAFF120" w14:textId="77777777" w:rsidR="000F7E56" w:rsidRPr="000F7E56" w:rsidRDefault="000F7E56" w:rsidP="000F7E56">
            <w:pPr>
              <w:spacing w:after="120"/>
              <w:rPr>
                <w:rFonts w:ascii="Calibri" w:eastAsia="Calibri" w:hAnsi="Calibri" w:cs="Times New Roman"/>
              </w:rPr>
            </w:pPr>
            <w:r w:rsidRPr="000F7E56">
              <w:rPr>
                <w:rFonts w:ascii="Calibri" w:eastAsia="Calibri" w:hAnsi="Calibri" w:cs="Times New Roman"/>
              </w:rPr>
              <w:t>F</w:t>
            </w:r>
          </w:p>
        </w:tc>
        <w:tc>
          <w:tcPr>
            <w:tcW w:w="2201" w:type="dxa"/>
            <w:noWrap/>
            <w:hideMark/>
          </w:tcPr>
          <w:p w14:paraId="7AC24D6F" w14:textId="77777777" w:rsidR="000F7E56" w:rsidRPr="000F7E56" w:rsidRDefault="000F7E56" w:rsidP="000F7E56">
            <w:pPr>
              <w:spacing w:after="120"/>
              <w:rPr>
                <w:rFonts w:ascii="Calibri" w:eastAsia="Calibri" w:hAnsi="Calibri" w:cs="Times New Roman"/>
              </w:rPr>
            </w:pPr>
            <w:r w:rsidRPr="000F7E56">
              <w:rPr>
                <w:rFonts w:ascii="Calibri" w:eastAsia="Calibri" w:hAnsi="Calibri" w:cs="Times New Roman"/>
              </w:rPr>
              <w:t>Indian Pakistani</w:t>
            </w:r>
          </w:p>
        </w:tc>
        <w:tc>
          <w:tcPr>
            <w:tcW w:w="2127" w:type="dxa"/>
            <w:noWrap/>
            <w:hideMark/>
          </w:tcPr>
          <w:p w14:paraId="0B21A259" w14:textId="77777777" w:rsidR="000F7E56" w:rsidRPr="000F7E56" w:rsidRDefault="000F7E56" w:rsidP="000F7E56">
            <w:pPr>
              <w:spacing w:after="120"/>
              <w:rPr>
                <w:rFonts w:ascii="Calibri" w:eastAsia="Calibri" w:hAnsi="Calibri" w:cs="Times New Roman"/>
              </w:rPr>
            </w:pPr>
            <w:r w:rsidRPr="000F7E56">
              <w:rPr>
                <w:rFonts w:ascii="Calibri" w:eastAsia="Calibri" w:hAnsi="Calibri" w:cs="Times New Roman"/>
              </w:rPr>
              <w:t>England</w:t>
            </w:r>
          </w:p>
        </w:tc>
        <w:tc>
          <w:tcPr>
            <w:tcW w:w="1984" w:type="dxa"/>
            <w:noWrap/>
            <w:hideMark/>
          </w:tcPr>
          <w:p w14:paraId="245DF019" w14:textId="77777777" w:rsidR="000F7E56" w:rsidRPr="000F7E56" w:rsidRDefault="000F7E56" w:rsidP="000F7E56">
            <w:pPr>
              <w:spacing w:after="120"/>
              <w:rPr>
                <w:rFonts w:ascii="Calibri" w:eastAsia="Calibri" w:hAnsi="Calibri" w:cs="Times New Roman"/>
              </w:rPr>
            </w:pPr>
            <w:r w:rsidRPr="000F7E56">
              <w:rPr>
                <w:rFonts w:ascii="Calibri" w:eastAsia="Calibri" w:hAnsi="Calibri" w:cs="Times New Roman"/>
              </w:rPr>
              <w:t>Pakistani &amp; Kenya</w:t>
            </w:r>
          </w:p>
        </w:tc>
        <w:tc>
          <w:tcPr>
            <w:tcW w:w="1559" w:type="dxa"/>
            <w:noWrap/>
            <w:hideMark/>
          </w:tcPr>
          <w:p w14:paraId="42D0B8A9" w14:textId="77777777" w:rsidR="000F7E56" w:rsidRPr="000F7E56" w:rsidRDefault="000F7E56" w:rsidP="000F7E56">
            <w:pPr>
              <w:spacing w:after="120"/>
              <w:rPr>
                <w:rFonts w:ascii="Calibri" w:eastAsia="Calibri" w:hAnsi="Calibri" w:cs="Times New Roman"/>
              </w:rPr>
            </w:pPr>
            <w:r w:rsidRPr="000F7E56">
              <w:rPr>
                <w:rFonts w:ascii="Calibri" w:eastAsia="Calibri" w:hAnsi="Calibri" w:cs="Times New Roman"/>
              </w:rPr>
              <w:t>Muslim</w:t>
            </w:r>
          </w:p>
        </w:tc>
        <w:tc>
          <w:tcPr>
            <w:tcW w:w="1843" w:type="dxa"/>
            <w:noWrap/>
            <w:hideMark/>
          </w:tcPr>
          <w:p w14:paraId="5C491378" w14:textId="77777777" w:rsidR="000F7E56" w:rsidRPr="000F7E56" w:rsidRDefault="000F7E56" w:rsidP="000F7E56">
            <w:pPr>
              <w:spacing w:after="120"/>
              <w:rPr>
                <w:rFonts w:ascii="Calibri" w:eastAsia="Calibri" w:hAnsi="Calibri" w:cs="Times New Roman"/>
              </w:rPr>
            </w:pPr>
            <w:r w:rsidRPr="000F7E56">
              <w:rPr>
                <w:rFonts w:ascii="Calibri" w:eastAsia="Calibri" w:hAnsi="Calibri" w:cs="Times New Roman"/>
              </w:rPr>
              <w:t>Degree</w:t>
            </w:r>
          </w:p>
        </w:tc>
      </w:tr>
      <w:tr w:rsidR="000F7E56" w:rsidRPr="000F7E56" w14:paraId="1E2BDCE3" w14:textId="77777777" w:rsidTr="00966DB7">
        <w:trPr>
          <w:trHeight w:val="280"/>
        </w:trPr>
        <w:tc>
          <w:tcPr>
            <w:tcW w:w="2704" w:type="dxa"/>
            <w:noWrap/>
            <w:hideMark/>
          </w:tcPr>
          <w:p w14:paraId="200D8C36" w14:textId="77777777" w:rsidR="000F7E56" w:rsidRPr="000F7E56" w:rsidRDefault="000F7E56" w:rsidP="000F7E56">
            <w:pPr>
              <w:spacing w:after="120"/>
              <w:rPr>
                <w:rFonts w:ascii="Calibri" w:eastAsia="Calibri" w:hAnsi="Calibri" w:cs="Times New Roman"/>
              </w:rPr>
            </w:pPr>
            <w:r w:rsidRPr="000F7E56">
              <w:rPr>
                <w:rFonts w:ascii="Calibri" w:eastAsia="Calibri" w:hAnsi="Calibri" w:cs="Times New Roman"/>
              </w:rPr>
              <w:t xml:space="preserve">Lay </w:t>
            </w:r>
          </w:p>
        </w:tc>
        <w:tc>
          <w:tcPr>
            <w:tcW w:w="1608" w:type="dxa"/>
          </w:tcPr>
          <w:p w14:paraId="42C8BC5F" w14:textId="77777777" w:rsidR="000F7E56" w:rsidRPr="000F7E56" w:rsidRDefault="000F7E56" w:rsidP="000F7E56">
            <w:pPr>
              <w:spacing w:after="120"/>
              <w:rPr>
                <w:rFonts w:ascii="Calibri" w:eastAsia="Calibri" w:hAnsi="Calibri" w:cs="Times New Roman"/>
              </w:rPr>
            </w:pPr>
            <w:r w:rsidRPr="000F7E56">
              <w:rPr>
                <w:rFonts w:ascii="Calibri" w:eastAsia="Calibri" w:hAnsi="Calibri" w:cs="Times New Roman"/>
              </w:rPr>
              <w:t>Workshop</w:t>
            </w:r>
          </w:p>
        </w:tc>
        <w:tc>
          <w:tcPr>
            <w:tcW w:w="609" w:type="dxa"/>
            <w:noWrap/>
            <w:hideMark/>
          </w:tcPr>
          <w:p w14:paraId="29EF70AA" w14:textId="77777777" w:rsidR="000F7E56" w:rsidRPr="000F7E56" w:rsidRDefault="000F7E56" w:rsidP="000F7E56">
            <w:pPr>
              <w:spacing w:after="120"/>
              <w:rPr>
                <w:rFonts w:ascii="Calibri" w:eastAsia="Calibri" w:hAnsi="Calibri" w:cs="Times New Roman"/>
              </w:rPr>
            </w:pPr>
            <w:r w:rsidRPr="000F7E56">
              <w:rPr>
                <w:rFonts w:ascii="Calibri" w:eastAsia="Calibri" w:hAnsi="Calibri" w:cs="Times New Roman"/>
              </w:rPr>
              <w:t>63</w:t>
            </w:r>
          </w:p>
        </w:tc>
        <w:tc>
          <w:tcPr>
            <w:tcW w:w="533" w:type="dxa"/>
            <w:noWrap/>
            <w:hideMark/>
          </w:tcPr>
          <w:p w14:paraId="61C1EFAA" w14:textId="77777777" w:rsidR="000F7E56" w:rsidRPr="000F7E56" w:rsidRDefault="000F7E56" w:rsidP="000F7E56">
            <w:pPr>
              <w:spacing w:after="120"/>
              <w:rPr>
                <w:rFonts w:ascii="Calibri" w:eastAsia="Calibri" w:hAnsi="Calibri" w:cs="Times New Roman"/>
              </w:rPr>
            </w:pPr>
            <w:r w:rsidRPr="000F7E56">
              <w:rPr>
                <w:rFonts w:ascii="Calibri" w:eastAsia="Calibri" w:hAnsi="Calibri" w:cs="Times New Roman"/>
              </w:rPr>
              <w:t>F</w:t>
            </w:r>
          </w:p>
        </w:tc>
        <w:tc>
          <w:tcPr>
            <w:tcW w:w="2201" w:type="dxa"/>
            <w:noWrap/>
            <w:hideMark/>
          </w:tcPr>
          <w:p w14:paraId="681438A7" w14:textId="77777777" w:rsidR="000F7E56" w:rsidRPr="000F7E56" w:rsidRDefault="000F7E56" w:rsidP="000F7E56">
            <w:pPr>
              <w:spacing w:after="120"/>
              <w:rPr>
                <w:rFonts w:ascii="Calibri" w:eastAsia="Calibri" w:hAnsi="Calibri" w:cs="Times New Roman"/>
              </w:rPr>
            </w:pPr>
            <w:r w:rsidRPr="000F7E56">
              <w:rPr>
                <w:rFonts w:ascii="Calibri" w:eastAsia="Calibri" w:hAnsi="Calibri" w:cs="Times New Roman"/>
              </w:rPr>
              <w:t>Indian</w:t>
            </w:r>
          </w:p>
        </w:tc>
        <w:tc>
          <w:tcPr>
            <w:tcW w:w="2127" w:type="dxa"/>
            <w:noWrap/>
            <w:hideMark/>
          </w:tcPr>
          <w:p w14:paraId="6ACE4E16" w14:textId="77777777" w:rsidR="000F7E56" w:rsidRPr="000F7E56" w:rsidRDefault="000F7E56" w:rsidP="000F7E56">
            <w:pPr>
              <w:spacing w:after="120"/>
              <w:rPr>
                <w:rFonts w:ascii="Calibri" w:eastAsia="Calibri" w:hAnsi="Calibri" w:cs="Times New Roman"/>
              </w:rPr>
            </w:pPr>
            <w:r w:rsidRPr="000F7E56">
              <w:rPr>
                <w:rFonts w:ascii="Calibri" w:eastAsia="Calibri" w:hAnsi="Calibri" w:cs="Times New Roman"/>
              </w:rPr>
              <w:t>Uganda</w:t>
            </w:r>
          </w:p>
        </w:tc>
        <w:tc>
          <w:tcPr>
            <w:tcW w:w="1984" w:type="dxa"/>
            <w:noWrap/>
            <w:hideMark/>
          </w:tcPr>
          <w:p w14:paraId="07967FA8" w14:textId="77777777" w:rsidR="000F7E56" w:rsidRPr="000F7E56" w:rsidRDefault="000F7E56" w:rsidP="000F7E56">
            <w:pPr>
              <w:spacing w:after="120"/>
              <w:rPr>
                <w:rFonts w:ascii="Calibri" w:eastAsia="Calibri" w:hAnsi="Calibri" w:cs="Times New Roman"/>
              </w:rPr>
            </w:pPr>
            <w:r w:rsidRPr="000F7E56">
              <w:rPr>
                <w:rFonts w:ascii="Calibri" w:eastAsia="Calibri" w:hAnsi="Calibri" w:cs="Times New Roman"/>
              </w:rPr>
              <w:t>Both India</w:t>
            </w:r>
          </w:p>
        </w:tc>
        <w:tc>
          <w:tcPr>
            <w:tcW w:w="1559" w:type="dxa"/>
            <w:noWrap/>
            <w:hideMark/>
          </w:tcPr>
          <w:p w14:paraId="33AC059B" w14:textId="77777777" w:rsidR="000F7E56" w:rsidRPr="000F7E56" w:rsidRDefault="000F7E56" w:rsidP="000F7E56">
            <w:pPr>
              <w:spacing w:after="120"/>
              <w:rPr>
                <w:rFonts w:ascii="Calibri" w:eastAsia="Calibri" w:hAnsi="Calibri" w:cs="Times New Roman"/>
              </w:rPr>
            </w:pPr>
            <w:r w:rsidRPr="000F7E56">
              <w:rPr>
                <w:rFonts w:ascii="Calibri" w:eastAsia="Calibri" w:hAnsi="Calibri" w:cs="Times New Roman"/>
              </w:rPr>
              <w:t>Hindu</w:t>
            </w:r>
          </w:p>
        </w:tc>
        <w:tc>
          <w:tcPr>
            <w:tcW w:w="1843" w:type="dxa"/>
            <w:noWrap/>
            <w:hideMark/>
          </w:tcPr>
          <w:p w14:paraId="695FE046" w14:textId="77777777" w:rsidR="000F7E56" w:rsidRPr="000F7E56" w:rsidRDefault="000F7E56" w:rsidP="000F7E56">
            <w:pPr>
              <w:spacing w:after="120"/>
              <w:rPr>
                <w:rFonts w:ascii="Calibri" w:eastAsia="Calibri" w:hAnsi="Calibri" w:cs="Times New Roman"/>
              </w:rPr>
            </w:pPr>
            <w:r w:rsidRPr="000F7E56">
              <w:rPr>
                <w:rFonts w:ascii="Calibri" w:eastAsia="Calibri" w:hAnsi="Calibri" w:cs="Times New Roman"/>
              </w:rPr>
              <w:t>Degree</w:t>
            </w:r>
          </w:p>
        </w:tc>
      </w:tr>
      <w:tr w:rsidR="000F7E56" w:rsidRPr="000F7E56" w14:paraId="417CCE6C" w14:textId="77777777" w:rsidTr="00966DB7">
        <w:trPr>
          <w:trHeight w:val="280"/>
        </w:trPr>
        <w:tc>
          <w:tcPr>
            <w:tcW w:w="2704" w:type="dxa"/>
            <w:noWrap/>
            <w:hideMark/>
          </w:tcPr>
          <w:p w14:paraId="13C5A2D2" w14:textId="77777777" w:rsidR="000F7E56" w:rsidRPr="000F7E56" w:rsidRDefault="000F7E56" w:rsidP="000F7E56">
            <w:pPr>
              <w:spacing w:after="120"/>
              <w:rPr>
                <w:rFonts w:ascii="Calibri" w:eastAsia="Calibri" w:hAnsi="Calibri" w:cs="Times New Roman"/>
              </w:rPr>
            </w:pPr>
            <w:r w:rsidRPr="000F7E56">
              <w:rPr>
                <w:rFonts w:ascii="Calibri" w:eastAsia="Calibri" w:hAnsi="Calibri" w:cs="Times New Roman"/>
              </w:rPr>
              <w:t xml:space="preserve">Lay </w:t>
            </w:r>
          </w:p>
        </w:tc>
        <w:tc>
          <w:tcPr>
            <w:tcW w:w="1608" w:type="dxa"/>
          </w:tcPr>
          <w:p w14:paraId="2004082A" w14:textId="77777777" w:rsidR="000F7E56" w:rsidRPr="000F7E56" w:rsidRDefault="000F7E56" w:rsidP="000F7E56">
            <w:pPr>
              <w:spacing w:after="120"/>
              <w:rPr>
                <w:rFonts w:ascii="Calibri" w:eastAsia="Calibri" w:hAnsi="Calibri" w:cs="Times New Roman"/>
              </w:rPr>
            </w:pPr>
            <w:r w:rsidRPr="000F7E56">
              <w:rPr>
                <w:rFonts w:ascii="Calibri" w:eastAsia="Calibri" w:hAnsi="Calibri" w:cs="Times New Roman"/>
              </w:rPr>
              <w:t>Workshop</w:t>
            </w:r>
          </w:p>
        </w:tc>
        <w:tc>
          <w:tcPr>
            <w:tcW w:w="609" w:type="dxa"/>
            <w:noWrap/>
            <w:hideMark/>
          </w:tcPr>
          <w:p w14:paraId="55B9FDBC" w14:textId="77777777" w:rsidR="000F7E56" w:rsidRPr="000F7E56" w:rsidRDefault="000F7E56" w:rsidP="000F7E56">
            <w:pPr>
              <w:spacing w:after="120"/>
              <w:rPr>
                <w:rFonts w:ascii="Calibri" w:eastAsia="Calibri" w:hAnsi="Calibri" w:cs="Times New Roman"/>
              </w:rPr>
            </w:pPr>
            <w:r w:rsidRPr="000F7E56">
              <w:rPr>
                <w:rFonts w:ascii="Calibri" w:eastAsia="Calibri" w:hAnsi="Calibri" w:cs="Times New Roman"/>
              </w:rPr>
              <w:t>36</w:t>
            </w:r>
          </w:p>
        </w:tc>
        <w:tc>
          <w:tcPr>
            <w:tcW w:w="533" w:type="dxa"/>
            <w:noWrap/>
            <w:hideMark/>
          </w:tcPr>
          <w:p w14:paraId="5B480444" w14:textId="77777777" w:rsidR="000F7E56" w:rsidRPr="000F7E56" w:rsidRDefault="000F7E56" w:rsidP="000F7E56">
            <w:pPr>
              <w:spacing w:after="120"/>
              <w:rPr>
                <w:rFonts w:ascii="Calibri" w:eastAsia="Calibri" w:hAnsi="Calibri" w:cs="Times New Roman"/>
              </w:rPr>
            </w:pPr>
            <w:r w:rsidRPr="000F7E56">
              <w:rPr>
                <w:rFonts w:ascii="Calibri" w:eastAsia="Calibri" w:hAnsi="Calibri" w:cs="Times New Roman"/>
              </w:rPr>
              <w:t>F</w:t>
            </w:r>
          </w:p>
        </w:tc>
        <w:tc>
          <w:tcPr>
            <w:tcW w:w="2201" w:type="dxa"/>
            <w:noWrap/>
            <w:hideMark/>
          </w:tcPr>
          <w:p w14:paraId="74D87EEA" w14:textId="77777777" w:rsidR="000F7E56" w:rsidRPr="000F7E56" w:rsidRDefault="000F7E56" w:rsidP="000F7E56">
            <w:pPr>
              <w:spacing w:after="120"/>
              <w:rPr>
                <w:rFonts w:ascii="Calibri" w:eastAsia="Calibri" w:hAnsi="Calibri" w:cs="Times New Roman"/>
              </w:rPr>
            </w:pPr>
            <w:r w:rsidRPr="000F7E56">
              <w:rPr>
                <w:rFonts w:ascii="Calibri" w:eastAsia="Calibri" w:hAnsi="Calibri" w:cs="Times New Roman"/>
              </w:rPr>
              <w:t>Pakistani</w:t>
            </w:r>
          </w:p>
        </w:tc>
        <w:tc>
          <w:tcPr>
            <w:tcW w:w="2127" w:type="dxa"/>
            <w:noWrap/>
            <w:hideMark/>
          </w:tcPr>
          <w:p w14:paraId="3089CB86" w14:textId="77777777" w:rsidR="000F7E56" w:rsidRPr="000F7E56" w:rsidRDefault="000F7E56" w:rsidP="000F7E56">
            <w:pPr>
              <w:spacing w:after="120"/>
              <w:rPr>
                <w:rFonts w:ascii="Calibri" w:eastAsia="Calibri" w:hAnsi="Calibri" w:cs="Times New Roman"/>
              </w:rPr>
            </w:pPr>
            <w:r w:rsidRPr="000F7E56">
              <w:rPr>
                <w:rFonts w:ascii="Calibri" w:eastAsia="Calibri" w:hAnsi="Calibri" w:cs="Times New Roman"/>
              </w:rPr>
              <w:t>UK</w:t>
            </w:r>
          </w:p>
        </w:tc>
        <w:tc>
          <w:tcPr>
            <w:tcW w:w="1984" w:type="dxa"/>
            <w:noWrap/>
            <w:hideMark/>
          </w:tcPr>
          <w:p w14:paraId="3151988A" w14:textId="77777777" w:rsidR="000F7E56" w:rsidRPr="000F7E56" w:rsidRDefault="000F7E56" w:rsidP="000F7E56">
            <w:pPr>
              <w:spacing w:after="120"/>
              <w:rPr>
                <w:rFonts w:ascii="Calibri" w:eastAsia="Calibri" w:hAnsi="Calibri" w:cs="Times New Roman"/>
              </w:rPr>
            </w:pPr>
            <w:r w:rsidRPr="000F7E56">
              <w:rPr>
                <w:rFonts w:ascii="Calibri" w:eastAsia="Calibri" w:hAnsi="Calibri" w:cs="Times New Roman"/>
              </w:rPr>
              <w:t>Africa &amp; Pakistani</w:t>
            </w:r>
          </w:p>
        </w:tc>
        <w:tc>
          <w:tcPr>
            <w:tcW w:w="1559" w:type="dxa"/>
            <w:noWrap/>
            <w:hideMark/>
          </w:tcPr>
          <w:p w14:paraId="2255BD34" w14:textId="77777777" w:rsidR="000F7E56" w:rsidRPr="000F7E56" w:rsidRDefault="000F7E56" w:rsidP="000F7E56">
            <w:pPr>
              <w:spacing w:after="120"/>
              <w:rPr>
                <w:rFonts w:ascii="Calibri" w:eastAsia="Calibri" w:hAnsi="Calibri" w:cs="Times New Roman"/>
              </w:rPr>
            </w:pPr>
            <w:r w:rsidRPr="000F7E56">
              <w:rPr>
                <w:rFonts w:ascii="Calibri" w:eastAsia="Calibri" w:hAnsi="Calibri" w:cs="Times New Roman"/>
              </w:rPr>
              <w:t>Muslim</w:t>
            </w:r>
          </w:p>
        </w:tc>
        <w:tc>
          <w:tcPr>
            <w:tcW w:w="1843" w:type="dxa"/>
            <w:noWrap/>
            <w:hideMark/>
          </w:tcPr>
          <w:p w14:paraId="4E4829EA" w14:textId="77777777" w:rsidR="000F7E56" w:rsidRPr="000F7E56" w:rsidRDefault="000F7E56" w:rsidP="000F7E56">
            <w:pPr>
              <w:spacing w:after="120"/>
              <w:rPr>
                <w:rFonts w:ascii="Calibri" w:eastAsia="Calibri" w:hAnsi="Calibri" w:cs="Times New Roman"/>
              </w:rPr>
            </w:pPr>
            <w:r w:rsidRPr="000F7E56">
              <w:rPr>
                <w:rFonts w:ascii="Calibri" w:eastAsia="Calibri" w:hAnsi="Calibri" w:cs="Times New Roman"/>
              </w:rPr>
              <w:t>A - Level</w:t>
            </w:r>
          </w:p>
        </w:tc>
      </w:tr>
      <w:tr w:rsidR="000F7E56" w:rsidRPr="000F7E56" w14:paraId="25B84101" w14:textId="77777777" w:rsidTr="00966DB7">
        <w:trPr>
          <w:trHeight w:val="280"/>
        </w:trPr>
        <w:tc>
          <w:tcPr>
            <w:tcW w:w="2704" w:type="dxa"/>
            <w:noWrap/>
            <w:hideMark/>
          </w:tcPr>
          <w:p w14:paraId="6C07EBF5" w14:textId="77777777" w:rsidR="000F7E56" w:rsidRPr="000F7E56" w:rsidRDefault="000F7E56" w:rsidP="000F7E56">
            <w:pPr>
              <w:spacing w:after="120"/>
              <w:rPr>
                <w:rFonts w:ascii="Calibri" w:eastAsia="Calibri" w:hAnsi="Calibri" w:cs="Times New Roman"/>
              </w:rPr>
            </w:pPr>
            <w:r w:rsidRPr="000F7E56">
              <w:rPr>
                <w:rFonts w:ascii="Calibri" w:eastAsia="Calibri" w:hAnsi="Calibri" w:cs="Times New Roman"/>
              </w:rPr>
              <w:t xml:space="preserve">Lay </w:t>
            </w:r>
          </w:p>
        </w:tc>
        <w:tc>
          <w:tcPr>
            <w:tcW w:w="1608" w:type="dxa"/>
          </w:tcPr>
          <w:p w14:paraId="06F41755" w14:textId="77777777" w:rsidR="000F7E56" w:rsidRPr="000F7E56" w:rsidRDefault="000F7E56" w:rsidP="000F7E56">
            <w:pPr>
              <w:spacing w:after="120"/>
              <w:rPr>
                <w:rFonts w:ascii="Calibri" w:eastAsia="Calibri" w:hAnsi="Calibri" w:cs="Times New Roman"/>
              </w:rPr>
            </w:pPr>
            <w:r w:rsidRPr="000F7E56">
              <w:rPr>
                <w:rFonts w:ascii="Calibri" w:eastAsia="Calibri" w:hAnsi="Calibri" w:cs="Times New Roman"/>
              </w:rPr>
              <w:t>Workshop</w:t>
            </w:r>
          </w:p>
        </w:tc>
        <w:tc>
          <w:tcPr>
            <w:tcW w:w="609" w:type="dxa"/>
            <w:noWrap/>
            <w:hideMark/>
          </w:tcPr>
          <w:p w14:paraId="5D2FDF22" w14:textId="77777777" w:rsidR="000F7E56" w:rsidRPr="000F7E56" w:rsidRDefault="000F7E56" w:rsidP="000F7E56">
            <w:pPr>
              <w:spacing w:after="120"/>
              <w:rPr>
                <w:rFonts w:ascii="Calibri" w:eastAsia="Calibri" w:hAnsi="Calibri" w:cs="Times New Roman"/>
              </w:rPr>
            </w:pPr>
            <w:r w:rsidRPr="000F7E56">
              <w:rPr>
                <w:rFonts w:ascii="Calibri" w:eastAsia="Calibri" w:hAnsi="Calibri" w:cs="Times New Roman"/>
              </w:rPr>
              <w:t>64</w:t>
            </w:r>
          </w:p>
        </w:tc>
        <w:tc>
          <w:tcPr>
            <w:tcW w:w="533" w:type="dxa"/>
            <w:noWrap/>
            <w:hideMark/>
          </w:tcPr>
          <w:p w14:paraId="10901197" w14:textId="77777777" w:rsidR="000F7E56" w:rsidRPr="000F7E56" w:rsidRDefault="000F7E56" w:rsidP="000F7E56">
            <w:pPr>
              <w:spacing w:after="120"/>
              <w:rPr>
                <w:rFonts w:ascii="Calibri" w:eastAsia="Calibri" w:hAnsi="Calibri" w:cs="Times New Roman"/>
              </w:rPr>
            </w:pPr>
            <w:r w:rsidRPr="000F7E56">
              <w:rPr>
                <w:rFonts w:ascii="Calibri" w:eastAsia="Calibri" w:hAnsi="Calibri" w:cs="Times New Roman"/>
              </w:rPr>
              <w:t>M</w:t>
            </w:r>
          </w:p>
        </w:tc>
        <w:tc>
          <w:tcPr>
            <w:tcW w:w="2201" w:type="dxa"/>
            <w:noWrap/>
            <w:hideMark/>
          </w:tcPr>
          <w:p w14:paraId="01FF9976" w14:textId="77777777" w:rsidR="000F7E56" w:rsidRPr="000F7E56" w:rsidRDefault="000F7E56" w:rsidP="000F7E56">
            <w:pPr>
              <w:spacing w:after="120"/>
              <w:rPr>
                <w:rFonts w:ascii="Calibri" w:eastAsia="Calibri" w:hAnsi="Calibri" w:cs="Times New Roman"/>
              </w:rPr>
            </w:pPr>
            <w:r w:rsidRPr="000F7E56">
              <w:rPr>
                <w:rFonts w:ascii="Calibri" w:eastAsia="Calibri" w:hAnsi="Calibri" w:cs="Times New Roman"/>
              </w:rPr>
              <w:t>White</w:t>
            </w:r>
          </w:p>
        </w:tc>
        <w:tc>
          <w:tcPr>
            <w:tcW w:w="2127" w:type="dxa"/>
            <w:noWrap/>
            <w:hideMark/>
          </w:tcPr>
          <w:p w14:paraId="45AF01E8" w14:textId="77777777" w:rsidR="000F7E56" w:rsidRPr="000F7E56" w:rsidRDefault="000F7E56" w:rsidP="000F7E56">
            <w:pPr>
              <w:spacing w:after="120"/>
              <w:rPr>
                <w:rFonts w:ascii="Calibri" w:eastAsia="Calibri" w:hAnsi="Calibri" w:cs="Times New Roman"/>
              </w:rPr>
            </w:pPr>
            <w:r w:rsidRPr="000F7E56">
              <w:rPr>
                <w:rFonts w:ascii="Calibri" w:eastAsia="Calibri" w:hAnsi="Calibri" w:cs="Times New Roman"/>
              </w:rPr>
              <w:t>Netherlands</w:t>
            </w:r>
          </w:p>
        </w:tc>
        <w:tc>
          <w:tcPr>
            <w:tcW w:w="1984" w:type="dxa"/>
            <w:noWrap/>
            <w:hideMark/>
          </w:tcPr>
          <w:p w14:paraId="65E90A68" w14:textId="77777777" w:rsidR="000F7E56" w:rsidRPr="000F7E56" w:rsidRDefault="000F7E56" w:rsidP="000F7E56">
            <w:pPr>
              <w:spacing w:after="120"/>
              <w:rPr>
                <w:rFonts w:ascii="Calibri" w:eastAsia="Calibri" w:hAnsi="Calibri" w:cs="Times New Roman"/>
              </w:rPr>
            </w:pPr>
            <w:r w:rsidRPr="000F7E56">
              <w:rPr>
                <w:rFonts w:ascii="Calibri" w:eastAsia="Calibri" w:hAnsi="Calibri" w:cs="Times New Roman"/>
              </w:rPr>
              <w:t>Netherlands</w:t>
            </w:r>
          </w:p>
        </w:tc>
        <w:tc>
          <w:tcPr>
            <w:tcW w:w="1559" w:type="dxa"/>
            <w:noWrap/>
            <w:hideMark/>
          </w:tcPr>
          <w:p w14:paraId="3841228E" w14:textId="77777777" w:rsidR="000F7E56" w:rsidRPr="000F7E56" w:rsidRDefault="000F7E56" w:rsidP="000F7E56">
            <w:pPr>
              <w:spacing w:after="120"/>
              <w:rPr>
                <w:rFonts w:ascii="Calibri" w:eastAsia="Calibri" w:hAnsi="Calibri" w:cs="Times New Roman"/>
              </w:rPr>
            </w:pPr>
            <w:r w:rsidRPr="000F7E56">
              <w:rPr>
                <w:rFonts w:ascii="Calibri" w:eastAsia="Calibri" w:hAnsi="Calibri" w:cs="Times New Roman"/>
              </w:rPr>
              <w:t>Hare Krishna</w:t>
            </w:r>
          </w:p>
        </w:tc>
        <w:tc>
          <w:tcPr>
            <w:tcW w:w="1843" w:type="dxa"/>
            <w:noWrap/>
            <w:hideMark/>
          </w:tcPr>
          <w:p w14:paraId="35D77535" w14:textId="77777777" w:rsidR="000F7E56" w:rsidRPr="000F7E56" w:rsidRDefault="000F7E56" w:rsidP="000F7E56">
            <w:pPr>
              <w:spacing w:after="120"/>
              <w:rPr>
                <w:rFonts w:ascii="Calibri" w:eastAsia="Calibri" w:hAnsi="Calibri" w:cs="Times New Roman"/>
              </w:rPr>
            </w:pPr>
            <w:r w:rsidRPr="000F7E56">
              <w:rPr>
                <w:rFonts w:ascii="Calibri" w:eastAsia="Calibri" w:hAnsi="Calibri" w:cs="Times New Roman"/>
              </w:rPr>
              <w:t>College</w:t>
            </w:r>
          </w:p>
        </w:tc>
      </w:tr>
      <w:tr w:rsidR="000F7E56" w:rsidRPr="000F7E56" w14:paraId="47F05658" w14:textId="77777777" w:rsidTr="00966DB7">
        <w:trPr>
          <w:trHeight w:val="280"/>
        </w:trPr>
        <w:tc>
          <w:tcPr>
            <w:tcW w:w="2704" w:type="dxa"/>
            <w:noWrap/>
            <w:hideMark/>
          </w:tcPr>
          <w:p w14:paraId="28A29988" w14:textId="77777777" w:rsidR="000F7E56" w:rsidRPr="000F7E56" w:rsidRDefault="000F7E56" w:rsidP="000F7E56">
            <w:pPr>
              <w:spacing w:after="120"/>
              <w:rPr>
                <w:rFonts w:ascii="Calibri" w:eastAsia="Calibri" w:hAnsi="Calibri" w:cs="Times New Roman"/>
              </w:rPr>
            </w:pPr>
            <w:r w:rsidRPr="000F7E56">
              <w:rPr>
                <w:rFonts w:ascii="Calibri" w:eastAsia="Calibri" w:hAnsi="Calibri" w:cs="Times New Roman"/>
              </w:rPr>
              <w:t xml:space="preserve">Lay </w:t>
            </w:r>
          </w:p>
        </w:tc>
        <w:tc>
          <w:tcPr>
            <w:tcW w:w="1608" w:type="dxa"/>
          </w:tcPr>
          <w:p w14:paraId="00E8CBE7" w14:textId="77777777" w:rsidR="000F7E56" w:rsidRPr="000F7E56" w:rsidRDefault="000F7E56" w:rsidP="000F7E56">
            <w:pPr>
              <w:spacing w:after="120"/>
              <w:rPr>
                <w:rFonts w:ascii="Calibri" w:eastAsia="Calibri" w:hAnsi="Calibri" w:cs="Times New Roman"/>
              </w:rPr>
            </w:pPr>
            <w:r w:rsidRPr="000F7E56">
              <w:rPr>
                <w:rFonts w:ascii="Calibri" w:eastAsia="Calibri" w:hAnsi="Calibri" w:cs="Times New Roman"/>
              </w:rPr>
              <w:t>Workshop</w:t>
            </w:r>
          </w:p>
        </w:tc>
        <w:tc>
          <w:tcPr>
            <w:tcW w:w="609" w:type="dxa"/>
            <w:noWrap/>
            <w:hideMark/>
          </w:tcPr>
          <w:p w14:paraId="7DE31A0E" w14:textId="77777777" w:rsidR="000F7E56" w:rsidRPr="000F7E56" w:rsidRDefault="000F7E56" w:rsidP="000F7E56">
            <w:pPr>
              <w:spacing w:after="120"/>
              <w:rPr>
                <w:rFonts w:ascii="Calibri" w:eastAsia="Calibri" w:hAnsi="Calibri" w:cs="Times New Roman"/>
              </w:rPr>
            </w:pPr>
            <w:r w:rsidRPr="000F7E56">
              <w:rPr>
                <w:rFonts w:ascii="Calibri" w:eastAsia="Calibri" w:hAnsi="Calibri" w:cs="Times New Roman"/>
              </w:rPr>
              <w:t>54</w:t>
            </w:r>
          </w:p>
        </w:tc>
        <w:tc>
          <w:tcPr>
            <w:tcW w:w="533" w:type="dxa"/>
            <w:noWrap/>
            <w:hideMark/>
          </w:tcPr>
          <w:p w14:paraId="0C6B93AF" w14:textId="77777777" w:rsidR="000F7E56" w:rsidRPr="000F7E56" w:rsidRDefault="000F7E56" w:rsidP="000F7E56">
            <w:pPr>
              <w:spacing w:after="120"/>
              <w:rPr>
                <w:rFonts w:ascii="Calibri" w:eastAsia="Calibri" w:hAnsi="Calibri" w:cs="Times New Roman"/>
              </w:rPr>
            </w:pPr>
            <w:r w:rsidRPr="000F7E56">
              <w:rPr>
                <w:rFonts w:ascii="Calibri" w:eastAsia="Calibri" w:hAnsi="Calibri" w:cs="Times New Roman"/>
              </w:rPr>
              <w:t>F</w:t>
            </w:r>
          </w:p>
        </w:tc>
        <w:tc>
          <w:tcPr>
            <w:tcW w:w="2201" w:type="dxa"/>
            <w:noWrap/>
            <w:hideMark/>
          </w:tcPr>
          <w:p w14:paraId="160D64B0" w14:textId="77777777" w:rsidR="000F7E56" w:rsidRPr="000F7E56" w:rsidRDefault="000F7E56" w:rsidP="000F7E56">
            <w:pPr>
              <w:spacing w:after="120"/>
              <w:rPr>
                <w:rFonts w:ascii="Calibri" w:eastAsia="Calibri" w:hAnsi="Calibri" w:cs="Times New Roman"/>
              </w:rPr>
            </w:pPr>
            <w:r w:rsidRPr="000F7E56">
              <w:rPr>
                <w:rFonts w:ascii="Calibri" w:eastAsia="Calibri" w:hAnsi="Calibri" w:cs="Times New Roman"/>
              </w:rPr>
              <w:t>Indian</w:t>
            </w:r>
          </w:p>
        </w:tc>
        <w:tc>
          <w:tcPr>
            <w:tcW w:w="2127" w:type="dxa"/>
            <w:noWrap/>
            <w:hideMark/>
          </w:tcPr>
          <w:p w14:paraId="1ADC6BB0" w14:textId="77777777" w:rsidR="000F7E56" w:rsidRPr="000F7E56" w:rsidRDefault="000F7E56" w:rsidP="000F7E56">
            <w:pPr>
              <w:spacing w:after="120"/>
              <w:rPr>
                <w:rFonts w:ascii="Calibri" w:eastAsia="Calibri" w:hAnsi="Calibri" w:cs="Times New Roman"/>
              </w:rPr>
            </w:pPr>
            <w:r w:rsidRPr="000F7E56">
              <w:rPr>
                <w:rFonts w:ascii="Calibri" w:eastAsia="Calibri" w:hAnsi="Calibri" w:cs="Times New Roman"/>
              </w:rPr>
              <w:t>Uganda</w:t>
            </w:r>
          </w:p>
        </w:tc>
        <w:tc>
          <w:tcPr>
            <w:tcW w:w="1984" w:type="dxa"/>
            <w:noWrap/>
            <w:hideMark/>
          </w:tcPr>
          <w:p w14:paraId="151BF7D0" w14:textId="77777777" w:rsidR="000F7E56" w:rsidRPr="000F7E56" w:rsidRDefault="000F7E56" w:rsidP="000F7E56">
            <w:pPr>
              <w:spacing w:after="120"/>
              <w:rPr>
                <w:rFonts w:ascii="Calibri" w:eastAsia="Calibri" w:hAnsi="Calibri" w:cs="Times New Roman"/>
              </w:rPr>
            </w:pPr>
            <w:r w:rsidRPr="000F7E56">
              <w:rPr>
                <w:rFonts w:ascii="Calibri" w:eastAsia="Calibri" w:hAnsi="Calibri" w:cs="Times New Roman"/>
              </w:rPr>
              <w:t>Uganda &amp; India</w:t>
            </w:r>
          </w:p>
        </w:tc>
        <w:tc>
          <w:tcPr>
            <w:tcW w:w="1559" w:type="dxa"/>
            <w:noWrap/>
            <w:hideMark/>
          </w:tcPr>
          <w:p w14:paraId="6CFE94DE" w14:textId="77777777" w:rsidR="000F7E56" w:rsidRPr="000F7E56" w:rsidRDefault="000F7E56" w:rsidP="000F7E56">
            <w:pPr>
              <w:spacing w:after="120"/>
              <w:rPr>
                <w:rFonts w:ascii="Calibri" w:eastAsia="Calibri" w:hAnsi="Calibri" w:cs="Times New Roman"/>
              </w:rPr>
            </w:pPr>
            <w:r w:rsidRPr="000F7E56">
              <w:rPr>
                <w:rFonts w:ascii="Calibri" w:eastAsia="Calibri" w:hAnsi="Calibri" w:cs="Times New Roman"/>
              </w:rPr>
              <w:t>Hindu</w:t>
            </w:r>
          </w:p>
        </w:tc>
        <w:tc>
          <w:tcPr>
            <w:tcW w:w="1843" w:type="dxa"/>
            <w:noWrap/>
            <w:hideMark/>
          </w:tcPr>
          <w:p w14:paraId="7DA1EC3A" w14:textId="77777777" w:rsidR="000F7E56" w:rsidRPr="000F7E56" w:rsidRDefault="000F7E56" w:rsidP="000F7E56">
            <w:pPr>
              <w:spacing w:after="120"/>
              <w:rPr>
                <w:rFonts w:ascii="Calibri" w:eastAsia="Calibri" w:hAnsi="Calibri" w:cs="Times New Roman"/>
              </w:rPr>
            </w:pPr>
            <w:r w:rsidRPr="000F7E56">
              <w:rPr>
                <w:rFonts w:ascii="Calibri" w:eastAsia="Calibri" w:hAnsi="Calibri" w:cs="Times New Roman"/>
              </w:rPr>
              <w:t>Degree</w:t>
            </w:r>
          </w:p>
        </w:tc>
      </w:tr>
      <w:tr w:rsidR="000F7E56" w:rsidRPr="000F7E56" w14:paraId="4A04F725" w14:textId="77777777" w:rsidTr="00966DB7">
        <w:trPr>
          <w:trHeight w:val="280"/>
        </w:trPr>
        <w:tc>
          <w:tcPr>
            <w:tcW w:w="2704" w:type="dxa"/>
            <w:noWrap/>
            <w:hideMark/>
          </w:tcPr>
          <w:p w14:paraId="6A2D4FBF" w14:textId="77777777" w:rsidR="000F7E56" w:rsidRPr="000F7E56" w:rsidRDefault="000F7E56" w:rsidP="000F7E56">
            <w:pPr>
              <w:spacing w:after="120"/>
              <w:rPr>
                <w:rFonts w:ascii="Calibri" w:eastAsia="Calibri" w:hAnsi="Calibri" w:cs="Times New Roman"/>
              </w:rPr>
            </w:pPr>
            <w:r w:rsidRPr="000F7E56">
              <w:rPr>
                <w:rFonts w:ascii="Calibri" w:eastAsia="Calibri" w:hAnsi="Calibri" w:cs="Times New Roman"/>
              </w:rPr>
              <w:t xml:space="preserve">Lay </w:t>
            </w:r>
          </w:p>
        </w:tc>
        <w:tc>
          <w:tcPr>
            <w:tcW w:w="1608" w:type="dxa"/>
          </w:tcPr>
          <w:p w14:paraId="67595429" w14:textId="77777777" w:rsidR="000F7E56" w:rsidRPr="000F7E56" w:rsidRDefault="000F7E56" w:rsidP="000F7E56">
            <w:pPr>
              <w:spacing w:after="120"/>
              <w:rPr>
                <w:rFonts w:ascii="Calibri" w:eastAsia="Calibri" w:hAnsi="Calibri" w:cs="Times New Roman"/>
              </w:rPr>
            </w:pPr>
            <w:r w:rsidRPr="000F7E56">
              <w:rPr>
                <w:rFonts w:ascii="Calibri" w:eastAsia="Calibri" w:hAnsi="Calibri" w:cs="Times New Roman"/>
              </w:rPr>
              <w:t>Workshop</w:t>
            </w:r>
          </w:p>
        </w:tc>
        <w:tc>
          <w:tcPr>
            <w:tcW w:w="609" w:type="dxa"/>
            <w:noWrap/>
            <w:hideMark/>
          </w:tcPr>
          <w:p w14:paraId="68FE99CF" w14:textId="77777777" w:rsidR="000F7E56" w:rsidRPr="000F7E56" w:rsidRDefault="000F7E56" w:rsidP="000F7E56">
            <w:pPr>
              <w:spacing w:after="120"/>
              <w:rPr>
                <w:rFonts w:ascii="Calibri" w:eastAsia="Calibri" w:hAnsi="Calibri" w:cs="Times New Roman"/>
              </w:rPr>
            </w:pPr>
            <w:r w:rsidRPr="000F7E56">
              <w:rPr>
                <w:rFonts w:ascii="Calibri" w:eastAsia="Calibri" w:hAnsi="Calibri" w:cs="Times New Roman"/>
              </w:rPr>
              <w:t>_</w:t>
            </w:r>
          </w:p>
        </w:tc>
        <w:tc>
          <w:tcPr>
            <w:tcW w:w="533" w:type="dxa"/>
            <w:noWrap/>
            <w:hideMark/>
          </w:tcPr>
          <w:p w14:paraId="0A5F9024" w14:textId="77777777" w:rsidR="000F7E56" w:rsidRPr="000F7E56" w:rsidRDefault="000F7E56" w:rsidP="000F7E56">
            <w:pPr>
              <w:spacing w:after="120"/>
              <w:rPr>
                <w:rFonts w:ascii="Calibri" w:eastAsia="Calibri" w:hAnsi="Calibri" w:cs="Times New Roman"/>
              </w:rPr>
            </w:pPr>
            <w:r w:rsidRPr="000F7E56">
              <w:rPr>
                <w:rFonts w:ascii="Calibri" w:eastAsia="Calibri" w:hAnsi="Calibri" w:cs="Times New Roman"/>
              </w:rPr>
              <w:t>F</w:t>
            </w:r>
          </w:p>
        </w:tc>
        <w:tc>
          <w:tcPr>
            <w:tcW w:w="2201" w:type="dxa"/>
            <w:noWrap/>
            <w:hideMark/>
          </w:tcPr>
          <w:p w14:paraId="0F2964D0" w14:textId="77777777" w:rsidR="000F7E56" w:rsidRPr="000F7E56" w:rsidRDefault="000F7E56" w:rsidP="000F7E56">
            <w:pPr>
              <w:spacing w:after="120"/>
              <w:rPr>
                <w:rFonts w:ascii="Calibri" w:eastAsia="Calibri" w:hAnsi="Calibri" w:cs="Times New Roman"/>
              </w:rPr>
            </w:pPr>
            <w:r w:rsidRPr="000F7E56">
              <w:rPr>
                <w:rFonts w:ascii="Calibri" w:eastAsia="Calibri" w:hAnsi="Calibri" w:cs="Times New Roman"/>
              </w:rPr>
              <w:t>British Sikh</w:t>
            </w:r>
          </w:p>
        </w:tc>
        <w:tc>
          <w:tcPr>
            <w:tcW w:w="2127" w:type="dxa"/>
            <w:noWrap/>
            <w:hideMark/>
          </w:tcPr>
          <w:p w14:paraId="420D27B9" w14:textId="77777777" w:rsidR="000F7E56" w:rsidRPr="000F7E56" w:rsidRDefault="000F7E56" w:rsidP="000F7E56">
            <w:pPr>
              <w:spacing w:after="120"/>
              <w:rPr>
                <w:rFonts w:ascii="Calibri" w:eastAsia="Calibri" w:hAnsi="Calibri" w:cs="Times New Roman"/>
              </w:rPr>
            </w:pPr>
            <w:r w:rsidRPr="000F7E56">
              <w:rPr>
                <w:rFonts w:ascii="Calibri" w:eastAsia="Calibri" w:hAnsi="Calibri" w:cs="Times New Roman"/>
              </w:rPr>
              <w:t>_</w:t>
            </w:r>
          </w:p>
        </w:tc>
        <w:tc>
          <w:tcPr>
            <w:tcW w:w="1984" w:type="dxa"/>
            <w:noWrap/>
            <w:hideMark/>
          </w:tcPr>
          <w:p w14:paraId="0DB9CBD6" w14:textId="77777777" w:rsidR="000F7E56" w:rsidRPr="000F7E56" w:rsidRDefault="000F7E56" w:rsidP="000F7E56">
            <w:pPr>
              <w:spacing w:after="120"/>
              <w:rPr>
                <w:rFonts w:ascii="Calibri" w:eastAsia="Calibri" w:hAnsi="Calibri" w:cs="Times New Roman"/>
              </w:rPr>
            </w:pPr>
            <w:r w:rsidRPr="000F7E56">
              <w:rPr>
                <w:rFonts w:ascii="Calibri" w:eastAsia="Calibri" w:hAnsi="Calibri" w:cs="Times New Roman"/>
              </w:rPr>
              <w:t>_</w:t>
            </w:r>
          </w:p>
        </w:tc>
        <w:tc>
          <w:tcPr>
            <w:tcW w:w="1559" w:type="dxa"/>
            <w:noWrap/>
            <w:hideMark/>
          </w:tcPr>
          <w:p w14:paraId="2BCD8C3D" w14:textId="77777777" w:rsidR="000F7E56" w:rsidRPr="000F7E56" w:rsidRDefault="000F7E56" w:rsidP="000F7E56">
            <w:pPr>
              <w:spacing w:after="120"/>
              <w:rPr>
                <w:rFonts w:ascii="Calibri" w:eastAsia="Calibri" w:hAnsi="Calibri" w:cs="Times New Roman"/>
              </w:rPr>
            </w:pPr>
            <w:r w:rsidRPr="000F7E56">
              <w:rPr>
                <w:rFonts w:ascii="Calibri" w:eastAsia="Calibri" w:hAnsi="Calibri" w:cs="Times New Roman"/>
              </w:rPr>
              <w:t>Sikh</w:t>
            </w:r>
          </w:p>
        </w:tc>
        <w:tc>
          <w:tcPr>
            <w:tcW w:w="1843" w:type="dxa"/>
            <w:noWrap/>
            <w:hideMark/>
          </w:tcPr>
          <w:p w14:paraId="0789BC2E" w14:textId="77777777" w:rsidR="000F7E56" w:rsidRPr="000F7E56" w:rsidRDefault="000F7E56" w:rsidP="000F7E56">
            <w:pPr>
              <w:spacing w:after="120"/>
              <w:rPr>
                <w:rFonts w:ascii="Calibri" w:eastAsia="Calibri" w:hAnsi="Calibri" w:cs="Times New Roman"/>
              </w:rPr>
            </w:pPr>
            <w:r w:rsidRPr="000F7E56">
              <w:rPr>
                <w:rFonts w:ascii="Calibri" w:eastAsia="Calibri" w:hAnsi="Calibri" w:cs="Times New Roman"/>
              </w:rPr>
              <w:t>Diploma</w:t>
            </w:r>
          </w:p>
        </w:tc>
      </w:tr>
      <w:tr w:rsidR="000F7E56" w:rsidRPr="000F7E56" w14:paraId="677D6913" w14:textId="77777777" w:rsidTr="00966DB7">
        <w:trPr>
          <w:trHeight w:val="280"/>
        </w:trPr>
        <w:tc>
          <w:tcPr>
            <w:tcW w:w="2704" w:type="dxa"/>
            <w:noWrap/>
            <w:hideMark/>
          </w:tcPr>
          <w:p w14:paraId="3B8A1664" w14:textId="77777777" w:rsidR="000F7E56" w:rsidRPr="000F7E56" w:rsidRDefault="000F7E56" w:rsidP="000F7E56">
            <w:pPr>
              <w:spacing w:after="120"/>
              <w:rPr>
                <w:rFonts w:ascii="Calibri" w:eastAsia="Calibri" w:hAnsi="Calibri" w:cs="Times New Roman"/>
              </w:rPr>
            </w:pPr>
            <w:r w:rsidRPr="000F7E56">
              <w:rPr>
                <w:rFonts w:ascii="Calibri" w:eastAsia="Calibri" w:hAnsi="Calibri" w:cs="Times New Roman"/>
              </w:rPr>
              <w:t xml:space="preserve">Lay </w:t>
            </w:r>
          </w:p>
        </w:tc>
        <w:tc>
          <w:tcPr>
            <w:tcW w:w="1608" w:type="dxa"/>
          </w:tcPr>
          <w:p w14:paraId="3B89CCE6" w14:textId="77777777" w:rsidR="000F7E56" w:rsidRPr="000F7E56" w:rsidRDefault="000F7E56" w:rsidP="000F7E56">
            <w:pPr>
              <w:spacing w:after="120"/>
              <w:rPr>
                <w:rFonts w:ascii="Calibri" w:eastAsia="Calibri" w:hAnsi="Calibri" w:cs="Times New Roman"/>
              </w:rPr>
            </w:pPr>
            <w:r w:rsidRPr="000F7E56">
              <w:rPr>
                <w:rFonts w:ascii="Calibri" w:eastAsia="Calibri" w:hAnsi="Calibri" w:cs="Times New Roman"/>
              </w:rPr>
              <w:t>Workshop</w:t>
            </w:r>
          </w:p>
        </w:tc>
        <w:tc>
          <w:tcPr>
            <w:tcW w:w="609" w:type="dxa"/>
            <w:noWrap/>
            <w:hideMark/>
          </w:tcPr>
          <w:p w14:paraId="308673D7" w14:textId="77777777" w:rsidR="000F7E56" w:rsidRPr="000F7E56" w:rsidRDefault="000F7E56" w:rsidP="000F7E56">
            <w:pPr>
              <w:spacing w:after="120"/>
              <w:rPr>
                <w:rFonts w:ascii="Calibri" w:eastAsia="Calibri" w:hAnsi="Calibri" w:cs="Times New Roman"/>
              </w:rPr>
            </w:pPr>
            <w:r w:rsidRPr="000F7E56">
              <w:rPr>
                <w:rFonts w:ascii="Calibri" w:eastAsia="Calibri" w:hAnsi="Calibri" w:cs="Times New Roman"/>
              </w:rPr>
              <w:t>66</w:t>
            </w:r>
          </w:p>
        </w:tc>
        <w:tc>
          <w:tcPr>
            <w:tcW w:w="533" w:type="dxa"/>
            <w:noWrap/>
            <w:hideMark/>
          </w:tcPr>
          <w:p w14:paraId="3116C23E" w14:textId="77777777" w:rsidR="000F7E56" w:rsidRPr="000F7E56" w:rsidRDefault="000F7E56" w:rsidP="000F7E56">
            <w:pPr>
              <w:spacing w:after="120"/>
              <w:rPr>
                <w:rFonts w:ascii="Calibri" w:eastAsia="Calibri" w:hAnsi="Calibri" w:cs="Times New Roman"/>
              </w:rPr>
            </w:pPr>
            <w:r w:rsidRPr="000F7E56">
              <w:rPr>
                <w:rFonts w:ascii="Calibri" w:eastAsia="Calibri" w:hAnsi="Calibri" w:cs="Times New Roman"/>
              </w:rPr>
              <w:t>F</w:t>
            </w:r>
          </w:p>
        </w:tc>
        <w:tc>
          <w:tcPr>
            <w:tcW w:w="2201" w:type="dxa"/>
            <w:noWrap/>
            <w:hideMark/>
          </w:tcPr>
          <w:p w14:paraId="512694C5" w14:textId="77777777" w:rsidR="000F7E56" w:rsidRPr="000F7E56" w:rsidRDefault="000F7E56" w:rsidP="000F7E56">
            <w:pPr>
              <w:spacing w:after="120"/>
              <w:rPr>
                <w:rFonts w:ascii="Calibri" w:eastAsia="Calibri" w:hAnsi="Calibri" w:cs="Times New Roman"/>
              </w:rPr>
            </w:pPr>
            <w:r w:rsidRPr="000F7E56">
              <w:rPr>
                <w:rFonts w:ascii="Calibri" w:eastAsia="Calibri" w:hAnsi="Calibri" w:cs="Times New Roman"/>
              </w:rPr>
              <w:t>White</w:t>
            </w:r>
          </w:p>
        </w:tc>
        <w:tc>
          <w:tcPr>
            <w:tcW w:w="2127" w:type="dxa"/>
            <w:noWrap/>
            <w:hideMark/>
          </w:tcPr>
          <w:p w14:paraId="50263803" w14:textId="77777777" w:rsidR="000F7E56" w:rsidRPr="000F7E56" w:rsidRDefault="000F7E56" w:rsidP="000F7E56">
            <w:pPr>
              <w:spacing w:after="120"/>
              <w:rPr>
                <w:rFonts w:ascii="Calibri" w:eastAsia="Calibri" w:hAnsi="Calibri" w:cs="Times New Roman"/>
              </w:rPr>
            </w:pPr>
            <w:r w:rsidRPr="000F7E56">
              <w:rPr>
                <w:rFonts w:ascii="Calibri" w:eastAsia="Calibri" w:hAnsi="Calibri" w:cs="Times New Roman"/>
              </w:rPr>
              <w:t>Italy</w:t>
            </w:r>
          </w:p>
        </w:tc>
        <w:tc>
          <w:tcPr>
            <w:tcW w:w="1984" w:type="dxa"/>
            <w:noWrap/>
            <w:hideMark/>
          </w:tcPr>
          <w:p w14:paraId="653F9AE3" w14:textId="77777777" w:rsidR="000F7E56" w:rsidRPr="000F7E56" w:rsidRDefault="000F7E56" w:rsidP="000F7E56">
            <w:pPr>
              <w:spacing w:after="120"/>
              <w:rPr>
                <w:rFonts w:ascii="Calibri" w:eastAsia="Calibri" w:hAnsi="Calibri" w:cs="Times New Roman"/>
              </w:rPr>
            </w:pPr>
            <w:r w:rsidRPr="000F7E56">
              <w:rPr>
                <w:rFonts w:ascii="Calibri" w:eastAsia="Calibri" w:hAnsi="Calibri" w:cs="Times New Roman"/>
              </w:rPr>
              <w:t>Italy</w:t>
            </w:r>
          </w:p>
        </w:tc>
        <w:tc>
          <w:tcPr>
            <w:tcW w:w="1559" w:type="dxa"/>
            <w:noWrap/>
            <w:hideMark/>
          </w:tcPr>
          <w:p w14:paraId="5425E176" w14:textId="77777777" w:rsidR="000F7E56" w:rsidRPr="000F7E56" w:rsidRDefault="000F7E56" w:rsidP="000F7E56">
            <w:pPr>
              <w:spacing w:after="120"/>
              <w:rPr>
                <w:rFonts w:ascii="Calibri" w:eastAsia="Calibri" w:hAnsi="Calibri" w:cs="Times New Roman"/>
              </w:rPr>
            </w:pPr>
            <w:r w:rsidRPr="000F7E56">
              <w:rPr>
                <w:rFonts w:ascii="Calibri" w:eastAsia="Calibri" w:hAnsi="Calibri" w:cs="Times New Roman"/>
              </w:rPr>
              <w:t>Catholic</w:t>
            </w:r>
          </w:p>
        </w:tc>
        <w:tc>
          <w:tcPr>
            <w:tcW w:w="1843" w:type="dxa"/>
            <w:noWrap/>
            <w:hideMark/>
          </w:tcPr>
          <w:p w14:paraId="4C475464" w14:textId="77777777" w:rsidR="000F7E56" w:rsidRPr="000F7E56" w:rsidRDefault="000F7E56" w:rsidP="000F7E56">
            <w:pPr>
              <w:spacing w:after="120"/>
              <w:rPr>
                <w:rFonts w:ascii="Calibri" w:eastAsia="Calibri" w:hAnsi="Calibri" w:cs="Times New Roman"/>
              </w:rPr>
            </w:pPr>
            <w:r w:rsidRPr="000F7E56">
              <w:rPr>
                <w:rFonts w:ascii="Calibri" w:eastAsia="Calibri" w:hAnsi="Calibri" w:cs="Times New Roman"/>
              </w:rPr>
              <w:t>Teacher training</w:t>
            </w:r>
          </w:p>
        </w:tc>
      </w:tr>
      <w:tr w:rsidR="000F7E56" w:rsidRPr="000F7E56" w14:paraId="062B07DB" w14:textId="77777777" w:rsidTr="00966DB7">
        <w:trPr>
          <w:trHeight w:val="280"/>
        </w:trPr>
        <w:tc>
          <w:tcPr>
            <w:tcW w:w="2704" w:type="dxa"/>
            <w:noWrap/>
            <w:hideMark/>
          </w:tcPr>
          <w:p w14:paraId="5134FB8E" w14:textId="77777777" w:rsidR="000F7E56" w:rsidRPr="000F7E56" w:rsidRDefault="000F7E56" w:rsidP="000F7E56">
            <w:pPr>
              <w:spacing w:after="120"/>
              <w:rPr>
                <w:rFonts w:ascii="Calibri" w:eastAsia="Calibri" w:hAnsi="Calibri" w:cs="Times New Roman"/>
              </w:rPr>
            </w:pPr>
            <w:r w:rsidRPr="000F7E56">
              <w:rPr>
                <w:rFonts w:ascii="Calibri" w:eastAsia="Calibri" w:hAnsi="Calibri" w:cs="Times New Roman"/>
              </w:rPr>
              <w:t xml:space="preserve">Lay </w:t>
            </w:r>
          </w:p>
        </w:tc>
        <w:tc>
          <w:tcPr>
            <w:tcW w:w="1608" w:type="dxa"/>
          </w:tcPr>
          <w:p w14:paraId="78A367E0" w14:textId="77777777" w:rsidR="000F7E56" w:rsidRPr="000F7E56" w:rsidRDefault="000F7E56" w:rsidP="000F7E56">
            <w:pPr>
              <w:spacing w:after="120"/>
              <w:rPr>
                <w:rFonts w:ascii="Calibri" w:eastAsia="Calibri" w:hAnsi="Calibri" w:cs="Times New Roman"/>
              </w:rPr>
            </w:pPr>
            <w:r w:rsidRPr="000F7E56">
              <w:rPr>
                <w:rFonts w:ascii="Calibri" w:eastAsia="Calibri" w:hAnsi="Calibri" w:cs="Times New Roman"/>
              </w:rPr>
              <w:t>Workbook</w:t>
            </w:r>
          </w:p>
        </w:tc>
        <w:tc>
          <w:tcPr>
            <w:tcW w:w="609" w:type="dxa"/>
            <w:noWrap/>
            <w:hideMark/>
          </w:tcPr>
          <w:p w14:paraId="2FD4EECB" w14:textId="77777777" w:rsidR="000F7E56" w:rsidRPr="000F7E56" w:rsidRDefault="000F7E56" w:rsidP="000F7E56">
            <w:pPr>
              <w:spacing w:after="120"/>
              <w:rPr>
                <w:rFonts w:ascii="Calibri" w:eastAsia="Calibri" w:hAnsi="Calibri" w:cs="Times New Roman"/>
              </w:rPr>
            </w:pPr>
            <w:r w:rsidRPr="000F7E56">
              <w:rPr>
                <w:rFonts w:ascii="Calibri" w:eastAsia="Calibri" w:hAnsi="Calibri" w:cs="Times New Roman"/>
              </w:rPr>
              <w:t>66</w:t>
            </w:r>
          </w:p>
        </w:tc>
        <w:tc>
          <w:tcPr>
            <w:tcW w:w="533" w:type="dxa"/>
            <w:noWrap/>
            <w:hideMark/>
          </w:tcPr>
          <w:p w14:paraId="16D9A350" w14:textId="77777777" w:rsidR="000F7E56" w:rsidRPr="000F7E56" w:rsidRDefault="000F7E56" w:rsidP="000F7E56">
            <w:pPr>
              <w:spacing w:after="120"/>
              <w:rPr>
                <w:rFonts w:ascii="Calibri" w:eastAsia="Calibri" w:hAnsi="Calibri" w:cs="Times New Roman"/>
              </w:rPr>
            </w:pPr>
            <w:r w:rsidRPr="000F7E56">
              <w:rPr>
                <w:rFonts w:ascii="Calibri" w:eastAsia="Calibri" w:hAnsi="Calibri" w:cs="Times New Roman"/>
              </w:rPr>
              <w:t>M</w:t>
            </w:r>
          </w:p>
        </w:tc>
        <w:tc>
          <w:tcPr>
            <w:tcW w:w="2201" w:type="dxa"/>
            <w:noWrap/>
            <w:hideMark/>
          </w:tcPr>
          <w:p w14:paraId="365AE511" w14:textId="77777777" w:rsidR="000F7E56" w:rsidRPr="000F7E56" w:rsidRDefault="000F7E56" w:rsidP="000F7E56">
            <w:pPr>
              <w:spacing w:after="120"/>
              <w:rPr>
                <w:rFonts w:ascii="Calibri" w:eastAsia="Calibri" w:hAnsi="Calibri" w:cs="Times New Roman"/>
              </w:rPr>
            </w:pPr>
            <w:r w:rsidRPr="000F7E56">
              <w:rPr>
                <w:rFonts w:ascii="Calibri" w:eastAsia="Calibri" w:hAnsi="Calibri" w:cs="Times New Roman"/>
              </w:rPr>
              <w:t>Indian</w:t>
            </w:r>
          </w:p>
        </w:tc>
        <w:tc>
          <w:tcPr>
            <w:tcW w:w="2127" w:type="dxa"/>
            <w:noWrap/>
            <w:hideMark/>
          </w:tcPr>
          <w:p w14:paraId="58128F12" w14:textId="77777777" w:rsidR="000F7E56" w:rsidRPr="000F7E56" w:rsidRDefault="000F7E56" w:rsidP="000F7E56">
            <w:pPr>
              <w:spacing w:after="120"/>
              <w:rPr>
                <w:rFonts w:ascii="Calibri" w:eastAsia="Calibri" w:hAnsi="Calibri" w:cs="Times New Roman"/>
              </w:rPr>
            </w:pPr>
            <w:r w:rsidRPr="000F7E56">
              <w:rPr>
                <w:rFonts w:ascii="Calibri" w:eastAsia="Calibri" w:hAnsi="Calibri" w:cs="Times New Roman"/>
              </w:rPr>
              <w:t>India</w:t>
            </w:r>
          </w:p>
        </w:tc>
        <w:tc>
          <w:tcPr>
            <w:tcW w:w="1984" w:type="dxa"/>
            <w:noWrap/>
            <w:hideMark/>
          </w:tcPr>
          <w:p w14:paraId="5B0793D5" w14:textId="77777777" w:rsidR="000F7E56" w:rsidRPr="000F7E56" w:rsidRDefault="000F7E56" w:rsidP="000F7E56">
            <w:pPr>
              <w:spacing w:after="120"/>
              <w:rPr>
                <w:rFonts w:ascii="Calibri" w:eastAsia="Calibri" w:hAnsi="Calibri" w:cs="Times New Roman"/>
              </w:rPr>
            </w:pPr>
            <w:r w:rsidRPr="000F7E56">
              <w:rPr>
                <w:rFonts w:ascii="Calibri" w:eastAsia="Calibri" w:hAnsi="Calibri" w:cs="Times New Roman"/>
              </w:rPr>
              <w:t>India &amp; India</w:t>
            </w:r>
          </w:p>
        </w:tc>
        <w:tc>
          <w:tcPr>
            <w:tcW w:w="1559" w:type="dxa"/>
            <w:noWrap/>
            <w:hideMark/>
          </w:tcPr>
          <w:p w14:paraId="4CBF3A9B" w14:textId="77777777" w:rsidR="000F7E56" w:rsidRPr="000F7E56" w:rsidRDefault="000F7E56" w:rsidP="000F7E56">
            <w:pPr>
              <w:spacing w:after="120"/>
              <w:rPr>
                <w:rFonts w:ascii="Calibri" w:eastAsia="Calibri" w:hAnsi="Calibri" w:cs="Times New Roman"/>
              </w:rPr>
            </w:pPr>
            <w:r w:rsidRPr="000F7E56">
              <w:rPr>
                <w:rFonts w:ascii="Calibri" w:eastAsia="Calibri" w:hAnsi="Calibri" w:cs="Times New Roman"/>
              </w:rPr>
              <w:t>Hindu</w:t>
            </w:r>
          </w:p>
        </w:tc>
        <w:tc>
          <w:tcPr>
            <w:tcW w:w="1843" w:type="dxa"/>
            <w:noWrap/>
            <w:hideMark/>
          </w:tcPr>
          <w:p w14:paraId="5F38192F" w14:textId="77777777" w:rsidR="000F7E56" w:rsidRPr="000F7E56" w:rsidRDefault="000F7E56" w:rsidP="000F7E56">
            <w:pPr>
              <w:spacing w:after="120"/>
              <w:rPr>
                <w:rFonts w:ascii="Calibri" w:eastAsia="Calibri" w:hAnsi="Calibri" w:cs="Times New Roman"/>
              </w:rPr>
            </w:pPr>
            <w:r w:rsidRPr="000F7E56">
              <w:rPr>
                <w:rFonts w:ascii="Calibri" w:eastAsia="Calibri" w:hAnsi="Calibri" w:cs="Times New Roman"/>
              </w:rPr>
              <w:t>GCSE/O level</w:t>
            </w:r>
          </w:p>
        </w:tc>
      </w:tr>
      <w:tr w:rsidR="000F7E56" w:rsidRPr="000F7E56" w14:paraId="304868E3" w14:textId="77777777" w:rsidTr="00966DB7">
        <w:trPr>
          <w:trHeight w:val="280"/>
        </w:trPr>
        <w:tc>
          <w:tcPr>
            <w:tcW w:w="2704" w:type="dxa"/>
            <w:noWrap/>
            <w:hideMark/>
          </w:tcPr>
          <w:p w14:paraId="3BD8FFA0" w14:textId="77777777" w:rsidR="000F7E56" w:rsidRPr="000F7E56" w:rsidRDefault="000F7E56" w:rsidP="000F7E56">
            <w:pPr>
              <w:spacing w:after="120"/>
              <w:rPr>
                <w:rFonts w:ascii="Calibri" w:eastAsia="Calibri" w:hAnsi="Calibri" w:cs="Times New Roman"/>
              </w:rPr>
            </w:pPr>
            <w:r w:rsidRPr="000F7E56">
              <w:rPr>
                <w:rFonts w:ascii="Calibri" w:eastAsia="Calibri" w:hAnsi="Calibri" w:cs="Times New Roman"/>
              </w:rPr>
              <w:t xml:space="preserve">Lay </w:t>
            </w:r>
          </w:p>
        </w:tc>
        <w:tc>
          <w:tcPr>
            <w:tcW w:w="1608" w:type="dxa"/>
          </w:tcPr>
          <w:p w14:paraId="0ED37744" w14:textId="77777777" w:rsidR="000F7E56" w:rsidRPr="000F7E56" w:rsidRDefault="000F7E56" w:rsidP="000F7E56">
            <w:pPr>
              <w:spacing w:after="120"/>
              <w:rPr>
                <w:rFonts w:ascii="Calibri" w:eastAsia="Calibri" w:hAnsi="Calibri" w:cs="Times New Roman"/>
              </w:rPr>
            </w:pPr>
            <w:r w:rsidRPr="000F7E56">
              <w:rPr>
                <w:rFonts w:ascii="Calibri" w:eastAsia="Calibri" w:hAnsi="Calibri" w:cs="Times New Roman"/>
              </w:rPr>
              <w:t>Workbook</w:t>
            </w:r>
          </w:p>
        </w:tc>
        <w:tc>
          <w:tcPr>
            <w:tcW w:w="609" w:type="dxa"/>
            <w:noWrap/>
            <w:hideMark/>
          </w:tcPr>
          <w:p w14:paraId="619332E2" w14:textId="77777777" w:rsidR="000F7E56" w:rsidRPr="000F7E56" w:rsidRDefault="000F7E56" w:rsidP="000F7E56">
            <w:pPr>
              <w:spacing w:after="120"/>
              <w:rPr>
                <w:rFonts w:ascii="Calibri" w:eastAsia="Calibri" w:hAnsi="Calibri" w:cs="Times New Roman"/>
              </w:rPr>
            </w:pPr>
            <w:r w:rsidRPr="000F7E56">
              <w:rPr>
                <w:rFonts w:ascii="Calibri" w:eastAsia="Calibri" w:hAnsi="Calibri" w:cs="Times New Roman"/>
              </w:rPr>
              <w:t>63</w:t>
            </w:r>
          </w:p>
        </w:tc>
        <w:tc>
          <w:tcPr>
            <w:tcW w:w="533" w:type="dxa"/>
            <w:noWrap/>
            <w:hideMark/>
          </w:tcPr>
          <w:p w14:paraId="6713F75E" w14:textId="77777777" w:rsidR="000F7E56" w:rsidRPr="000F7E56" w:rsidRDefault="000F7E56" w:rsidP="000F7E56">
            <w:pPr>
              <w:spacing w:after="120"/>
              <w:rPr>
                <w:rFonts w:ascii="Calibri" w:eastAsia="Calibri" w:hAnsi="Calibri" w:cs="Times New Roman"/>
              </w:rPr>
            </w:pPr>
            <w:r w:rsidRPr="000F7E56">
              <w:rPr>
                <w:rFonts w:ascii="Calibri" w:eastAsia="Calibri" w:hAnsi="Calibri" w:cs="Times New Roman"/>
              </w:rPr>
              <w:t>F</w:t>
            </w:r>
          </w:p>
        </w:tc>
        <w:tc>
          <w:tcPr>
            <w:tcW w:w="2201" w:type="dxa"/>
            <w:noWrap/>
            <w:hideMark/>
          </w:tcPr>
          <w:p w14:paraId="0405C73D" w14:textId="77777777" w:rsidR="000F7E56" w:rsidRPr="000F7E56" w:rsidRDefault="000F7E56" w:rsidP="000F7E56">
            <w:pPr>
              <w:spacing w:after="120"/>
              <w:rPr>
                <w:rFonts w:ascii="Calibri" w:eastAsia="Calibri" w:hAnsi="Calibri" w:cs="Times New Roman"/>
              </w:rPr>
            </w:pPr>
            <w:r w:rsidRPr="000F7E56">
              <w:rPr>
                <w:rFonts w:ascii="Calibri" w:eastAsia="Calibri" w:hAnsi="Calibri" w:cs="Times New Roman"/>
              </w:rPr>
              <w:t>Asian</w:t>
            </w:r>
          </w:p>
        </w:tc>
        <w:tc>
          <w:tcPr>
            <w:tcW w:w="2127" w:type="dxa"/>
            <w:noWrap/>
            <w:hideMark/>
          </w:tcPr>
          <w:p w14:paraId="6CB92CD3" w14:textId="77777777" w:rsidR="000F7E56" w:rsidRPr="000F7E56" w:rsidRDefault="000F7E56" w:rsidP="000F7E56">
            <w:pPr>
              <w:spacing w:after="120"/>
              <w:rPr>
                <w:rFonts w:ascii="Calibri" w:eastAsia="Calibri" w:hAnsi="Calibri" w:cs="Times New Roman"/>
              </w:rPr>
            </w:pPr>
            <w:r w:rsidRPr="000F7E56">
              <w:rPr>
                <w:rFonts w:ascii="Calibri" w:eastAsia="Calibri" w:hAnsi="Calibri" w:cs="Times New Roman"/>
              </w:rPr>
              <w:t>Kenya</w:t>
            </w:r>
          </w:p>
        </w:tc>
        <w:tc>
          <w:tcPr>
            <w:tcW w:w="1984" w:type="dxa"/>
            <w:noWrap/>
            <w:hideMark/>
          </w:tcPr>
          <w:p w14:paraId="16F9874D" w14:textId="77777777" w:rsidR="000F7E56" w:rsidRPr="000F7E56" w:rsidRDefault="000F7E56" w:rsidP="000F7E56">
            <w:pPr>
              <w:spacing w:after="120"/>
              <w:rPr>
                <w:rFonts w:ascii="Calibri" w:eastAsia="Calibri" w:hAnsi="Calibri" w:cs="Times New Roman"/>
              </w:rPr>
            </w:pPr>
            <w:r w:rsidRPr="000F7E56">
              <w:rPr>
                <w:rFonts w:ascii="Calibri" w:eastAsia="Calibri" w:hAnsi="Calibri" w:cs="Times New Roman"/>
              </w:rPr>
              <w:t>India &amp; Kenya</w:t>
            </w:r>
          </w:p>
        </w:tc>
        <w:tc>
          <w:tcPr>
            <w:tcW w:w="1559" w:type="dxa"/>
            <w:noWrap/>
            <w:hideMark/>
          </w:tcPr>
          <w:p w14:paraId="7DC85722" w14:textId="77777777" w:rsidR="000F7E56" w:rsidRPr="000F7E56" w:rsidRDefault="000F7E56" w:rsidP="000F7E56">
            <w:pPr>
              <w:spacing w:after="120"/>
              <w:rPr>
                <w:rFonts w:ascii="Calibri" w:eastAsia="Calibri" w:hAnsi="Calibri" w:cs="Times New Roman"/>
              </w:rPr>
            </w:pPr>
            <w:r w:rsidRPr="000F7E56">
              <w:rPr>
                <w:rFonts w:ascii="Calibri" w:eastAsia="Calibri" w:hAnsi="Calibri" w:cs="Times New Roman"/>
              </w:rPr>
              <w:t>Muslim</w:t>
            </w:r>
          </w:p>
        </w:tc>
        <w:tc>
          <w:tcPr>
            <w:tcW w:w="1843" w:type="dxa"/>
            <w:noWrap/>
            <w:hideMark/>
          </w:tcPr>
          <w:p w14:paraId="09C39C1B" w14:textId="77777777" w:rsidR="000F7E56" w:rsidRPr="000F7E56" w:rsidRDefault="000F7E56" w:rsidP="000F7E56">
            <w:pPr>
              <w:spacing w:after="120"/>
              <w:rPr>
                <w:rFonts w:ascii="Calibri" w:eastAsia="Calibri" w:hAnsi="Calibri" w:cs="Times New Roman"/>
              </w:rPr>
            </w:pPr>
            <w:r w:rsidRPr="000F7E56">
              <w:rPr>
                <w:rFonts w:ascii="Calibri" w:eastAsia="Calibri" w:hAnsi="Calibri" w:cs="Times New Roman"/>
              </w:rPr>
              <w:t>Diploma</w:t>
            </w:r>
          </w:p>
        </w:tc>
      </w:tr>
      <w:tr w:rsidR="000F7E56" w:rsidRPr="000F7E56" w14:paraId="641A76BB" w14:textId="77777777" w:rsidTr="00966DB7">
        <w:trPr>
          <w:trHeight w:val="280"/>
        </w:trPr>
        <w:tc>
          <w:tcPr>
            <w:tcW w:w="2704" w:type="dxa"/>
            <w:noWrap/>
            <w:hideMark/>
          </w:tcPr>
          <w:p w14:paraId="64ECA554" w14:textId="77777777" w:rsidR="000F7E56" w:rsidRPr="000F7E56" w:rsidRDefault="000F7E56" w:rsidP="000F7E56">
            <w:pPr>
              <w:spacing w:after="120"/>
              <w:rPr>
                <w:rFonts w:ascii="Calibri" w:eastAsia="Calibri" w:hAnsi="Calibri" w:cs="Times New Roman"/>
              </w:rPr>
            </w:pPr>
            <w:r w:rsidRPr="000F7E56">
              <w:rPr>
                <w:rFonts w:ascii="Calibri" w:eastAsia="Calibri" w:hAnsi="Calibri" w:cs="Times New Roman"/>
              </w:rPr>
              <w:t xml:space="preserve">Lay </w:t>
            </w:r>
          </w:p>
        </w:tc>
        <w:tc>
          <w:tcPr>
            <w:tcW w:w="1608" w:type="dxa"/>
          </w:tcPr>
          <w:p w14:paraId="658F71B0" w14:textId="77777777" w:rsidR="000F7E56" w:rsidRPr="000F7E56" w:rsidRDefault="000F7E56" w:rsidP="000F7E56">
            <w:pPr>
              <w:spacing w:after="120"/>
              <w:rPr>
                <w:rFonts w:ascii="Calibri" w:eastAsia="Calibri" w:hAnsi="Calibri" w:cs="Times New Roman"/>
              </w:rPr>
            </w:pPr>
            <w:r w:rsidRPr="000F7E56">
              <w:rPr>
                <w:rFonts w:ascii="Calibri" w:eastAsia="Calibri" w:hAnsi="Calibri" w:cs="Times New Roman"/>
              </w:rPr>
              <w:t>Workbook</w:t>
            </w:r>
          </w:p>
        </w:tc>
        <w:tc>
          <w:tcPr>
            <w:tcW w:w="609" w:type="dxa"/>
            <w:noWrap/>
            <w:hideMark/>
          </w:tcPr>
          <w:p w14:paraId="4B095589" w14:textId="77777777" w:rsidR="000F7E56" w:rsidRPr="000F7E56" w:rsidRDefault="000F7E56" w:rsidP="000F7E56">
            <w:pPr>
              <w:spacing w:after="120"/>
              <w:rPr>
                <w:rFonts w:ascii="Calibri" w:eastAsia="Calibri" w:hAnsi="Calibri" w:cs="Times New Roman"/>
              </w:rPr>
            </w:pPr>
            <w:r w:rsidRPr="000F7E56">
              <w:rPr>
                <w:rFonts w:ascii="Calibri" w:eastAsia="Calibri" w:hAnsi="Calibri" w:cs="Times New Roman"/>
              </w:rPr>
              <w:t>58</w:t>
            </w:r>
          </w:p>
        </w:tc>
        <w:tc>
          <w:tcPr>
            <w:tcW w:w="533" w:type="dxa"/>
            <w:noWrap/>
            <w:hideMark/>
          </w:tcPr>
          <w:p w14:paraId="4023587D" w14:textId="77777777" w:rsidR="000F7E56" w:rsidRPr="000F7E56" w:rsidRDefault="000F7E56" w:rsidP="000F7E56">
            <w:pPr>
              <w:spacing w:after="120"/>
              <w:rPr>
                <w:rFonts w:ascii="Calibri" w:eastAsia="Calibri" w:hAnsi="Calibri" w:cs="Times New Roman"/>
              </w:rPr>
            </w:pPr>
            <w:r w:rsidRPr="000F7E56">
              <w:rPr>
                <w:rFonts w:ascii="Calibri" w:eastAsia="Calibri" w:hAnsi="Calibri" w:cs="Times New Roman"/>
              </w:rPr>
              <w:t>F</w:t>
            </w:r>
          </w:p>
        </w:tc>
        <w:tc>
          <w:tcPr>
            <w:tcW w:w="2201" w:type="dxa"/>
            <w:noWrap/>
            <w:hideMark/>
          </w:tcPr>
          <w:p w14:paraId="27068695" w14:textId="77777777" w:rsidR="000F7E56" w:rsidRPr="000F7E56" w:rsidRDefault="000F7E56" w:rsidP="000F7E56">
            <w:pPr>
              <w:spacing w:after="120"/>
              <w:rPr>
                <w:rFonts w:ascii="Calibri" w:eastAsia="Calibri" w:hAnsi="Calibri" w:cs="Times New Roman"/>
              </w:rPr>
            </w:pPr>
            <w:r w:rsidRPr="000F7E56">
              <w:rPr>
                <w:rFonts w:ascii="Calibri" w:eastAsia="Calibri" w:hAnsi="Calibri" w:cs="Times New Roman"/>
              </w:rPr>
              <w:t>Bangladeshi</w:t>
            </w:r>
          </w:p>
        </w:tc>
        <w:tc>
          <w:tcPr>
            <w:tcW w:w="2127" w:type="dxa"/>
            <w:noWrap/>
            <w:hideMark/>
          </w:tcPr>
          <w:p w14:paraId="4065CD6F" w14:textId="77777777" w:rsidR="000F7E56" w:rsidRPr="000F7E56" w:rsidRDefault="000F7E56" w:rsidP="000F7E56">
            <w:pPr>
              <w:spacing w:after="120"/>
              <w:rPr>
                <w:rFonts w:ascii="Calibri" w:eastAsia="Calibri" w:hAnsi="Calibri" w:cs="Times New Roman"/>
              </w:rPr>
            </w:pPr>
            <w:r w:rsidRPr="000F7E56">
              <w:rPr>
                <w:rFonts w:ascii="Calibri" w:eastAsia="Calibri" w:hAnsi="Calibri" w:cs="Times New Roman"/>
              </w:rPr>
              <w:t>Bangladesh</w:t>
            </w:r>
          </w:p>
        </w:tc>
        <w:tc>
          <w:tcPr>
            <w:tcW w:w="1984" w:type="dxa"/>
            <w:noWrap/>
            <w:hideMark/>
          </w:tcPr>
          <w:p w14:paraId="1C86E3DB" w14:textId="77777777" w:rsidR="000F7E56" w:rsidRPr="000F7E56" w:rsidRDefault="000F7E56" w:rsidP="000F7E56">
            <w:pPr>
              <w:spacing w:after="120"/>
              <w:rPr>
                <w:rFonts w:ascii="Calibri" w:eastAsia="Calibri" w:hAnsi="Calibri" w:cs="Times New Roman"/>
              </w:rPr>
            </w:pPr>
            <w:r w:rsidRPr="000F7E56">
              <w:rPr>
                <w:rFonts w:ascii="Calibri" w:eastAsia="Calibri" w:hAnsi="Calibri" w:cs="Times New Roman"/>
              </w:rPr>
              <w:t>Bangladesh</w:t>
            </w:r>
          </w:p>
        </w:tc>
        <w:tc>
          <w:tcPr>
            <w:tcW w:w="1559" w:type="dxa"/>
            <w:noWrap/>
            <w:hideMark/>
          </w:tcPr>
          <w:p w14:paraId="7DE01BCD" w14:textId="77777777" w:rsidR="000F7E56" w:rsidRPr="000F7E56" w:rsidRDefault="000F7E56" w:rsidP="000F7E56">
            <w:pPr>
              <w:spacing w:after="120"/>
              <w:rPr>
                <w:rFonts w:ascii="Calibri" w:eastAsia="Calibri" w:hAnsi="Calibri" w:cs="Times New Roman"/>
              </w:rPr>
            </w:pPr>
            <w:r w:rsidRPr="000F7E56">
              <w:rPr>
                <w:rFonts w:ascii="Calibri" w:eastAsia="Calibri" w:hAnsi="Calibri" w:cs="Times New Roman"/>
              </w:rPr>
              <w:t>Muslim</w:t>
            </w:r>
          </w:p>
        </w:tc>
        <w:tc>
          <w:tcPr>
            <w:tcW w:w="1843" w:type="dxa"/>
            <w:noWrap/>
            <w:hideMark/>
          </w:tcPr>
          <w:p w14:paraId="1997801C" w14:textId="77777777" w:rsidR="000F7E56" w:rsidRPr="000F7E56" w:rsidRDefault="000F7E56" w:rsidP="000F7E56">
            <w:pPr>
              <w:spacing w:after="120"/>
              <w:rPr>
                <w:rFonts w:ascii="Calibri" w:eastAsia="Calibri" w:hAnsi="Calibri" w:cs="Times New Roman"/>
              </w:rPr>
            </w:pPr>
            <w:r w:rsidRPr="000F7E56">
              <w:rPr>
                <w:rFonts w:ascii="Calibri" w:eastAsia="Calibri" w:hAnsi="Calibri" w:cs="Times New Roman"/>
              </w:rPr>
              <w:t>Other</w:t>
            </w:r>
          </w:p>
        </w:tc>
      </w:tr>
      <w:tr w:rsidR="000F7E56" w:rsidRPr="000F7E56" w14:paraId="758361EE" w14:textId="77777777" w:rsidTr="00966DB7">
        <w:trPr>
          <w:trHeight w:val="280"/>
        </w:trPr>
        <w:tc>
          <w:tcPr>
            <w:tcW w:w="2704" w:type="dxa"/>
            <w:noWrap/>
          </w:tcPr>
          <w:p w14:paraId="6649C57D" w14:textId="77777777" w:rsidR="000F7E56" w:rsidRPr="000F7E56" w:rsidRDefault="000F7E56" w:rsidP="000F7E56">
            <w:pPr>
              <w:spacing w:after="120"/>
              <w:rPr>
                <w:rFonts w:ascii="Calibri" w:eastAsia="Calibri" w:hAnsi="Calibri" w:cs="Times New Roman"/>
              </w:rPr>
            </w:pPr>
            <w:r w:rsidRPr="000F7E56">
              <w:rPr>
                <w:rFonts w:ascii="Calibri" w:eastAsia="Calibri" w:hAnsi="Calibri" w:cs="Times New Roman"/>
              </w:rPr>
              <w:t xml:space="preserve">Lay </w:t>
            </w:r>
          </w:p>
        </w:tc>
        <w:tc>
          <w:tcPr>
            <w:tcW w:w="1608" w:type="dxa"/>
          </w:tcPr>
          <w:p w14:paraId="372A3948" w14:textId="77777777" w:rsidR="000F7E56" w:rsidRPr="000F7E56" w:rsidRDefault="000F7E56" w:rsidP="000F7E56">
            <w:pPr>
              <w:spacing w:after="120"/>
              <w:rPr>
                <w:rFonts w:ascii="Calibri" w:eastAsia="Calibri" w:hAnsi="Calibri" w:cs="Times New Roman"/>
              </w:rPr>
            </w:pPr>
            <w:r w:rsidRPr="000F7E56">
              <w:rPr>
                <w:rFonts w:ascii="Calibri" w:eastAsia="Calibri" w:hAnsi="Calibri" w:cs="Times New Roman"/>
              </w:rPr>
              <w:t>Workbook</w:t>
            </w:r>
          </w:p>
        </w:tc>
        <w:tc>
          <w:tcPr>
            <w:tcW w:w="609" w:type="dxa"/>
            <w:noWrap/>
          </w:tcPr>
          <w:p w14:paraId="69E45612" w14:textId="77777777" w:rsidR="000F7E56" w:rsidRPr="000F7E56" w:rsidRDefault="000F7E56" w:rsidP="000F7E56">
            <w:pPr>
              <w:spacing w:after="120"/>
              <w:rPr>
                <w:rFonts w:ascii="Calibri" w:eastAsia="Calibri" w:hAnsi="Calibri" w:cs="Times New Roman"/>
              </w:rPr>
            </w:pPr>
            <w:r w:rsidRPr="000F7E56">
              <w:rPr>
                <w:rFonts w:ascii="Calibri" w:eastAsia="Calibri" w:hAnsi="Calibri" w:cs="Times New Roman"/>
              </w:rPr>
              <w:t>70</w:t>
            </w:r>
          </w:p>
        </w:tc>
        <w:tc>
          <w:tcPr>
            <w:tcW w:w="533" w:type="dxa"/>
            <w:noWrap/>
          </w:tcPr>
          <w:p w14:paraId="77C6E559" w14:textId="77777777" w:rsidR="000F7E56" w:rsidRPr="000F7E56" w:rsidRDefault="000F7E56" w:rsidP="000F7E56">
            <w:pPr>
              <w:spacing w:after="120"/>
              <w:rPr>
                <w:rFonts w:ascii="Calibri" w:eastAsia="Calibri" w:hAnsi="Calibri" w:cs="Times New Roman"/>
              </w:rPr>
            </w:pPr>
            <w:r w:rsidRPr="000F7E56">
              <w:rPr>
                <w:rFonts w:ascii="Calibri" w:eastAsia="Calibri" w:hAnsi="Calibri" w:cs="Times New Roman"/>
              </w:rPr>
              <w:t>M</w:t>
            </w:r>
          </w:p>
        </w:tc>
        <w:tc>
          <w:tcPr>
            <w:tcW w:w="2201" w:type="dxa"/>
            <w:noWrap/>
          </w:tcPr>
          <w:p w14:paraId="24598E5B" w14:textId="77777777" w:rsidR="000F7E56" w:rsidRPr="000F7E56" w:rsidRDefault="000F7E56" w:rsidP="000F7E56">
            <w:pPr>
              <w:spacing w:after="120"/>
              <w:rPr>
                <w:rFonts w:ascii="Calibri" w:eastAsia="Calibri" w:hAnsi="Calibri" w:cs="Times New Roman"/>
              </w:rPr>
            </w:pPr>
            <w:r w:rsidRPr="000F7E56">
              <w:rPr>
                <w:rFonts w:ascii="Calibri" w:eastAsia="Calibri" w:hAnsi="Calibri" w:cs="Times New Roman"/>
              </w:rPr>
              <w:t>Bangladeshi</w:t>
            </w:r>
          </w:p>
        </w:tc>
        <w:tc>
          <w:tcPr>
            <w:tcW w:w="2127" w:type="dxa"/>
            <w:noWrap/>
          </w:tcPr>
          <w:p w14:paraId="1AB6F8D3" w14:textId="77777777" w:rsidR="000F7E56" w:rsidRPr="000F7E56" w:rsidRDefault="000F7E56" w:rsidP="000F7E56">
            <w:pPr>
              <w:spacing w:after="120"/>
              <w:rPr>
                <w:rFonts w:ascii="Calibri" w:eastAsia="Calibri" w:hAnsi="Calibri" w:cs="Times New Roman"/>
              </w:rPr>
            </w:pPr>
            <w:r w:rsidRPr="000F7E56">
              <w:rPr>
                <w:rFonts w:ascii="Calibri" w:eastAsia="Calibri" w:hAnsi="Calibri" w:cs="Times New Roman"/>
              </w:rPr>
              <w:t>Bangladesh</w:t>
            </w:r>
          </w:p>
        </w:tc>
        <w:tc>
          <w:tcPr>
            <w:tcW w:w="1984" w:type="dxa"/>
            <w:noWrap/>
          </w:tcPr>
          <w:p w14:paraId="7874803B" w14:textId="77777777" w:rsidR="000F7E56" w:rsidRPr="000F7E56" w:rsidRDefault="000F7E56" w:rsidP="000F7E56">
            <w:pPr>
              <w:spacing w:after="120"/>
              <w:rPr>
                <w:rFonts w:ascii="Calibri" w:eastAsia="Calibri" w:hAnsi="Calibri" w:cs="Times New Roman"/>
              </w:rPr>
            </w:pPr>
            <w:r w:rsidRPr="000F7E56">
              <w:rPr>
                <w:rFonts w:ascii="Calibri" w:eastAsia="Calibri" w:hAnsi="Calibri" w:cs="Times New Roman"/>
              </w:rPr>
              <w:t>Bangladesh</w:t>
            </w:r>
          </w:p>
        </w:tc>
        <w:tc>
          <w:tcPr>
            <w:tcW w:w="1559" w:type="dxa"/>
            <w:noWrap/>
          </w:tcPr>
          <w:p w14:paraId="28683F83" w14:textId="77777777" w:rsidR="000F7E56" w:rsidRPr="000F7E56" w:rsidRDefault="000F7E56" w:rsidP="000F7E56">
            <w:pPr>
              <w:spacing w:after="120"/>
              <w:rPr>
                <w:rFonts w:ascii="Calibri" w:eastAsia="Calibri" w:hAnsi="Calibri" w:cs="Times New Roman"/>
              </w:rPr>
            </w:pPr>
            <w:r w:rsidRPr="000F7E56">
              <w:rPr>
                <w:rFonts w:ascii="Calibri" w:eastAsia="Calibri" w:hAnsi="Calibri" w:cs="Times New Roman"/>
              </w:rPr>
              <w:t>Muslim</w:t>
            </w:r>
          </w:p>
        </w:tc>
        <w:tc>
          <w:tcPr>
            <w:tcW w:w="1843" w:type="dxa"/>
            <w:noWrap/>
          </w:tcPr>
          <w:p w14:paraId="4259439B" w14:textId="77777777" w:rsidR="000F7E56" w:rsidRPr="000F7E56" w:rsidRDefault="000F7E56" w:rsidP="000F7E56">
            <w:pPr>
              <w:spacing w:after="120"/>
              <w:rPr>
                <w:rFonts w:ascii="Calibri" w:eastAsia="Calibri" w:hAnsi="Calibri" w:cs="Times New Roman"/>
              </w:rPr>
            </w:pPr>
            <w:r w:rsidRPr="000F7E56">
              <w:rPr>
                <w:rFonts w:ascii="Calibri" w:eastAsia="Calibri" w:hAnsi="Calibri" w:cs="Times New Roman"/>
              </w:rPr>
              <w:t>Degree</w:t>
            </w:r>
          </w:p>
        </w:tc>
      </w:tr>
      <w:tr w:rsidR="000F7E56" w:rsidRPr="000F7E56" w14:paraId="59835156" w14:textId="77777777" w:rsidTr="00966DB7">
        <w:trPr>
          <w:trHeight w:val="280"/>
        </w:trPr>
        <w:tc>
          <w:tcPr>
            <w:tcW w:w="2704" w:type="dxa"/>
            <w:noWrap/>
          </w:tcPr>
          <w:p w14:paraId="4C50D262" w14:textId="77777777" w:rsidR="000F7E56" w:rsidRPr="000F7E56" w:rsidRDefault="000F7E56" w:rsidP="000F7E56">
            <w:pPr>
              <w:spacing w:after="120"/>
              <w:rPr>
                <w:rFonts w:ascii="Calibri" w:eastAsia="Calibri" w:hAnsi="Calibri" w:cs="Times New Roman"/>
              </w:rPr>
            </w:pPr>
            <w:r w:rsidRPr="000F7E56">
              <w:rPr>
                <w:rFonts w:ascii="Calibri" w:eastAsia="Calibri" w:hAnsi="Calibri" w:cs="Times New Roman"/>
              </w:rPr>
              <w:t xml:space="preserve">Lay </w:t>
            </w:r>
          </w:p>
        </w:tc>
        <w:tc>
          <w:tcPr>
            <w:tcW w:w="1608" w:type="dxa"/>
          </w:tcPr>
          <w:p w14:paraId="53A3DB3B" w14:textId="77777777" w:rsidR="000F7E56" w:rsidRPr="000F7E56" w:rsidRDefault="000F7E56" w:rsidP="000F7E56">
            <w:pPr>
              <w:spacing w:after="120"/>
              <w:rPr>
                <w:rFonts w:ascii="Calibri" w:eastAsia="Calibri" w:hAnsi="Calibri" w:cs="Times New Roman"/>
              </w:rPr>
            </w:pPr>
            <w:r w:rsidRPr="000F7E56">
              <w:rPr>
                <w:rFonts w:ascii="Calibri" w:eastAsia="Calibri" w:hAnsi="Calibri" w:cs="Times New Roman"/>
              </w:rPr>
              <w:t>Workbook</w:t>
            </w:r>
          </w:p>
        </w:tc>
        <w:tc>
          <w:tcPr>
            <w:tcW w:w="609" w:type="dxa"/>
            <w:noWrap/>
          </w:tcPr>
          <w:p w14:paraId="501E5A46" w14:textId="77777777" w:rsidR="000F7E56" w:rsidRPr="000F7E56" w:rsidRDefault="000F7E56" w:rsidP="000F7E56">
            <w:pPr>
              <w:spacing w:after="120"/>
              <w:rPr>
                <w:rFonts w:ascii="Calibri" w:eastAsia="Calibri" w:hAnsi="Calibri" w:cs="Times New Roman"/>
              </w:rPr>
            </w:pPr>
            <w:r w:rsidRPr="000F7E56">
              <w:rPr>
                <w:rFonts w:ascii="Calibri" w:eastAsia="Calibri" w:hAnsi="Calibri" w:cs="Times New Roman"/>
              </w:rPr>
              <w:t>36</w:t>
            </w:r>
          </w:p>
        </w:tc>
        <w:tc>
          <w:tcPr>
            <w:tcW w:w="533" w:type="dxa"/>
            <w:noWrap/>
          </w:tcPr>
          <w:p w14:paraId="377A023A" w14:textId="77777777" w:rsidR="000F7E56" w:rsidRPr="000F7E56" w:rsidRDefault="000F7E56" w:rsidP="000F7E56">
            <w:pPr>
              <w:spacing w:after="120"/>
              <w:rPr>
                <w:rFonts w:ascii="Calibri" w:eastAsia="Calibri" w:hAnsi="Calibri" w:cs="Times New Roman"/>
              </w:rPr>
            </w:pPr>
            <w:r w:rsidRPr="000F7E56">
              <w:rPr>
                <w:rFonts w:ascii="Calibri" w:eastAsia="Calibri" w:hAnsi="Calibri" w:cs="Times New Roman"/>
              </w:rPr>
              <w:t>F</w:t>
            </w:r>
          </w:p>
        </w:tc>
        <w:tc>
          <w:tcPr>
            <w:tcW w:w="2201" w:type="dxa"/>
            <w:noWrap/>
          </w:tcPr>
          <w:p w14:paraId="5EB439E5" w14:textId="77777777" w:rsidR="000F7E56" w:rsidRPr="000F7E56" w:rsidRDefault="000F7E56" w:rsidP="000F7E56">
            <w:pPr>
              <w:spacing w:after="120"/>
              <w:rPr>
                <w:rFonts w:ascii="Calibri" w:eastAsia="Calibri" w:hAnsi="Calibri" w:cs="Times New Roman"/>
              </w:rPr>
            </w:pPr>
            <w:r w:rsidRPr="000F7E56">
              <w:rPr>
                <w:rFonts w:ascii="Calibri" w:eastAsia="Calibri" w:hAnsi="Calibri" w:cs="Times New Roman"/>
              </w:rPr>
              <w:t>England</w:t>
            </w:r>
          </w:p>
        </w:tc>
        <w:tc>
          <w:tcPr>
            <w:tcW w:w="2127" w:type="dxa"/>
            <w:noWrap/>
          </w:tcPr>
          <w:p w14:paraId="431DE354" w14:textId="77777777" w:rsidR="000F7E56" w:rsidRPr="000F7E56" w:rsidRDefault="000F7E56" w:rsidP="000F7E56">
            <w:pPr>
              <w:spacing w:after="120"/>
              <w:rPr>
                <w:rFonts w:ascii="Calibri" w:eastAsia="Calibri" w:hAnsi="Calibri" w:cs="Times New Roman"/>
              </w:rPr>
            </w:pPr>
            <w:r w:rsidRPr="000F7E56">
              <w:rPr>
                <w:rFonts w:ascii="Calibri" w:eastAsia="Calibri" w:hAnsi="Calibri" w:cs="Times New Roman"/>
              </w:rPr>
              <w:t>Kenya</w:t>
            </w:r>
          </w:p>
        </w:tc>
        <w:tc>
          <w:tcPr>
            <w:tcW w:w="1984" w:type="dxa"/>
            <w:noWrap/>
          </w:tcPr>
          <w:p w14:paraId="6CA6DEE3" w14:textId="77777777" w:rsidR="000F7E56" w:rsidRPr="000F7E56" w:rsidRDefault="000F7E56" w:rsidP="000F7E56">
            <w:pPr>
              <w:spacing w:after="120"/>
              <w:rPr>
                <w:rFonts w:ascii="Calibri" w:eastAsia="Calibri" w:hAnsi="Calibri" w:cs="Times New Roman"/>
              </w:rPr>
            </w:pPr>
            <w:r w:rsidRPr="000F7E56">
              <w:rPr>
                <w:rFonts w:ascii="Calibri" w:eastAsia="Calibri" w:hAnsi="Calibri" w:cs="Times New Roman"/>
              </w:rPr>
              <w:t>Kenya</w:t>
            </w:r>
          </w:p>
        </w:tc>
        <w:tc>
          <w:tcPr>
            <w:tcW w:w="1559" w:type="dxa"/>
            <w:noWrap/>
          </w:tcPr>
          <w:p w14:paraId="58C18E58" w14:textId="77777777" w:rsidR="000F7E56" w:rsidRPr="000F7E56" w:rsidRDefault="000F7E56" w:rsidP="000F7E56">
            <w:pPr>
              <w:spacing w:after="120"/>
              <w:rPr>
                <w:rFonts w:ascii="Calibri" w:eastAsia="Calibri" w:hAnsi="Calibri" w:cs="Times New Roman"/>
              </w:rPr>
            </w:pPr>
            <w:r w:rsidRPr="000F7E56">
              <w:rPr>
                <w:rFonts w:ascii="Calibri" w:eastAsia="Calibri" w:hAnsi="Calibri" w:cs="Times New Roman"/>
              </w:rPr>
              <w:t>Hindu</w:t>
            </w:r>
          </w:p>
        </w:tc>
        <w:tc>
          <w:tcPr>
            <w:tcW w:w="1843" w:type="dxa"/>
            <w:noWrap/>
          </w:tcPr>
          <w:p w14:paraId="147EA4C2" w14:textId="77777777" w:rsidR="000F7E56" w:rsidRPr="000F7E56" w:rsidRDefault="000F7E56" w:rsidP="000F7E56">
            <w:pPr>
              <w:spacing w:after="120"/>
              <w:rPr>
                <w:rFonts w:ascii="Calibri" w:eastAsia="Calibri" w:hAnsi="Calibri" w:cs="Times New Roman"/>
              </w:rPr>
            </w:pPr>
            <w:r w:rsidRPr="000F7E56">
              <w:rPr>
                <w:rFonts w:ascii="Calibri" w:eastAsia="Calibri" w:hAnsi="Calibri" w:cs="Times New Roman"/>
              </w:rPr>
              <w:t>Degree</w:t>
            </w:r>
          </w:p>
        </w:tc>
      </w:tr>
      <w:tr w:rsidR="000F7E56" w:rsidRPr="000F7E56" w14:paraId="5256644B" w14:textId="77777777" w:rsidTr="00966DB7">
        <w:trPr>
          <w:trHeight w:val="358"/>
        </w:trPr>
        <w:tc>
          <w:tcPr>
            <w:tcW w:w="2704" w:type="dxa"/>
            <w:noWrap/>
          </w:tcPr>
          <w:p w14:paraId="1DD42630" w14:textId="77777777" w:rsidR="000F7E56" w:rsidRPr="000F7E56" w:rsidRDefault="000F7E56" w:rsidP="000F7E56">
            <w:pPr>
              <w:spacing w:after="120"/>
              <w:rPr>
                <w:rFonts w:ascii="Calibri" w:eastAsia="Calibri" w:hAnsi="Calibri" w:cs="Times New Roman"/>
              </w:rPr>
            </w:pPr>
            <w:r w:rsidRPr="000F7E56">
              <w:rPr>
                <w:rFonts w:ascii="Calibri" w:eastAsia="Calibri" w:hAnsi="Calibri" w:cs="Times New Roman"/>
              </w:rPr>
              <w:t xml:space="preserve">Lay </w:t>
            </w:r>
          </w:p>
        </w:tc>
        <w:tc>
          <w:tcPr>
            <w:tcW w:w="1608" w:type="dxa"/>
          </w:tcPr>
          <w:p w14:paraId="6EC9C006" w14:textId="77777777" w:rsidR="000F7E56" w:rsidRPr="000F7E56" w:rsidRDefault="000F7E56" w:rsidP="000F7E56">
            <w:pPr>
              <w:spacing w:after="120"/>
              <w:rPr>
                <w:rFonts w:ascii="Calibri" w:eastAsia="Calibri" w:hAnsi="Calibri" w:cs="Times New Roman"/>
              </w:rPr>
            </w:pPr>
            <w:r w:rsidRPr="000F7E56">
              <w:rPr>
                <w:rFonts w:ascii="Calibri" w:eastAsia="Calibri" w:hAnsi="Calibri" w:cs="Times New Roman"/>
              </w:rPr>
              <w:t>Workbook</w:t>
            </w:r>
          </w:p>
        </w:tc>
        <w:tc>
          <w:tcPr>
            <w:tcW w:w="609" w:type="dxa"/>
            <w:noWrap/>
          </w:tcPr>
          <w:p w14:paraId="4CD8960C" w14:textId="77777777" w:rsidR="000F7E56" w:rsidRPr="000F7E56" w:rsidRDefault="000F7E56" w:rsidP="000F7E56">
            <w:pPr>
              <w:spacing w:after="120"/>
              <w:rPr>
                <w:rFonts w:ascii="Calibri" w:eastAsia="Calibri" w:hAnsi="Calibri" w:cs="Times New Roman"/>
              </w:rPr>
            </w:pPr>
            <w:r w:rsidRPr="000F7E56">
              <w:rPr>
                <w:rFonts w:ascii="Calibri" w:eastAsia="Calibri" w:hAnsi="Calibri" w:cs="Times New Roman"/>
              </w:rPr>
              <w:t>59</w:t>
            </w:r>
          </w:p>
        </w:tc>
        <w:tc>
          <w:tcPr>
            <w:tcW w:w="533" w:type="dxa"/>
            <w:noWrap/>
          </w:tcPr>
          <w:p w14:paraId="2C012B8B" w14:textId="77777777" w:rsidR="000F7E56" w:rsidRPr="000F7E56" w:rsidRDefault="000F7E56" w:rsidP="000F7E56">
            <w:pPr>
              <w:spacing w:after="120"/>
              <w:rPr>
                <w:rFonts w:ascii="Calibri" w:eastAsia="Calibri" w:hAnsi="Calibri" w:cs="Times New Roman"/>
              </w:rPr>
            </w:pPr>
            <w:r w:rsidRPr="000F7E56">
              <w:rPr>
                <w:rFonts w:ascii="Calibri" w:eastAsia="Calibri" w:hAnsi="Calibri" w:cs="Times New Roman"/>
              </w:rPr>
              <w:t>M</w:t>
            </w:r>
          </w:p>
        </w:tc>
        <w:tc>
          <w:tcPr>
            <w:tcW w:w="2201" w:type="dxa"/>
            <w:noWrap/>
          </w:tcPr>
          <w:p w14:paraId="43F03D86" w14:textId="77777777" w:rsidR="000F7E56" w:rsidRPr="000F7E56" w:rsidRDefault="000F7E56" w:rsidP="000F7E56">
            <w:pPr>
              <w:spacing w:after="120"/>
              <w:rPr>
                <w:rFonts w:ascii="Calibri" w:eastAsia="Calibri" w:hAnsi="Calibri" w:cs="Times New Roman"/>
              </w:rPr>
            </w:pPr>
            <w:r w:rsidRPr="000F7E56">
              <w:rPr>
                <w:rFonts w:ascii="Calibri" w:eastAsia="Calibri" w:hAnsi="Calibri" w:cs="Times New Roman"/>
              </w:rPr>
              <w:t>Indian</w:t>
            </w:r>
          </w:p>
        </w:tc>
        <w:tc>
          <w:tcPr>
            <w:tcW w:w="2127" w:type="dxa"/>
            <w:noWrap/>
          </w:tcPr>
          <w:p w14:paraId="72752933" w14:textId="77777777" w:rsidR="000F7E56" w:rsidRPr="000F7E56" w:rsidRDefault="000F7E56" w:rsidP="000F7E56">
            <w:pPr>
              <w:spacing w:after="120"/>
              <w:rPr>
                <w:rFonts w:ascii="Calibri" w:eastAsia="Calibri" w:hAnsi="Calibri" w:cs="Times New Roman"/>
              </w:rPr>
            </w:pPr>
            <w:r w:rsidRPr="000F7E56">
              <w:rPr>
                <w:rFonts w:ascii="Calibri" w:eastAsia="Calibri" w:hAnsi="Calibri" w:cs="Times New Roman"/>
              </w:rPr>
              <w:t>_</w:t>
            </w:r>
          </w:p>
        </w:tc>
        <w:tc>
          <w:tcPr>
            <w:tcW w:w="1984" w:type="dxa"/>
            <w:noWrap/>
          </w:tcPr>
          <w:p w14:paraId="13BA7C78" w14:textId="77777777" w:rsidR="000F7E56" w:rsidRPr="000F7E56" w:rsidRDefault="000F7E56" w:rsidP="000F7E56">
            <w:pPr>
              <w:spacing w:after="120"/>
              <w:rPr>
                <w:rFonts w:ascii="Calibri" w:eastAsia="Calibri" w:hAnsi="Calibri" w:cs="Times New Roman"/>
              </w:rPr>
            </w:pPr>
            <w:r w:rsidRPr="000F7E56">
              <w:rPr>
                <w:rFonts w:ascii="Calibri" w:eastAsia="Calibri" w:hAnsi="Calibri" w:cs="Times New Roman"/>
              </w:rPr>
              <w:t>_</w:t>
            </w:r>
          </w:p>
        </w:tc>
        <w:tc>
          <w:tcPr>
            <w:tcW w:w="1559" w:type="dxa"/>
            <w:noWrap/>
          </w:tcPr>
          <w:p w14:paraId="7445D3A5" w14:textId="77777777" w:rsidR="000F7E56" w:rsidRPr="000F7E56" w:rsidRDefault="000F7E56" w:rsidP="000F7E56">
            <w:pPr>
              <w:spacing w:after="120"/>
              <w:rPr>
                <w:rFonts w:ascii="Calibri" w:eastAsia="Calibri" w:hAnsi="Calibri" w:cs="Times New Roman"/>
              </w:rPr>
            </w:pPr>
            <w:r w:rsidRPr="000F7E56">
              <w:rPr>
                <w:rFonts w:ascii="Calibri" w:eastAsia="Calibri" w:hAnsi="Calibri" w:cs="Times New Roman"/>
              </w:rPr>
              <w:t>Muslim</w:t>
            </w:r>
          </w:p>
        </w:tc>
        <w:tc>
          <w:tcPr>
            <w:tcW w:w="1843" w:type="dxa"/>
            <w:noWrap/>
          </w:tcPr>
          <w:p w14:paraId="35D548CB" w14:textId="77777777" w:rsidR="000F7E56" w:rsidRPr="000F7E56" w:rsidRDefault="000F7E56" w:rsidP="000F7E56">
            <w:pPr>
              <w:spacing w:after="120"/>
              <w:rPr>
                <w:rFonts w:ascii="Calibri" w:eastAsia="Calibri" w:hAnsi="Calibri" w:cs="Times New Roman"/>
              </w:rPr>
            </w:pPr>
            <w:r w:rsidRPr="000F7E56">
              <w:rPr>
                <w:rFonts w:ascii="Calibri" w:eastAsia="Calibri" w:hAnsi="Calibri" w:cs="Times New Roman"/>
              </w:rPr>
              <w:t>Degree</w:t>
            </w:r>
          </w:p>
        </w:tc>
      </w:tr>
      <w:tr w:rsidR="000F7E56" w:rsidRPr="000F7E56" w14:paraId="078E3157" w14:textId="77777777" w:rsidTr="00966DB7">
        <w:trPr>
          <w:trHeight w:val="280"/>
        </w:trPr>
        <w:tc>
          <w:tcPr>
            <w:tcW w:w="2704" w:type="dxa"/>
            <w:noWrap/>
            <w:hideMark/>
          </w:tcPr>
          <w:p w14:paraId="57527533" w14:textId="77777777" w:rsidR="000F7E56" w:rsidRPr="000F7E56" w:rsidRDefault="000F7E56" w:rsidP="000F7E56">
            <w:pPr>
              <w:spacing w:after="120"/>
              <w:rPr>
                <w:rFonts w:ascii="Calibri" w:eastAsia="Calibri" w:hAnsi="Calibri" w:cs="Times New Roman"/>
              </w:rPr>
            </w:pPr>
            <w:r w:rsidRPr="000F7E56">
              <w:rPr>
                <w:rFonts w:ascii="Calibri" w:eastAsia="Calibri" w:hAnsi="Calibri" w:cs="Times New Roman"/>
              </w:rPr>
              <w:t xml:space="preserve">Community/ Faith Leader </w:t>
            </w:r>
          </w:p>
        </w:tc>
        <w:tc>
          <w:tcPr>
            <w:tcW w:w="1608" w:type="dxa"/>
          </w:tcPr>
          <w:p w14:paraId="11670B35" w14:textId="77777777" w:rsidR="000F7E56" w:rsidRPr="000F7E56" w:rsidRDefault="000F7E56" w:rsidP="000F7E56">
            <w:pPr>
              <w:spacing w:after="120"/>
              <w:rPr>
                <w:rFonts w:ascii="Calibri" w:eastAsia="Calibri" w:hAnsi="Calibri" w:cs="Times New Roman"/>
              </w:rPr>
            </w:pPr>
            <w:r w:rsidRPr="000F7E56">
              <w:rPr>
                <w:rFonts w:ascii="Calibri" w:eastAsia="Calibri" w:hAnsi="Calibri" w:cs="Times New Roman"/>
              </w:rPr>
              <w:t>Workshop</w:t>
            </w:r>
          </w:p>
        </w:tc>
        <w:tc>
          <w:tcPr>
            <w:tcW w:w="609" w:type="dxa"/>
            <w:noWrap/>
            <w:hideMark/>
          </w:tcPr>
          <w:p w14:paraId="3925B663" w14:textId="77777777" w:rsidR="000F7E56" w:rsidRPr="000F7E56" w:rsidRDefault="000F7E56" w:rsidP="000F7E56">
            <w:pPr>
              <w:spacing w:after="120"/>
              <w:rPr>
                <w:rFonts w:ascii="Calibri" w:eastAsia="Calibri" w:hAnsi="Calibri" w:cs="Times New Roman"/>
              </w:rPr>
            </w:pPr>
            <w:r w:rsidRPr="000F7E56">
              <w:rPr>
                <w:rFonts w:ascii="Calibri" w:eastAsia="Calibri" w:hAnsi="Calibri" w:cs="Times New Roman"/>
              </w:rPr>
              <w:t>37</w:t>
            </w:r>
          </w:p>
        </w:tc>
        <w:tc>
          <w:tcPr>
            <w:tcW w:w="533" w:type="dxa"/>
            <w:noWrap/>
            <w:hideMark/>
          </w:tcPr>
          <w:p w14:paraId="76D2CE66" w14:textId="77777777" w:rsidR="000F7E56" w:rsidRPr="000F7E56" w:rsidRDefault="000F7E56" w:rsidP="000F7E56">
            <w:pPr>
              <w:spacing w:after="120"/>
              <w:rPr>
                <w:rFonts w:ascii="Calibri" w:eastAsia="Calibri" w:hAnsi="Calibri" w:cs="Times New Roman"/>
              </w:rPr>
            </w:pPr>
            <w:r w:rsidRPr="000F7E56">
              <w:rPr>
                <w:rFonts w:ascii="Calibri" w:eastAsia="Calibri" w:hAnsi="Calibri" w:cs="Times New Roman"/>
              </w:rPr>
              <w:t>M</w:t>
            </w:r>
          </w:p>
        </w:tc>
        <w:tc>
          <w:tcPr>
            <w:tcW w:w="2201" w:type="dxa"/>
            <w:noWrap/>
            <w:hideMark/>
          </w:tcPr>
          <w:p w14:paraId="1045287A" w14:textId="77777777" w:rsidR="000F7E56" w:rsidRPr="000F7E56" w:rsidRDefault="000F7E56" w:rsidP="000F7E56">
            <w:pPr>
              <w:spacing w:after="120"/>
              <w:rPr>
                <w:rFonts w:ascii="Calibri" w:eastAsia="Calibri" w:hAnsi="Calibri" w:cs="Times New Roman"/>
              </w:rPr>
            </w:pPr>
            <w:r w:rsidRPr="000F7E56">
              <w:rPr>
                <w:rFonts w:ascii="Calibri" w:eastAsia="Calibri" w:hAnsi="Calibri" w:cs="Times New Roman"/>
              </w:rPr>
              <w:t>White and Asian</w:t>
            </w:r>
          </w:p>
        </w:tc>
        <w:tc>
          <w:tcPr>
            <w:tcW w:w="2127" w:type="dxa"/>
            <w:noWrap/>
            <w:hideMark/>
          </w:tcPr>
          <w:p w14:paraId="482E88E4" w14:textId="77777777" w:rsidR="000F7E56" w:rsidRPr="000F7E56" w:rsidRDefault="000F7E56" w:rsidP="000F7E56">
            <w:pPr>
              <w:spacing w:after="120"/>
              <w:rPr>
                <w:rFonts w:ascii="Calibri" w:eastAsia="Calibri" w:hAnsi="Calibri" w:cs="Times New Roman"/>
              </w:rPr>
            </w:pPr>
            <w:r w:rsidRPr="000F7E56">
              <w:rPr>
                <w:rFonts w:ascii="Calibri" w:eastAsia="Calibri" w:hAnsi="Calibri" w:cs="Times New Roman"/>
              </w:rPr>
              <w:t>UK</w:t>
            </w:r>
          </w:p>
        </w:tc>
        <w:tc>
          <w:tcPr>
            <w:tcW w:w="1984" w:type="dxa"/>
            <w:noWrap/>
            <w:hideMark/>
          </w:tcPr>
          <w:p w14:paraId="3C4671FD" w14:textId="77777777" w:rsidR="000F7E56" w:rsidRPr="000F7E56" w:rsidRDefault="000F7E56" w:rsidP="000F7E56">
            <w:pPr>
              <w:spacing w:after="120"/>
              <w:rPr>
                <w:rFonts w:ascii="Calibri" w:eastAsia="Calibri" w:hAnsi="Calibri" w:cs="Times New Roman"/>
              </w:rPr>
            </w:pPr>
            <w:r w:rsidRPr="000F7E56">
              <w:rPr>
                <w:rFonts w:ascii="Calibri" w:eastAsia="Calibri" w:hAnsi="Calibri" w:cs="Times New Roman"/>
              </w:rPr>
              <w:t>UK and Africa</w:t>
            </w:r>
          </w:p>
        </w:tc>
        <w:tc>
          <w:tcPr>
            <w:tcW w:w="1559" w:type="dxa"/>
            <w:noWrap/>
            <w:hideMark/>
          </w:tcPr>
          <w:p w14:paraId="758FC49C" w14:textId="77777777" w:rsidR="000F7E56" w:rsidRPr="000F7E56" w:rsidRDefault="000F7E56" w:rsidP="000F7E56">
            <w:pPr>
              <w:spacing w:after="120"/>
              <w:rPr>
                <w:rFonts w:ascii="Calibri" w:eastAsia="Calibri" w:hAnsi="Calibri" w:cs="Times New Roman"/>
              </w:rPr>
            </w:pPr>
            <w:r w:rsidRPr="000F7E56">
              <w:rPr>
                <w:rFonts w:ascii="Calibri" w:eastAsia="Calibri" w:hAnsi="Calibri" w:cs="Times New Roman"/>
              </w:rPr>
              <w:t>Muslim</w:t>
            </w:r>
          </w:p>
        </w:tc>
        <w:tc>
          <w:tcPr>
            <w:tcW w:w="1843" w:type="dxa"/>
            <w:noWrap/>
            <w:hideMark/>
          </w:tcPr>
          <w:p w14:paraId="27767C60" w14:textId="77777777" w:rsidR="000F7E56" w:rsidRPr="000F7E56" w:rsidRDefault="000F7E56" w:rsidP="000F7E56">
            <w:pPr>
              <w:spacing w:after="120"/>
              <w:rPr>
                <w:rFonts w:ascii="Calibri" w:eastAsia="Calibri" w:hAnsi="Calibri" w:cs="Times New Roman"/>
              </w:rPr>
            </w:pPr>
            <w:r w:rsidRPr="000F7E56">
              <w:rPr>
                <w:rFonts w:ascii="Calibri" w:eastAsia="Calibri" w:hAnsi="Calibri" w:cs="Times New Roman"/>
              </w:rPr>
              <w:t>A Level</w:t>
            </w:r>
          </w:p>
        </w:tc>
      </w:tr>
      <w:tr w:rsidR="000F7E56" w:rsidRPr="000F7E56" w14:paraId="0DC0A650" w14:textId="77777777" w:rsidTr="00966DB7">
        <w:trPr>
          <w:trHeight w:val="280"/>
        </w:trPr>
        <w:tc>
          <w:tcPr>
            <w:tcW w:w="2704" w:type="dxa"/>
            <w:noWrap/>
            <w:hideMark/>
          </w:tcPr>
          <w:p w14:paraId="75078E80" w14:textId="77777777" w:rsidR="000F7E56" w:rsidRPr="000F7E56" w:rsidRDefault="000F7E56" w:rsidP="000F7E56">
            <w:pPr>
              <w:spacing w:after="120"/>
              <w:rPr>
                <w:rFonts w:ascii="Calibri" w:eastAsia="Calibri" w:hAnsi="Calibri" w:cs="Times New Roman"/>
              </w:rPr>
            </w:pPr>
            <w:r w:rsidRPr="000F7E56">
              <w:rPr>
                <w:rFonts w:ascii="Calibri" w:eastAsia="Calibri" w:hAnsi="Calibri" w:cs="Times New Roman"/>
              </w:rPr>
              <w:t xml:space="preserve">Community/Faith Leader </w:t>
            </w:r>
          </w:p>
        </w:tc>
        <w:tc>
          <w:tcPr>
            <w:tcW w:w="1608" w:type="dxa"/>
          </w:tcPr>
          <w:p w14:paraId="3DF2B1AC" w14:textId="77777777" w:rsidR="000F7E56" w:rsidRPr="000F7E56" w:rsidRDefault="000F7E56" w:rsidP="000F7E56">
            <w:pPr>
              <w:spacing w:after="120"/>
              <w:rPr>
                <w:rFonts w:ascii="Calibri" w:eastAsia="Calibri" w:hAnsi="Calibri" w:cs="Times New Roman"/>
              </w:rPr>
            </w:pPr>
            <w:r w:rsidRPr="000F7E56">
              <w:rPr>
                <w:rFonts w:ascii="Calibri" w:eastAsia="Calibri" w:hAnsi="Calibri" w:cs="Times New Roman"/>
              </w:rPr>
              <w:t>Workshop</w:t>
            </w:r>
          </w:p>
        </w:tc>
        <w:tc>
          <w:tcPr>
            <w:tcW w:w="609" w:type="dxa"/>
            <w:noWrap/>
            <w:hideMark/>
          </w:tcPr>
          <w:p w14:paraId="2296DFFD" w14:textId="77777777" w:rsidR="000F7E56" w:rsidRPr="000F7E56" w:rsidRDefault="000F7E56" w:rsidP="000F7E56">
            <w:pPr>
              <w:spacing w:after="120"/>
              <w:rPr>
                <w:rFonts w:ascii="Calibri" w:eastAsia="Calibri" w:hAnsi="Calibri" w:cs="Times New Roman"/>
              </w:rPr>
            </w:pPr>
            <w:r w:rsidRPr="000F7E56">
              <w:rPr>
                <w:rFonts w:ascii="Calibri" w:eastAsia="Calibri" w:hAnsi="Calibri" w:cs="Times New Roman"/>
              </w:rPr>
              <w:t>68</w:t>
            </w:r>
          </w:p>
        </w:tc>
        <w:tc>
          <w:tcPr>
            <w:tcW w:w="533" w:type="dxa"/>
            <w:noWrap/>
            <w:hideMark/>
          </w:tcPr>
          <w:p w14:paraId="111BB1D9" w14:textId="77777777" w:rsidR="000F7E56" w:rsidRPr="000F7E56" w:rsidRDefault="000F7E56" w:rsidP="000F7E56">
            <w:pPr>
              <w:spacing w:after="120"/>
              <w:rPr>
                <w:rFonts w:ascii="Calibri" w:eastAsia="Calibri" w:hAnsi="Calibri" w:cs="Times New Roman"/>
              </w:rPr>
            </w:pPr>
            <w:r w:rsidRPr="000F7E56">
              <w:rPr>
                <w:rFonts w:ascii="Calibri" w:eastAsia="Calibri" w:hAnsi="Calibri" w:cs="Times New Roman"/>
              </w:rPr>
              <w:t>M</w:t>
            </w:r>
          </w:p>
        </w:tc>
        <w:tc>
          <w:tcPr>
            <w:tcW w:w="2201" w:type="dxa"/>
            <w:noWrap/>
            <w:hideMark/>
          </w:tcPr>
          <w:p w14:paraId="6E828980" w14:textId="77777777" w:rsidR="000F7E56" w:rsidRPr="000F7E56" w:rsidRDefault="000F7E56" w:rsidP="000F7E56">
            <w:pPr>
              <w:spacing w:after="120"/>
              <w:rPr>
                <w:rFonts w:ascii="Calibri" w:eastAsia="Calibri" w:hAnsi="Calibri" w:cs="Times New Roman"/>
              </w:rPr>
            </w:pPr>
            <w:r w:rsidRPr="000F7E56">
              <w:rPr>
                <w:rFonts w:ascii="Calibri" w:eastAsia="Calibri" w:hAnsi="Calibri" w:cs="Times New Roman"/>
              </w:rPr>
              <w:t>Indian</w:t>
            </w:r>
          </w:p>
        </w:tc>
        <w:tc>
          <w:tcPr>
            <w:tcW w:w="2127" w:type="dxa"/>
            <w:noWrap/>
            <w:hideMark/>
          </w:tcPr>
          <w:p w14:paraId="20E1F222" w14:textId="77777777" w:rsidR="000F7E56" w:rsidRPr="000F7E56" w:rsidRDefault="000F7E56" w:rsidP="000F7E56">
            <w:pPr>
              <w:spacing w:after="120"/>
              <w:rPr>
                <w:rFonts w:ascii="Calibri" w:eastAsia="Calibri" w:hAnsi="Calibri" w:cs="Times New Roman"/>
              </w:rPr>
            </w:pPr>
            <w:r w:rsidRPr="000F7E56">
              <w:rPr>
                <w:rFonts w:ascii="Calibri" w:eastAsia="Calibri" w:hAnsi="Calibri" w:cs="Times New Roman"/>
              </w:rPr>
              <w:t>Malawi</w:t>
            </w:r>
          </w:p>
        </w:tc>
        <w:tc>
          <w:tcPr>
            <w:tcW w:w="1984" w:type="dxa"/>
            <w:noWrap/>
            <w:hideMark/>
          </w:tcPr>
          <w:p w14:paraId="1712B4EE" w14:textId="77777777" w:rsidR="000F7E56" w:rsidRPr="000F7E56" w:rsidRDefault="000F7E56" w:rsidP="000F7E56">
            <w:pPr>
              <w:spacing w:after="120"/>
              <w:rPr>
                <w:rFonts w:ascii="Calibri" w:eastAsia="Calibri" w:hAnsi="Calibri" w:cs="Times New Roman"/>
              </w:rPr>
            </w:pPr>
            <w:r w:rsidRPr="000F7E56">
              <w:rPr>
                <w:rFonts w:ascii="Calibri" w:eastAsia="Calibri" w:hAnsi="Calibri" w:cs="Times New Roman"/>
              </w:rPr>
              <w:t>India</w:t>
            </w:r>
          </w:p>
        </w:tc>
        <w:tc>
          <w:tcPr>
            <w:tcW w:w="1559" w:type="dxa"/>
            <w:noWrap/>
            <w:hideMark/>
          </w:tcPr>
          <w:p w14:paraId="43B3D93D" w14:textId="77777777" w:rsidR="000F7E56" w:rsidRPr="000F7E56" w:rsidRDefault="000F7E56" w:rsidP="000F7E56">
            <w:pPr>
              <w:spacing w:after="120"/>
              <w:rPr>
                <w:rFonts w:ascii="Calibri" w:eastAsia="Calibri" w:hAnsi="Calibri" w:cs="Times New Roman"/>
              </w:rPr>
            </w:pPr>
            <w:r w:rsidRPr="000F7E56">
              <w:rPr>
                <w:rFonts w:ascii="Calibri" w:eastAsia="Calibri" w:hAnsi="Calibri" w:cs="Times New Roman"/>
              </w:rPr>
              <w:t>Muslim</w:t>
            </w:r>
          </w:p>
        </w:tc>
        <w:tc>
          <w:tcPr>
            <w:tcW w:w="1843" w:type="dxa"/>
            <w:noWrap/>
            <w:hideMark/>
          </w:tcPr>
          <w:p w14:paraId="65A1DDA3" w14:textId="77777777" w:rsidR="000F7E56" w:rsidRPr="000F7E56" w:rsidRDefault="000F7E56" w:rsidP="000F7E56">
            <w:pPr>
              <w:spacing w:after="120"/>
              <w:rPr>
                <w:rFonts w:ascii="Calibri" w:eastAsia="Calibri" w:hAnsi="Calibri" w:cs="Times New Roman"/>
              </w:rPr>
            </w:pPr>
            <w:r w:rsidRPr="000F7E56">
              <w:rPr>
                <w:rFonts w:ascii="Calibri" w:eastAsia="Calibri" w:hAnsi="Calibri" w:cs="Times New Roman"/>
              </w:rPr>
              <w:t>GCSE/O level</w:t>
            </w:r>
          </w:p>
        </w:tc>
      </w:tr>
      <w:tr w:rsidR="000F7E56" w:rsidRPr="000F7E56" w14:paraId="4C9EFDC2" w14:textId="77777777" w:rsidTr="00966DB7">
        <w:trPr>
          <w:trHeight w:val="291"/>
        </w:trPr>
        <w:tc>
          <w:tcPr>
            <w:tcW w:w="2704" w:type="dxa"/>
            <w:noWrap/>
            <w:hideMark/>
          </w:tcPr>
          <w:p w14:paraId="32B8F459" w14:textId="77777777" w:rsidR="000F7E56" w:rsidRPr="000F7E56" w:rsidRDefault="000F7E56" w:rsidP="000F7E56">
            <w:pPr>
              <w:spacing w:after="120"/>
              <w:rPr>
                <w:rFonts w:ascii="Calibri" w:eastAsia="Calibri" w:hAnsi="Calibri" w:cs="Times New Roman"/>
              </w:rPr>
            </w:pPr>
            <w:r w:rsidRPr="000F7E56">
              <w:rPr>
                <w:rFonts w:ascii="Calibri" w:eastAsia="Calibri" w:hAnsi="Calibri" w:cs="Times New Roman"/>
              </w:rPr>
              <w:t xml:space="preserve">Community/Faith Leader </w:t>
            </w:r>
          </w:p>
        </w:tc>
        <w:tc>
          <w:tcPr>
            <w:tcW w:w="1608" w:type="dxa"/>
          </w:tcPr>
          <w:p w14:paraId="7C82D764" w14:textId="77777777" w:rsidR="000F7E56" w:rsidRPr="000F7E56" w:rsidRDefault="000F7E56" w:rsidP="000F7E56">
            <w:pPr>
              <w:spacing w:after="120"/>
              <w:rPr>
                <w:rFonts w:ascii="Calibri" w:eastAsia="Calibri" w:hAnsi="Calibri" w:cs="Times New Roman"/>
              </w:rPr>
            </w:pPr>
            <w:r w:rsidRPr="000F7E56">
              <w:rPr>
                <w:rFonts w:ascii="Calibri" w:eastAsia="Calibri" w:hAnsi="Calibri" w:cs="Times New Roman"/>
              </w:rPr>
              <w:t>Workbook</w:t>
            </w:r>
          </w:p>
        </w:tc>
        <w:tc>
          <w:tcPr>
            <w:tcW w:w="609" w:type="dxa"/>
            <w:noWrap/>
            <w:hideMark/>
          </w:tcPr>
          <w:p w14:paraId="428E0818" w14:textId="77777777" w:rsidR="000F7E56" w:rsidRPr="000F7E56" w:rsidRDefault="000F7E56" w:rsidP="000F7E56">
            <w:pPr>
              <w:spacing w:after="120"/>
              <w:rPr>
                <w:rFonts w:ascii="Calibri" w:eastAsia="Calibri" w:hAnsi="Calibri" w:cs="Times New Roman"/>
              </w:rPr>
            </w:pPr>
            <w:r w:rsidRPr="000F7E56">
              <w:rPr>
                <w:rFonts w:ascii="Calibri" w:eastAsia="Calibri" w:hAnsi="Calibri" w:cs="Times New Roman"/>
              </w:rPr>
              <w:t>46</w:t>
            </w:r>
          </w:p>
        </w:tc>
        <w:tc>
          <w:tcPr>
            <w:tcW w:w="533" w:type="dxa"/>
            <w:noWrap/>
            <w:hideMark/>
          </w:tcPr>
          <w:p w14:paraId="5DD968CB" w14:textId="77777777" w:rsidR="000F7E56" w:rsidRPr="000F7E56" w:rsidRDefault="000F7E56" w:rsidP="000F7E56">
            <w:pPr>
              <w:spacing w:after="120"/>
              <w:rPr>
                <w:rFonts w:ascii="Calibri" w:eastAsia="Calibri" w:hAnsi="Calibri" w:cs="Times New Roman"/>
              </w:rPr>
            </w:pPr>
            <w:r w:rsidRPr="000F7E56">
              <w:rPr>
                <w:rFonts w:ascii="Calibri" w:eastAsia="Calibri" w:hAnsi="Calibri" w:cs="Times New Roman"/>
              </w:rPr>
              <w:t>F</w:t>
            </w:r>
          </w:p>
        </w:tc>
        <w:tc>
          <w:tcPr>
            <w:tcW w:w="2201" w:type="dxa"/>
            <w:noWrap/>
            <w:hideMark/>
          </w:tcPr>
          <w:p w14:paraId="7896190C" w14:textId="77777777" w:rsidR="000F7E56" w:rsidRPr="000F7E56" w:rsidRDefault="000F7E56" w:rsidP="000F7E56">
            <w:pPr>
              <w:spacing w:after="120"/>
              <w:rPr>
                <w:rFonts w:ascii="Calibri" w:eastAsia="Calibri" w:hAnsi="Calibri" w:cs="Times New Roman"/>
              </w:rPr>
            </w:pPr>
            <w:r w:rsidRPr="000F7E56">
              <w:rPr>
                <w:rFonts w:ascii="Calibri" w:eastAsia="Calibri" w:hAnsi="Calibri" w:cs="Times New Roman"/>
              </w:rPr>
              <w:t>African</w:t>
            </w:r>
          </w:p>
        </w:tc>
        <w:tc>
          <w:tcPr>
            <w:tcW w:w="2127" w:type="dxa"/>
            <w:noWrap/>
            <w:hideMark/>
          </w:tcPr>
          <w:p w14:paraId="314BD161" w14:textId="77777777" w:rsidR="000F7E56" w:rsidRPr="000F7E56" w:rsidRDefault="000F7E56" w:rsidP="000F7E56">
            <w:pPr>
              <w:spacing w:after="120"/>
              <w:rPr>
                <w:rFonts w:ascii="Calibri" w:eastAsia="Calibri" w:hAnsi="Calibri" w:cs="Times New Roman"/>
              </w:rPr>
            </w:pPr>
            <w:r w:rsidRPr="000F7E56">
              <w:rPr>
                <w:rFonts w:ascii="Calibri" w:eastAsia="Calibri" w:hAnsi="Calibri" w:cs="Times New Roman"/>
              </w:rPr>
              <w:t>Nigeria</w:t>
            </w:r>
          </w:p>
        </w:tc>
        <w:tc>
          <w:tcPr>
            <w:tcW w:w="1984" w:type="dxa"/>
            <w:noWrap/>
            <w:hideMark/>
          </w:tcPr>
          <w:p w14:paraId="44AC3EFE" w14:textId="77777777" w:rsidR="000F7E56" w:rsidRPr="000F7E56" w:rsidRDefault="000F7E56" w:rsidP="000F7E56">
            <w:pPr>
              <w:spacing w:after="120"/>
              <w:rPr>
                <w:rFonts w:ascii="Calibri" w:eastAsia="Calibri" w:hAnsi="Calibri" w:cs="Times New Roman"/>
              </w:rPr>
            </w:pPr>
            <w:r w:rsidRPr="000F7E56">
              <w:rPr>
                <w:rFonts w:ascii="Calibri" w:eastAsia="Calibri" w:hAnsi="Calibri" w:cs="Times New Roman"/>
              </w:rPr>
              <w:t>Nigeria</w:t>
            </w:r>
          </w:p>
        </w:tc>
        <w:tc>
          <w:tcPr>
            <w:tcW w:w="1559" w:type="dxa"/>
            <w:noWrap/>
            <w:hideMark/>
          </w:tcPr>
          <w:p w14:paraId="1EF97E6D" w14:textId="77777777" w:rsidR="000F7E56" w:rsidRPr="000F7E56" w:rsidRDefault="000F7E56" w:rsidP="000F7E56">
            <w:pPr>
              <w:spacing w:after="120"/>
              <w:rPr>
                <w:rFonts w:ascii="Calibri" w:eastAsia="Calibri" w:hAnsi="Calibri" w:cs="Times New Roman"/>
              </w:rPr>
            </w:pPr>
            <w:r w:rsidRPr="000F7E56">
              <w:rPr>
                <w:rFonts w:ascii="Calibri" w:eastAsia="Calibri" w:hAnsi="Calibri" w:cs="Times New Roman"/>
              </w:rPr>
              <w:t xml:space="preserve">Other Christian denomination </w:t>
            </w:r>
          </w:p>
        </w:tc>
        <w:tc>
          <w:tcPr>
            <w:tcW w:w="1843" w:type="dxa"/>
            <w:noWrap/>
            <w:hideMark/>
          </w:tcPr>
          <w:p w14:paraId="6473E181" w14:textId="77777777" w:rsidR="000F7E56" w:rsidRPr="000F7E56" w:rsidRDefault="000F7E56" w:rsidP="000F7E56">
            <w:pPr>
              <w:spacing w:after="120"/>
              <w:rPr>
                <w:rFonts w:ascii="Calibri" w:eastAsia="Calibri" w:hAnsi="Calibri" w:cs="Times New Roman"/>
              </w:rPr>
            </w:pPr>
            <w:r w:rsidRPr="000F7E56">
              <w:rPr>
                <w:rFonts w:ascii="Calibri" w:eastAsia="Calibri" w:hAnsi="Calibri" w:cs="Times New Roman"/>
              </w:rPr>
              <w:t>Degree</w:t>
            </w:r>
          </w:p>
        </w:tc>
      </w:tr>
      <w:tr w:rsidR="000F7E56" w:rsidRPr="000F7E56" w14:paraId="7C66DA6B" w14:textId="77777777" w:rsidTr="00966DB7">
        <w:trPr>
          <w:trHeight w:val="280"/>
        </w:trPr>
        <w:tc>
          <w:tcPr>
            <w:tcW w:w="2704" w:type="dxa"/>
            <w:noWrap/>
            <w:hideMark/>
          </w:tcPr>
          <w:p w14:paraId="0A79EAE6" w14:textId="77777777" w:rsidR="000F7E56" w:rsidRPr="000F7E56" w:rsidRDefault="000F7E56" w:rsidP="000F7E56">
            <w:pPr>
              <w:spacing w:after="120"/>
              <w:rPr>
                <w:rFonts w:ascii="Calibri" w:eastAsia="Calibri" w:hAnsi="Calibri" w:cs="Times New Roman"/>
              </w:rPr>
            </w:pPr>
            <w:r w:rsidRPr="000F7E56">
              <w:rPr>
                <w:rFonts w:ascii="Calibri" w:eastAsia="Calibri" w:hAnsi="Calibri" w:cs="Times New Roman"/>
              </w:rPr>
              <w:t xml:space="preserve">Community/Faith Leader </w:t>
            </w:r>
          </w:p>
        </w:tc>
        <w:tc>
          <w:tcPr>
            <w:tcW w:w="1608" w:type="dxa"/>
          </w:tcPr>
          <w:p w14:paraId="023530DB" w14:textId="77777777" w:rsidR="000F7E56" w:rsidRPr="000F7E56" w:rsidRDefault="000F7E56" w:rsidP="000F7E56">
            <w:pPr>
              <w:spacing w:after="120"/>
              <w:rPr>
                <w:rFonts w:ascii="Calibri" w:eastAsia="Calibri" w:hAnsi="Calibri" w:cs="Times New Roman"/>
              </w:rPr>
            </w:pPr>
            <w:r w:rsidRPr="000F7E56">
              <w:rPr>
                <w:rFonts w:ascii="Calibri" w:eastAsia="Calibri" w:hAnsi="Calibri" w:cs="Times New Roman"/>
              </w:rPr>
              <w:t>Workbook</w:t>
            </w:r>
          </w:p>
        </w:tc>
        <w:tc>
          <w:tcPr>
            <w:tcW w:w="609" w:type="dxa"/>
            <w:noWrap/>
            <w:hideMark/>
          </w:tcPr>
          <w:p w14:paraId="4D9FF6FB" w14:textId="77777777" w:rsidR="000F7E56" w:rsidRPr="000F7E56" w:rsidRDefault="000F7E56" w:rsidP="000F7E56">
            <w:pPr>
              <w:spacing w:after="120"/>
              <w:rPr>
                <w:rFonts w:ascii="Calibri" w:eastAsia="Calibri" w:hAnsi="Calibri" w:cs="Times New Roman"/>
              </w:rPr>
            </w:pPr>
            <w:r w:rsidRPr="000F7E56">
              <w:rPr>
                <w:rFonts w:ascii="Calibri" w:eastAsia="Calibri" w:hAnsi="Calibri" w:cs="Times New Roman"/>
              </w:rPr>
              <w:t>82.5</w:t>
            </w:r>
          </w:p>
        </w:tc>
        <w:tc>
          <w:tcPr>
            <w:tcW w:w="533" w:type="dxa"/>
            <w:noWrap/>
            <w:hideMark/>
          </w:tcPr>
          <w:p w14:paraId="0CD2E896" w14:textId="77777777" w:rsidR="000F7E56" w:rsidRPr="000F7E56" w:rsidRDefault="000F7E56" w:rsidP="000F7E56">
            <w:pPr>
              <w:spacing w:after="120"/>
              <w:rPr>
                <w:rFonts w:ascii="Calibri" w:eastAsia="Calibri" w:hAnsi="Calibri" w:cs="Times New Roman"/>
              </w:rPr>
            </w:pPr>
            <w:r w:rsidRPr="000F7E56">
              <w:rPr>
                <w:rFonts w:ascii="Calibri" w:eastAsia="Calibri" w:hAnsi="Calibri" w:cs="Times New Roman"/>
              </w:rPr>
              <w:t>M</w:t>
            </w:r>
          </w:p>
        </w:tc>
        <w:tc>
          <w:tcPr>
            <w:tcW w:w="2201" w:type="dxa"/>
            <w:noWrap/>
            <w:hideMark/>
          </w:tcPr>
          <w:p w14:paraId="12316E1B" w14:textId="77777777" w:rsidR="000F7E56" w:rsidRPr="000F7E56" w:rsidRDefault="000F7E56" w:rsidP="000F7E56">
            <w:pPr>
              <w:spacing w:after="120"/>
              <w:rPr>
                <w:rFonts w:ascii="Calibri" w:eastAsia="Calibri" w:hAnsi="Calibri" w:cs="Times New Roman"/>
              </w:rPr>
            </w:pPr>
            <w:r w:rsidRPr="000F7E56">
              <w:rPr>
                <w:rFonts w:ascii="Calibri" w:eastAsia="Calibri" w:hAnsi="Calibri" w:cs="Times New Roman"/>
              </w:rPr>
              <w:t>English</w:t>
            </w:r>
          </w:p>
        </w:tc>
        <w:tc>
          <w:tcPr>
            <w:tcW w:w="2127" w:type="dxa"/>
            <w:noWrap/>
            <w:hideMark/>
          </w:tcPr>
          <w:p w14:paraId="0D59AA59" w14:textId="77777777" w:rsidR="000F7E56" w:rsidRPr="000F7E56" w:rsidRDefault="000F7E56" w:rsidP="000F7E56">
            <w:pPr>
              <w:spacing w:after="120"/>
              <w:rPr>
                <w:rFonts w:ascii="Calibri" w:eastAsia="Calibri" w:hAnsi="Calibri" w:cs="Times New Roman"/>
              </w:rPr>
            </w:pPr>
            <w:r w:rsidRPr="000F7E56">
              <w:rPr>
                <w:rFonts w:ascii="Calibri" w:eastAsia="Calibri" w:hAnsi="Calibri" w:cs="Times New Roman"/>
              </w:rPr>
              <w:t>England</w:t>
            </w:r>
          </w:p>
        </w:tc>
        <w:tc>
          <w:tcPr>
            <w:tcW w:w="1984" w:type="dxa"/>
            <w:noWrap/>
            <w:hideMark/>
          </w:tcPr>
          <w:p w14:paraId="43E8D613" w14:textId="77777777" w:rsidR="000F7E56" w:rsidRPr="000F7E56" w:rsidRDefault="000F7E56" w:rsidP="000F7E56">
            <w:pPr>
              <w:spacing w:after="120"/>
              <w:rPr>
                <w:rFonts w:ascii="Calibri" w:eastAsia="Calibri" w:hAnsi="Calibri" w:cs="Times New Roman"/>
              </w:rPr>
            </w:pPr>
            <w:r w:rsidRPr="000F7E56">
              <w:rPr>
                <w:rFonts w:ascii="Calibri" w:eastAsia="Calibri" w:hAnsi="Calibri" w:cs="Times New Roman"/>
              </w:rPr>
              <w:t>England</w:t>
            </w:r>
          </w:p>
        </w:tc>
        <w:tc>
          <w:tcPr>
            <w:tcW w:w="1559" w:type="dxa"/>
            <w:noWrap/>
            <w:hideMark/>
          </w:tcPr>
          <w:p w14:paraId="56696427" w14:textId="77777777" w:rsidR="000F7E56" w:rsidRPr="000F7E56" w:rsidRDefault="000F7E56" w:rsidP="000F7E56">
            <w:pPr>
              <w:spacing w:after="120"/>
              <w:rPr>
                <w:rFonts w:ascii="Calibri" w:eastAsia="Calibri" w:hAnsi="Calibri" w:cs="Times New Roman"/>
              </w:rPr>
            </w:pPr>
            <w:r w:rsidRPr="000F7E56">
              <w:rPr>
                <w:rFonts w:ascii="Calibri" w:eastAsia="Calibri" w:hAnsi="Calibri" w:cs="Times New Roman"/>
              </w:rPr>
              <w:t>Muslim</w:t>
            </w:r>
          </w:p>
        </w:tc>
        <w:tc>
          <w:tcPr>
            <w:tcW w:w="1843" w:type="dxa"/>
            <w:noWrap/>
            <w:hideMark/>
          </w:tcPr>
          <w:p w14:paraId="2434106D" w14:textId="77777777" w:rsidR="000F7E56" w:rsidRPr="000F7E56" w:rsidRDefault="000F7E56" w:rsidP="000F7E56">
            <w:pPr>
              <w:spacing w:after="120"/>
              <w:rPr>
                <w:rFonts w:ascii="Calibri" w:eastAsia="Calibri" w:hAnsi="Calibri" w:cs="Times New Roman"/>
              </w:rPr>
            </w:pPr>
            <w:r w:rsidRPr="000F7E56">
              <w:rPr>
                <w:rFonts w:ascii="Calibri" w:eastAsia="Calibri" w:hAnsi="Calibri" w:cs="Times New Roman"/>
              </w:rPr>
              <w:t>Degree</w:t>
            </w:r>
          </w:p>
        </w:tc>
      </w:tr>
      <w:tr w:rsidR="000F7E56" w:rsidRPr="000F7E56" w14:paraId="195072AD" w14:textId="77777777" w:rsidTr="00966DB7">
        <w:trPr>
          <w:trHeight w:val="481"/>
        </w:trPr>
        <w:tc>
          <w:tcPr>
            <w:tcW w:w="2704" w:type="dxa"/>
            <w:noWrap/>
            <w:hideMark/>
          </w:tcPr>
          <w:p w14:paraId="10D63D40" w14:textId="77777777" w:rsidR="000F7E56" w:rsidRPr="000F7E56" w:rsidRDefault="000F7E56" w:rsidP="000F7E56">
            <w:pPr>
              <w:spacing w:after="120"/>
              <w:rPr>
                <w:rFonts w:ascii="Calibri" w:eastAsia="Calibri" w:hAnsi="Calibri" w:cs="Times New Roman"/>
              </w:rPr>
            </w:pPr>
            <w:r w:rsidRPr="000F7E56">
              <w:rPr>
                <w:rFonts w:ascii="Calibri" w:eastAsia="Calibri" w:hAnsi="Calibri" w:cs="Times New Roman"/>
              </w:rPr>
              <w:t xml:space="preserve">Community Faith Leader </w:t>
            </w:r>
          </w:p>
        </w:tc>
        <w:tc>
          <w:tcPr>
            <w:tcW w:w="1608" w:type="dxa"/>
          </w:tcPr>
          <w:p w14:paraId="05F875D4" w14:textId="77777777" w:rsidR="000F7E56" w:rsidRPr="000F7E56" w:rsidRDefault="000F7E56" w:rsidP="000F7E56">
            <w:pPr>
              <w:spacing w:after="120"/>
              <w:rPr>
                <w:rFonts w:ascii="Calibri" w:eastAsia="Calibri" w:hAnsi="Calibri" w:cs="Times New Roman"/>
              </w:rPr>
            </w:pPr>
            <w:r w:rsidRPr="000F7E56">
              <w:rPr>
                <w:rFonts w:ascii="Calibri" w:eastAsia="Calibri" w:hAnsi="Calibri" w:cs="Times New Roman"/>
              </w:rPr>
              <w:t>Workbook</w:t>
            </w:r>
          </w:p>
        </w:tc>
        <w:tc>
          <w:tcPr>
            <w:tcW w:w="609" w:type="dxa"/>
            <w:noWrap/>
            <w:hideMark/>
          </w:tcPr>
          <w:p w14:paraId="27CCF49F" w14:textId="77777777" w:rsidR="000F7E56" w:rsidRPr="000F7E56" w:rsidRDefault="000F7E56" w:rsidP="000F7E56">
            <w:pPr>
              <w:spacing w:after="120"/>
              <w:rPr>
                <w:rFonts w:ascii="Calibri" w:eastAsia="Calibri" w:hAnsi="Calibri" w:cs="Times New Roman"/>
              </w:rPr>
            </w:pPr>
            <w:r w:rsidRPr="000F7E56">
              <w:rPr>
                <w:rFonts w:ascii="Calibri" w:eastAsia="Calibri" w:hAnsi="Calibri" w:cs="Times New Roman"/>
              </w:rPr>
              <w:t>58</w:t>
            </w:r>
          </w:p>
        </w:tc>
        <w:tc>
          <w:tcPr>
            <w:tcW w:w="533" w:type="dxa"/>
            <w:noWrap/>
            <w:hideMark/>
          </w:tcPr>
          <w:p w14:paraId="7CD150D9" w14:textId="77777777" w:rsidR="000F7E56" w:rsidRPr="000F7E56" w:rsidRDefault="000F7E56" w:rsidP="000F7E56">
            <w:pPr>
              <w:spacing w:after="120"/>
              <w:rPr>
                <w:rFonts w:ascii="Calibri" w:eastAsia="Calibri" w:hAnsi="Calibri" w:cs="Times New Roman"/>
              </w:rPr>
            </w:pPr>
            <w:r w:rsidRPr="000F7E56">
              <w:rPr>
                <w:rFonts w:ascii="Calibri" w:eastAsia="Calibri" w:hAnsi="Calibri" w:cs="Times New Roman"/>
              </w:rPr>
              <w:t>F</w:t>
            </w:r>
          </w:p>
        </w:tc>
        <w:tc>
          <w:tcPr>
            <w:tcW w:w="2201" w:type="dxa"/>
            <w:noWrap/>
            <w:hideMark/>
          </w:tcPr>
          <w:p w14:paraId="051793EA" w14:textId="77777777" w:rsidR="000F7E56" w:rsidRPr="000F7E56" w:rsidRDefault="000F7E56" w:rsidP="000F7E56">
            <w:pPr>
              <w:spacing w:after="120"/>
              <w:rPr>
                <w:rFonts w:ascii="Calibri" w:eastAsia="Calibri" w:hAnsi="Calibri" w:cs="Times New Roman"/>
              </w:rPr>
            </w:pPr>
            <w:r w:rsidRPr="000F7E56">
              <w:rPr>
                <w:rFonts w:ascii="Calibri" w:eastAsia="Calibri" w:hAnsi="Calibri" w:cs="Times New Roman"/>
              </w:rPr>
              <w:t>White</w:t>
            </w:r>
          </w:p>
        </w:tc>
        <w:tc>
          <w:tcPr>
            <w:tcW w:w="2127" w:type="dxa"/>
            <w:noWrap/>
            <w:hideMark/>
          </w:tcPr>
          <w:p w14:paraId="74922DE1" w14:textId="77777777" w:rsidR="000F7E56" w:rsidRPr="000F7E56" w:rsidRDefault="000F7E56" w:rsidP="000F7E56">
            <w:pPr>
              <w:spacing w:after="120"/>
              <w:rPr>
                <w:rFonts w:ascii="Calibri" w:eastAsia="Calibri" w:hAnsi="Calibri" w:cs="Times New Roman"/>
              </w:rPr>
            </w:pPr>
            <w:r w:rsidRPr="000F7E56">
              <w:rPr>
                <w:rFonts w:ascii="Calibri" w:eastAsia="Calibri" w:hAnsi="Calibri" w:cs="Times New Roman"/>
              </w:rPr>
              <w:t>_</w:t>
            </w:r>
          </w:p>
        </w:tc>
        <w:tc>
          <w:tcPr>
            <w:tcW w:w="1984" w:type="dxa"/>
            <w:noWrap/>
            <w:hideMark/>
          </w:tcPr>
          <w:p w14:paraId="26F70195" w14:textId="77777777" w:rsidR="000F7E56" w:rsidRPr="000F7E56" w:rsidRDefault="000F7E56" w:rsidP="000F7E56">
            <w:pPr>
              <w:spacing w:after="120"/>
              <w:rPr>
                <w:rFonts w:ascii="Calibri" w:eastAsia="Calibri" w:hAnsi="Calibri" w:cs="Times New Roman"/>
              </w:rPr>
            </w:pPr>
            <w:r w:rsidRPr="000F7E56">
              <w:rPr>
                <w:rFonts w:ascii="Calibri" w:eastAsia="Calibri" w:hAnsi="Calibri" w:cs="Times New Roman"/>
              </w:rPr>
              <w:t>_</w:t>
            </w:r>
          </w:p>
        </w:tc>
        <w:tc>
          <w:tcPr>
            <w:tcW w:w="1559" w:type="dxa"/>
            <w:noWrap/>
            <w:hideMark/>
          </w:tcPr>
          <w:p w14:paraId="6D0479E2" w14:textId="77777777" w:rsidR="000F7E56" w:rsidRPr="000F7E56" w:rsidRDefault="000F7E56" w:rsidP="000F7E56">
            <w:pPr>
              <w:spacing w:after="120"/>
              <w:rPr>
                <w:rFonts w:ascii="Calibri" w:eastAsia="Calibri" w:hAnsi="Calibri" w:cs="Times New Roman"/>
              </w:rPr>
            </w:pPr>
            <w:r w:rsidRPr="000F7E56">
              <w:rPr>
                <w:rFonts w:ascii="Calibri" w:eastAsia="Calibri" w:hAnsi="Calibri" w:cs="Times New Roman"/>
              </w:rPr>
              <w:t>Church of England</w:t>
            </w:r>
          </w:p>
        </w:tc>
        <w:tc>
          <w:tcPr>
            <w:tcW w:w="1843" w:type="dxa"/>
            <w:noWrap/>
            <w:hideMark/>
          </w:tcPr>
          <w:p w14:paraId="5FC4BB40" w14:textId="77777777" w:rsidR="000F7E56" w:rsidRPr="000F7E56" w:rsidRDefault="000F7E56" w:rsidP="000F7E56">
            <w:pPr>
              <w:spacing w:after="120"/>
              <w:rPr>
                <w:rFonts w:ascii="Calibri" w:eastAsia="Calibri" w:hAnsi="Calibri" w:cs="Times New Roman"/>
              </w:rPr>
            </w:pPr>
            <w:r w:rsidRPr="000F7E56">
              <w:rPr>
                <w:rFonts w:ascii="Calibri" w:eastAsia="Calibri" w:hAnsi="Calibri" w:cs="Times New Roman"/>
              </w:rPr>
              <w:t>Degree</w:t>
            </w:r>
          </w:p>
        </w:tc>
      </w:tr>
    </w:tbl>
    <w:p w14:paraId="3E4C03F4" w14:textId="76A5BF29" w:rsidR="000F7E56" w:rsidRPr="000F7E56" w:rsidRDefault="000F7E56" w:rsidP="000F7E56">
      <w:pPr>
        <w:keepNext/>
        <w:spacing w:after="200" w:line="240" w:lineRule="auto"/>
        <w:jc w:val="both"/>
        <w:rPr>
          <w:rFonts w:ascii="Calibri" w:eastAsia="Calibri" w:hAnsi="Calibri" w:cs="Times New Roman"/>
          <w:iCs/>
          <w:color w:val="44546A" w:themeColor="text2"/>
        </w:rPr>
        <w:sectPr w:rsidR="000F7E56" w:rsidRPr="000F7E56" w:rsidSect="000F7E56">
          <w:pgSz w:w="16838" w:h="11906" w:orient="landscape"/>
          <w:pgMar w:top="1134" w:right="1440" w:bottom="1134" w:left="1440" w:header="709" w:footer="709" w:gutter="0"/>
          <w:cols w:space="708"/>
          <w:docGrid w:linePitch="360"/>
        </w:sectPr>
      </w:pPr>
      <w:bookmarkStart w:id="268" w:name="_Toc89967516"/>
      <w:bookmarkStart w:id="269" w:name="_Toc106701067"/>
      <w:r w:rsidRPr="000F7E56">
        <w:rPr>
          <w:rFonts w:cstheme="minorHAnsi"/>
          <w:iCs/>
          <w:color w:val="44546A" w:themeColor="text2"/>
        </w:rPr>
        <w:t xml:space="preserve">TABLE </w:t>
      </w:r>
      <w:r w:rsidRPr="000F7E56">
        <w:rPr>
          <w:rFonts w:cstheme="minorHAnsi"/>
          <w:iCs/>
          <w:color w:val="44546A" w:themeColor="text2"/>
        </w:rPr>
        <w:fldChar w:fldCharType="begin"/>
      </w:r>
      <w:r w:rsidRPr="000F7E56">
        <w:rPr>
          <w:rFonts w:cstheme="minorHAnsi"/>
          <w:iCs/>
          <w:color w:val="44546A" w:themeColor="text2"/>
        </w:rPr>
        <w:instrText xml:space="preserve"> SEQ Table \* ARABIC </w:instrText>
      </w:r>
      <w:r w:rsidRPr="000F7E56">
        <w:rPr>
          <w:rFonts w:cstheme="minorHAnsi"/>
          <w:iCs/>
          <w:color w:val="44546A" w:themeColor="text2"/>
        </w:rPr>
        <w:fldChar w:fldCharType="separate"/>
      </w:r>
      <w:r w:rsidR="00514EB4">
        <w:rPr>
          <w:rFonts w:cstheme="minorHAnsi"/>
          <w:iCs/>
          <w:noProof/>
          <w:color w:val="44546A" w:themeColor="text2"/>
        </w:rPr>
        <w:t>5</w:t>
      </w:r>
      <w:r w:rsidRPr="000F7E56">
        <w:rPr>
          <w:rFonts w:cstheme="minorHAnsi"/>
          <w:iCs/>
          <w:noProof/>
          <w:color w:val="44546A" w:themeColor="text2"/>
        </w:rPr>
        <w:fldChar w:fldCharType="end"/>
      </w:r>
      <w:r w:rsidRPr="000F7E56">
        <w:rPr>
          <w:rFonts w:cstheme="minorHAnsi"/>
          <w:iCs/>
          <w:noProof/>
          <w:color w:val="44546A" w:themeColor="text2"/>
        </w:rPr>
        <w:t xml:space="preserve"> -</w:t>
      </w:r>
      <w:r w:rsidRPr="000F7E56">
        <w:rPr>
          <w:rFonts w:cstheme="minorHAnsi"/>
          <w:iCs/>
          <w:color w:val="44546A" w:themeColor="text2"/>
        </w:rPr>
        <w:t xml:space="preserve"> Characteristics of Lay and Community Faith Leaders</w:t>
      </w:r>
      <w:bookmarkEnd w:id="268"/>
      <w:bookmarkEnd w:id="269"/>
    </w:p>
    <w:p w14:paraId="05408ED2" w14:textId="77777777" w:rsidR="000F7E56" w:rsidRPr="000F7E56" w:rsidRDefault="000F7E56" w:rsidP="000F7E56">
      <w:pPr>
        <w:spacing w:after="120" w:line="360" w:lineRule="auto"/>
        <w:rPr>
          <w:rFonts w:ascii="Calibri" w:eastAsia="Calibri" w:hAnsi="Calibri" w:cs="Times New Roman"/>
        </w:rPr>
      </w:pPr>
    </w:p>
    <w:p w14:paraId="18B3C657" w14:textId="77777777" w:rsidR="000F7E56" w:rsidRPr="000F7E56" w:rsidRDefault="000F7E56" w:rsidP="000F7E56">
      <w:pPr>
        <w:spacing w:after="120" w:line="360" w:lineRule="auto"/>
        <w:rPr>
          <w:rFonts w:ascii="Calibri" w:eastAsia="Calibri" w:hAnsi="Calibri" w:cs="Times New Roman"/>
        </w:rPr>
      </w:pPr>
      <w:r w:rsidRPr="000F7E56">
        <w:rPr>
          <w:rFonts w:ascii="Calibri" w:eastAsia="Calibri" w:hAnsi="Calibri" w:cs="Times New Roman"/>
        </w:rPr>
        <w:t xml:space="preserve">The majority of the 19 HCP participants were Nurses n=9), followed by Doctors (including GPs) (n=8), a Care Home Manger (n=1) and a Public Health Programme Manager (n=1). The majority described their ethnicity as White (this includes White British) n=13, African (n=3), Indian (n=2) and Pakistani (n=1). Thirteen were Female. Their detailed characteristics are described in Table 6 below.     </w:t>
      </w:r>
    </w:p>
    <w:p w14:paraId="43CCA5FC" w14:textId="77777777" w:rsidR="000F7E56" w:rsidRPr="000F7E56" w:rsidRDefault="000F7E56" w:rsidP="000F7E56">
      <w:pPr>
        <w:spacing w:after="120" w:line="360" w:lineRule="auto"/>
        <w:rPr>
          <w:rFonts w:ascii="Calibri" w:eastAsia="Calibri" w:hAnsi="Calibri" w:cs="Times New Roman"/>
        </w:rPr>
      </w:pPr>
    </w:p>
    <w:tbl>
      <w:tblPr>
        <w:tblStyle w:val="TableGrid"/>
        <w:tblW w:w="9634" w:type="dxa"/>
        <w:tblLook w:val="04A0" w:firstRow="1" w:lastRow="0" w:firstColumn="1" w:lastColumn="0" w:noHBand="0" w:noVBand="1"/>
      </w:tblPr>
      <w:tblGrid>
        <w:gridCol w:w="3596"/>
        <w:gridCol w:w="565"/>
        <w:gridCol w:w="1802"/>
        <w:gridCol w:w="1687"/>
        <w:gridCol w:w="1984"/>
      </w:tblGrid>
      <w:tr w:rsidR="000F7E56" w:rsidRPr="000F7E56" w14:paraId="0236C2F2" w14:textId="77777777" w:rsidTr="000F7E56">
        <w:trPr>
          <w:trHeight w:val="272"/>
        </w:trPr>
        <w:tc>
          <w:tcPr>
            <w:tcW w:w="3596" w:type="dxa"/>
            <w:noWrap/>
          </w:tcPr>
          <w:p w14:paraId="1D089F19" w14:textId="77777777" w:rsidR="000F7E56" w:rsidRPr="000F7E56" w:rsidRDefault="000F7E56" w:rsidP="000F7E56">
            <w:pPr>
              <w:spacing w:after="120"/>
              <w:rPr>
                <w:rFonts w:ascii="Calibri" w:eastAsia="Calibri" w:hAnsi="Calibri" w:cs="Times New Roman"/>
                <w:b/>
              </w:rPr>
            </w:pPr>
            <w:r w:rsidRPr="000F7E56">
              <w:rPr>
                <w:rFonts w:ascii="Calibri" w:eastAsia="Calibri" w:hAnsi="Calibri" w:cs="Times New Roman"/>
                <w:b/>
              </w:rPr>
              <w:t xml:space="preserve">Participant group and speciality </w:t>
            </w:r>
          </w:p>
        </w:tc>
        <w:tc>
          <w:tcPr>
            <w:tcW w:w="565" w:type="dxa"/>
            <w:noWrap/>
          </w:tcPr>
          <w:p w14:paraId="6ECC40CB" w14:textId="77777777" w:rsidR="000F7E56" w:rsidRPr="000F7E56" w:rsidRDefault="000F7E56" w:rsidP="000F7E56">
            <w:pPr>
              <w:spacing w:after="120"/>
              <w:rPr>
                <w:rFonts w:ascii="Calibri" w:eastAsia="Calibri" w:hAnsi="Calibri" w:cs="Times New Roman"/>
                <w:b/>
              </w:rPr>
            </w:pPr>
            <w:r w:rsidRPr="000F7E56">
              <w:rPr>
                <w:rFonts w:ascii="Calibri" w:eastAsia="Calibri" w:hAnsi="Calibri" w:cs="Times New Roman"/>
                <w:b/>
              </w:rPr>
              <w:t>Age</w:t>
            </w:r>
          </w:p>
        </w:tc>
        <w:tc>
          <w:tcPr>
            <w:tcW w:w="1802" w:type="dxa"/>
            <w:noWrap/>
          </w:tcPr>
          <w:p w14:paraId="2CDEAD39" w14:textId="77777777" w:rsidR="000F7E56" w:rsidRPr="000F7E56" w:rsidRDefault="000F7E56" w:rsidP="000F7E56">
            <w:pPr>
              <w:spacing w:after="120"/>
              <w:rPr>
                <w:rFonts w:ascii="Calibri" w:eastAsia="Calibri" w:hAnsi="Calibri" w:cs="Times New Roman"/>
                <w:b/>
              </w:rPr>
            </w:pPr>
            <w:r w:rsidRPr="000F7E56">
              <w:rPr>
                <w:rFonts w:ascii="Calibri" w:eastAsia="Calibri" w:hAnsi="Calibri" w:cs="Times New Roman"/>
                <w:b/>
              </w:rPr>
              <w:t>Sex</w:t>
            </w:r>
          </w:p>
        </w:tc>
        <w:tc>
          <w:tcPr>
            <w:tcW w:w="1687" w:type="dxa"/>
            <w:noWrap/>
          </w:tcPr>
          <w:p w14:paraId="75A838BF" w14:textId="77777777" w:rsidR="000F7E56" w:rsidRPr="000F7E56" w:rsidRDefault="000F7E56" w:rsidP="000F7E56">
            <w:pPr>
              <w:spacing w:after="120"/>
              <w:rPr>
                <w:rFonts w:ascii="Calibri" w:eastAsia="Calibri" w:hAnsi="Calibri" w:cs="Times New Roman"/>
                <w:b/>
              </w:rPr>
            </w:pPr>
            <w:r w:rsidRPr="000F7E56">
              <w:rPr>
                <w:rFonts w:ascii="Calibri" w:eastAsia="Calibri" w:hAnsi="Calibri" w:cs="Times New Roman"/>
                <w:b/>
              </w:rPr>
              <w:t>Ethnicity</w:t>
            </w:r>
          </w:p>
        </w:tc>
        <w:tc>
          <w:tcPr>
            <w:tcW w:w="1984" w:type="dxa"/>
            <w:noWrap/>
          </w:tcPr>
          <w:p w14:paraId="5195FDCF" w14:textId="77777777" w:rsidR="000F7E56" w:rsidRPr="000F7E56" w:rsidRDefault="000F7E56" w:rsidP="000F7E56">
            <w:pPr>
              <w:spacing w:after="120"/>
              <w:rPr>
                <w:rFonts w:ascii="Calibri" w:eastAsia="Calibri" w:hAnsi="Calibri" w:cs="Times New Roman"/>
                <w:b/>
              </w:rPr>
            </w:pPr>
            <w:r w:rsidRPr="000F7E56">
              <w:rPr>
                <w:rFonts w:ascii="Calibri" w:eastAsia="Calibri" w:hAnsi="Calibri" w:cs="Times New Roman"/>
                <w:b/>
              </w:rPr>
              <w:t>Religion</w:t>
            </w:r>
          </w:p>
        </w:tc>
      </w:tr>
      <w:tr w:rsidR="000F7E56" w:rsidRPr="000F7E56" w14:paraId="4B47182E" w14:textId="77777777" w:rsidTr="000F7E56">
        <w:trPr>
          <w:trHeight w:val="272"/>
        </w:trPr>
        <w:tc>
          <w:tcPr>
            <w:tcW w:w="3596" w:type="dxa"/>
            <w:noWrap/>
            <w:hideMark/>
          </w:tcPr>
          <w:p w14:paraId="09E1821A" w14:textId="77777777" w:rsidR="000F7E56" w:rsidRPr="000F7E56" w:rsidRDefault="000F7E56" w:rsidP="000F7E56">
            <w:pPr>
              <w:spacing w:after="120"/>
              <w:rPr>
                <w:rFonts w:ascii="Calibri" w:eastAsia="Calibri" w:hAnsi="Calibri" w:cs="Times New Roman"/>
              </w:rPr>
            </w:pPr>
            <w:r w:rsidRPr="000F7E56">
              <w:rPr>
                <w:rFonts w:ascii="Calibri" w:eastAsia="Calibri" w:hAnsi="Calibri" w:cs="Times New Roman"/>
              </w:rPr>
              <w:t>Doctor in training, Palliative Care</w:t>
            </w:r>
          </w:p>
        </w:tc>
        <w:tc>
          <w:tcPr>
            <w:tcW w:w="565" w:type="dxa"/>
            <w:noWrap/>
            <w:hideMark/>
          </w:tcPr>
          <w:p w14:paraId="2B48DE2A" w14:textId="77777777" w:rsidR="000F7E56" w:rsidRPr="000F7E56" w:rsidRDefault="000F7E56" w:rsidP="000F7E56">
            <w:pPr>
              <w:spacing w:after="120"/>
              <w:rPr>
                <w:rFonts w:ascii="Calibri" w:eastAsia="Calibri" w:hAnsi="Calibri" w:cs="Times New Roman"/>
              </w:rPr>
            </w:pPr>
            <w:r w:rsidRPr="000F7E56">
              <w:rPr>
                <w:rFonts w:ascii="Calibri" w:eastAsia="Calibri" w:hAnsi="Calibri" w:cs="Times New Roman"/>
              </w:rPr>
              <w:t>36</w:t>
            </w:r>
          </w:p>
        </w:tc>
        <w:tc>
          <w:tcPr>
            <w:tcW w:w="1802" w:type="dxa"/>
            <w:noWrap/>
            <w:hideMark/>
          </w:tcPr>
          <w:p w14:paraId="257FBD01" w14:textId="77777777" w:rsidR="000F7E56" w:rsidRPr="000F7E56" w:rsidRDefault="000F7E56" w:rsidP="000F7E56">
            <w:pPr>
              <w:spacing w:after="120"/>
              <w:rPr>
                <w:rFonts w:ascii="Calibri" w:eastAsia="Calibri" w:hAnsi="Calibri" w:cs="Times New Roman"/>
              </w:rPr>
            </w:pPr>
            <w:r w:rsidRPr="000F7E56">
              <w:rPr>
                <w:rFonts w:ascii="Calibri" w:eastAsia="Calibri" w:hAnsi="Calibri" w:cs="Times New Roman"/>
              </w:rPr>
              <w:t>Female</w:t>
            </w:r>
          </w:p>
        </w:tc>
        <w:tc>
          <w:tcPr>
            <w:tcW w:w="1687" w:type="dxa"/>
            <w:noWrap/>
            <w:hideMark/>
          </w:tcPr>
          <w:p w14:paraId="30828C18" w14:textId="77777777" w:rsidR="000F7E56" w:rsidRPr="000F7E56" w:rsidRDefault="000F7E56" w:rsidP="000F7E56">
            <w:pPr>
              <w:spacing w:after="120"/>
              <w:rPr>
                <w:rFonts w:ascii="Calibri" w:eastAsia="Calibri" w:hAnsi="Calibri" w:cs="Times New Roman"/>
              </w:rPr>
            </w:pPr>
            <w:r w:rsidRPr="000F7E56">
              <w:rPr>
                <w:rFonts w:ascii="Calibri" w:eastAsia="Calibri" w:hAnsi="Calibri" w:cs="Times New Roman"/>
              </w:rPr>
              <w:t>White</w:t>
            </w:r>
          </w:p>
        </w:tc>
        <w:tc>
          <w:tcPr>
            <w:tcW w:w="1984" w:type="dxa"/>
            <w:noWrap/>
            <w:hideMark/>
          </w:tcPr>
          <w:p w14:paraId="1B4543CF" w14:textId="77777777" w:rsidR="000F7E56" w:rsidRPr="000F7E56" w:rsidRDefault="000F7E56" w:rsidP="000F7E56">
            <w:pPr>
              <w:spacing w:after="120"/>
              <w:rPr>
                <w:rFonts w:ascii="Calibri" w:eastAsia="Calibri" w:hAnsi="Calibri" w:cs="Times New Roman"/>
              </w:rPr>
            </w:pPr>
            <w:r w:rsidRPr="000F7E56">
              <w:rPr>
                <w:rFonts w:ascii="Calibri" w:eastAsia="Calibri" w:hAnsi="Calibri" w:cs="Times New Roman"/>
              </w:rPr>
              <w:t xml:space="preserve">Other Christian </w:t>
            </w:r>
          </w:p>
        </w:tc>
      </w:tr>
      <w:tr w:rsidR="000F7E56" w:rsidRPr="000F7E56" w14:paraId="39D92F42" w14:textId="77777777" w:rsidTr="000F7E56">
        <w:trPr>
          <w:trHeight w:val="272"/>
        </w:trPr>
        <w:tc>
          <w:tcPr>
            <w:tcW w:w="3596" w:type="dxa"/>
            <w:noWrap/>
            <w:hideMark/>
          </w:tcPr>
          <w:p w14:paraId="017772D8" w14:textId="77777777" w:rsidR="000F7E56" w:rsidRPr="000F7E56" w:rsidRDefault="000F7E56" w:rsidP="000F7E56">
            <w:pPr>
              <w:spacing w:after="120"/>
              <w:rPr>
                <w:rFonts w:ascii="Calibri" w:eastAsia="Calibri" w:hAnsi="Calibri" w:cs="Times New Roman"/>
              </w:rPr>
            </w:pPr>
            <w:r w:rsidRPr="000F7E56">
              <w:rPr>
                <w:rFonts w:ascii="Calibri" w:eastAsia="Calibri" w:hAnsi="Calibri" w:cs="Times New Roman"/>
              </w:rPr>
              <w:t>GP, Palliative Care</w:t>
            </w:r>
          </w:p>
        </w:tc>
        <w:tc>
          <w:tcPr>
            <w:tcW w:w="565" w:type="dxa"/>
            <w:noWrap/>
            <w:hideMark/>
          </w:tcPr>
          <w:p w14:paraId="5E7D8742" w14:textId="77777777" w:rsidR="000F7E56" w:rsidRPr="000F7E56" w:rsidRDefault="000F7E56" w:rsidP="000F7E56">
            <w:pPr>
              <w:spacing w:after="120"/>
              <w:rPr>
                <w:rFonts w:ascii="Calibri" w:eastAsia="Calibri" w:hAnsi="Calibri" w:cs="Times New Roman"/>
              </w:rPr>
            </w:pPr>
            <w:r w:rsidRPr="000F7E56">
              <w:rPr>
                <w:rFonts w:ascii="Calibri" w:eastAsia="Calibri" w:hAnsi="Calibri" w:cs="Times New Roman"/>
              </w:rPr>
              <w:t>38</w:t>
            </w:r>
          </w:p>
        </w:tc>
        <w:tc>
          <w:tcPr>
            <w:tcW w:w="1802" w:type="dxa"/>
            <w:noWrap/>
            <w:hideMark/>
          </w:tcPr>
          <w:p w14:paraId="10BAD110" w14:textId="77777777" w:rsidR="000F7E56" w:rsidRPr="000F7E56" w:rsidRDefault="000F7E56" w:rsidP="000F7E56">
            <w:pPr>
              <w:spacing w:after="120"/>
              <w:rPr>
                <w:rFonts w:ascii="Calibri" w:eastAsia="Calibri" w:hAnsi="Calibri" w:cs="Times New Roman"/>
              </w:rPr>
            </w:pPr>
            <w:r w:rsidRPr="000F7E56">
              <w:rPr>
                <w:rFonts w:ascii="Calibri" w:eastAsia="Calibri" w:hAnsi="Calibri" w:cs="Times New Roman"/>
              </w:rPr>
              <w:t>Male</w:t>
            </w:r>
          </w:p>
        </w:tc>
        <w:tc>
          <w:tcPr>
            <w:tcW w:w="1687" w:type="dxa"/>
            <w:noWrap/>
            <w:hideMark/>
          </w:tcPr>
          <w:p w14:paraId="69F308D5" w14:textId="77777777" w:rsidR="000F7E56" w:rsidRPr="000F7E56" w:rsidRDefault="000F7E56" w:rsidP="000F7E56">
            <w:pPr>
              <w:spacing w:after="120"/>
              <w:rPr>
                <w:rFonts w:ascii="Calibri" w:eastAsia="Calibri" w:hAnsi="Calibri" w:cs="Times New Roman"/>
              </w:rPr>
            </w:pPr>
            <w:r w:rsidRPr="000F7E56">
              <w:rPr>
                <w:rFonts w:ascii="Calibri" w:eastAsia="Calibri" w:hAnsi="Calibri" w:cs="Times New Roman"/>
              </w:rPr>
              <w:t>African</w:t>
            </w:r>
          </w:p>
        </w:tc>
        <w:tc>
          <w:tcPr>
            <w:tcW w:w="1984" w:type="dxa"/>
            <w:noWrap/>
            <w:hideMark/>
          </w:tcPr>
          <w:p w14:paraId="2BA6D229" w14:textId="77777777" w:rsidR="000F7E56" w:rsidRPr="000F7E56" w:rsidRDefault="000F7E56" w:rsidP="000F7E56">
            <w:pPr>
              <w:spacing w:after="120"/>
              <w:rPr>
                <w:rFonts w:ascii="Calibri" w:eastAsia="Calibri" w:hAnsi="Calibri" w:cs="Times New Roman"/>
              </w:rPr>
            </w:pPr>
            <w:r w:rsidRPr="000F7E56">
              <w:rPr>
                <w:rFonts w:ascii="Calibri" w:eastAsia="Calibri" w:hAnsi="Calibri" w:cs="Times New Roman"/>
              </w:rPr>
              <w:t xml:space="preserve">Other Christian </w:t>
            </w:r>
          </w:p>
        </w:tc>
      </w:tr>
      <w:tr w:rsidR="000F7E56" w:rsidRPr="000F7E56" w14:paraId="7F40AE16" w14:textId="77777777" w:rsidTr="000F7E56">
        <w:trPr>
          <w:trHeight w:val="272"/>
        </w:trPr>
        <w:tc>
          <w:tcPr>
            <w:tcW w:w="3596" w:type="dxa"/>
            <w:noWrap/>
            <w:hideMark/>
          </w:tcPr>
          <w:p w14:paraId="5BF6D1F0" w14:textId="77777777" w:rsidR="000F7E56" w:rsidRPr="000F7E56" w:rsidRDefault="000F7E56" w:rsidP="000F7E56">
            <w:pPr>
              <w:spacing w:after="120"/>
              <w:rPr>
                <w:rFonts w:ascii="Calibri" w:eastAsia="Calibri" w:hAnsi="Calibri" w:cs="Times New Roman"/>
              </w:rPr>
            </w:pPr>
            <w:r w:rsidRPr="000F7E56">
              <w:rPr>
                <w:rFonts w:ascii="Calibri" w:eastAsia="Calibri" w:hAnsi="Calibri" w:cs="Times New Roman"/>
              </w:rPr>
              <w:t xml:space="preserve">Nurse, Renal </w:t>
            </w:r>
          </w:p>
        </w:tc>
        <w:tc>
          <w:tcPr>
            <w:tcW w:w="565" w:type="dxa"/>
            <w:noWrap/>
            <w:hideMark/>
          </w:tcPr>
          <w:p w14:paraId="26E0D1A9" w14:textId="77777777" w:rsidR="000F7E56" w:rsidRPr="000F7E56" w:rsidRDefault="000F7E56" w:rsidP="000F7E56">
            <w:pPr>
              <w:spacing w:after="120"/>
              <w:rPr>
                <w:rFonts w:ascii="Calibri" w:eastAsia="Calibri" w:hAnsi="Calibri" w:cs="Times New Roman"/>
              </w:rPr>
            </w:pPr>
            <w:r w:rsidRPr="000F7E56">
              <w:rPr>
                <w:rFonts w:ascii="Calibri" w:eastAsia="Calibri" w:hAnsi="Calibri" w:cs="Times New Roman"/>
              </w:rPr>
              <w:t>57</w:t>
            </w:r>
          </w:p>
        </w:tc>
        <w:tc>
          <w:tcPr>
            <w:tcW w:w="1802" w:type="dxa"/>
            <w:noWrap/>
            <w:hideMark/>
          </w:tcPr>
          <w:p w14:paraId="19D80256" w14:textId="77777777" w:rsidR="000F7E56" w:rsidRPr="000F7E56" w:rsidRDefault="000F7E56" w:rsidP="000F7E56">
            <w:pPr>
              <w:spacing w:after="120"/>
              <w:rPr>
                <w:rFonts w:ascii="Calibri" w:eastAsia="Calibri" w:hAnsi="Calibri" w:cs="Times New Roman"/>
              </w:rPr>
            </w:pPr>
            <w:r w:rsidRPr="000F7E56">
              <w:rPr>
                <w:rFonts w:ascii="Calibri" w:eastAsia="Calibri" w:hAnsi="Calibri" w:cs="Times New Roman"/>
              </w:rPr>
              <w:t>Female</w:t>
            </w:r>
          </w:p>
        </w:tc>
        <w:tc>
          <w:tcPr>
            <w:tcW w:w="1687" w:type="dxa"/>
            <w:noWrap/>
            <w:hideMark/>
          </w:tcPr>
          <w:p w14:paraId="0EDE4ABA" w14:textId="77777777" w:rsidR="000F7E56" w:rsidRPr="000F7E56" w:rsidRDefault="000F7E56" w:rsidP="000F7E56">
            <w:pPr>
              <w:spacing w:after="120"/>
              <w:rPr>
                <w:rFonts w:ascii="Calibri" w:eastAsia="Calibri" w:hAnsi="Calibri" w:cs="Times New Roman"/>
              </w:rPr>
            </w:pPr>
            <w:r w:rsidRPr="000F7E56">
              <w:rPr>
                <w:rFonts w:ascii="Calibri" w:eastAsia="Calibri" w:hAnsi="Calibri" w:cs="Times New Roman"/>
              </w:rPr>
              <w:t xml:space="preserve">White British </w:t>
            </w:r>
          </w:p>
        </w:tc>
        <w:tc>
          <w:tcPr>
            <w:tcW w:w="1984" w:type="dxa"/>
            <w:noWrap/>
            <w:hideMark/>
          </w:tcPr>
          <w:p w14:paraId="00E57EDE" w14:textId="77777777" w:rsidR="000F7E56" w:rsidRPr="000F7E56" w:rsidRDefault="000F7E56" w:rsidP="000F7E56">
            <w:pPr>
              <w:spacing w:after="120"/>
              <w:rPr>
                <w:rFonts w:ascii="Calibri" w:eastAsia="Calibri" w:hAnsi="Calibri" w:cs="Times New Roman"/>
              </w:rPr>
            </w:pPr>
            <w:r w:rsidRPr="000F7E56">
              <w:rPr>
                <w:rFonts w:ascii="Calibri" w:eastAsia="Calibri" w:hAnsi="Calibri" w:cs="Times New Roman"/>
              </w:rPr>
              <w:t xml:space="preserve">Other Christian </w:t>
            </w:r>
          </w:p>
        </w:tc>
      </w:tr>
      <w:tr w:rsidR="000F7E56" w:rsidRPr="000F7E56" w14:paraId="16F4D759" w14:textId="77777777" w:rsidTr="000F7E56">
        <w:trPr>
          <w:trHeight w:val="272"/>
        </w:trPr>
        <w:tc>
          <w:tcPr>
            <w:tcW w:w="3596" w:type="dxa"/>
            <w:noWrap/>
            <w:hideMark/>
          </w:tcPr>
          <w:p w14:paraId="6F637EF9" w14:textId="77777777" w:rsidR="000F7E56" w:rsidRPr="000F7E56" w:rsidRDefault="000F7E56" w:rsidP="000F7E56">
            <w:pPr>
              <w:spacing w:after="120"/>
              <w:rPr>
                <w:rFonts w:ascii="Calibri" w:eastAsia="Calibri" w:hAnsi="Calibri" w:cs="Times New Roman"/>
              </w:rPr>
            </w:pPr>
            <w:r w:rsidRPr="000F7E56">
              <w:rPr>
                <w:rFonts w:ascii="Calibri" w:eastAsia="Calibri" w:hAnsi="Calibri" w:cs="Times New Roman"/>
              </w:rPr>
              <w:t xml:space="preserve">Nurse, Primary care Research </w:t>
            </w:r>
          </w:p>
        </w:tc>
        <w:tc>
          <w:tcPr>
            <w:tcW w:w="565" w:type="dxa"/>
            <w:noWrap/>
            <w:hideMark/>
          </w:tcPr>
          <w:p w14:paraId="570AFAEF" w14:textId="77777777" w:rsidR="000F7E56" w:rsidRPr="000F7E56" w:rsidRDefault="000F7E56" w:rsidP="000F7E56">
            <w:pPr>
              <w:spacing w:after="120"/>
              <w:rPr>
                <w:rFonts w:ascii="Calibri" w:eastAsia="Calibri" w:hAnsi="Calibri" w:cs="Times New Roman"/>
              </w:rPr>
            </w:pPr>
            <w:r w:rsidRPr="000F7E56">
              <w:rPr>
                <w:rFonts w:ascii="Calibri" w:eastAsia="Calibri" w:hAnsi="Calibri" w:cs="Times New Roman"/>
              </w:rPr>
              <w:t>61</w:t>
            </w:r>
          </w:p>
        </w:tc>
        <w:tc>
          <w:tcPr>
            <w:tcW w:w="1802" w:type="dxa"/>
            <w:noWrap/>
            <w:hideMark/>
          </w:tcPr>
          <w:p w14:paraId="5B4992FE" w14:textId="77777777" w:rsidR="000F7E56" w:rsidRPr="000F7E56" w:rsidRDefault="000F7E56" w:rsidP="000F7E56">
            <w:pPr>
              <w:spacing w:after="120"/>
              <w:rPr>
                <w:rFonts w:ascii="Calibri" w:eastAsia="Calibri" w:hAnsi="Calibri" w:cs="Times New Roman"/>
              </w:rPr>
            </w:pPr>
            <w:r w:rsidRPr="000F7E56">
              <w:rPr>
                <w:rFonts w:ascii="Calibri" w:eastAsia="Calibri" w:hAnsi="Calibri" w:cs="Times New Roman"/>
              </w:rPr>
              <w:t>Male</w:t>
            </w:r>
          </w:p>
        </w:tc>
        <w:tc>
          <w:tcPr>
            <w:tcW w:w="1687" w:type="dxa"/>
            <w:noWrap/>
            <w:hideMark/>
          </w:tcPr>
          <w:p w14:paraId="3098F0E4" w14:textId="77777777" w:rsidR="000F7E56" w:rsidRPr="000F7E56" w:rsidRDefault="000F7E56" w:rsidP="000F7E56">
            <w:pPr>
              <w:spacing w:after="120"/>
              <w:rPr>
                <w:rFonts w:ascii="Calibri" w:eastAsia="Calibri" w:hAnsi="Calibri" w:cs="Times New Roman"/>
              </w:rPr>
            </w:pPr>
            <w:r w:rsidRPr="000F7E56">
              <w:rPr>
                <w:rFonts w:ascii="Calibri" w:eastAsia="Calibri" w:hAnsi="Calibri" w:cs="Times New Roman"/>
              </w:rPr>
              <w:t>White</w:t>
            </w:r>
          </w:p>
        </w:tc>
        <w:tc>
          <w:tcPr>
            <w:tcW w:w="1984" w:type="dxa"/>
            <w:noWrap/>
            <w:hideMark/>
          </w:tcPr>
          <w:p w14:paraId="765E33C4" w14:textId="77777777" w:rsidR="000F7E56" w:rsidRPr="000F7E56" w:rsidRDefault="000F7E56" w:rsidP="000F7E56">
            <w:pPr>
              <w:spacing w:after="120"/>
              <w:rPr>
                <w:rFonts w:ascii="Calibri" w:eastAsia="Calibri" w:hAnsi="Calibri" w:cs="Times New Roman"/>
              </w:rPr>
            </w:pPr>
            <w:r w:rsidRPr="000F7E56">
              <w:rPr>
                <w:rFonts w:ascii="Calibri" w:eastAsia="Calibri" w:hAnsi="Calibri" w:cs="Times New Roman"/>
              </w:rPr>
              <w:t>Jewish</w:t>
            </w:r>
          </w:p>
        </w:tc>
      </w:tr>
      <w:tr w:rsidR="000F7E56" w:rsidRPr="000F7E56" w14:paraId="667BAF3E" w14:textId="77777777" w:rsidTr="000F7E56">
        <w:trPr>
          <w:trHeight w:val="272"/>
        </w:trPr>
        <w:tc>
          <w:tcPr>
            <w:tcW w:w="3596" w:type="dxa"/>
            <w:noWrap/>
            <w:hideMark/>
          </w:tcPr>
          <w:p w14:paraId="49F62F99" w14:textId="77777777" w:rsidR="000F7E56" w:rsidRPr="000F7E56" w:rsidRDefault="000F7E56" w:rsidP="000F7E56">
            <w:pPr>
              <w:spacing w:after="120"/>
              <w:rPr>
                <w:rFonts w:ascii="Calibri" w:eastAsia="Calibri" w:hAnsi="Calibri" w:cs="Times New Roman"/>
              </w:rPr>
            </w:pPr>
            <w:r w:rsidRPr="000F7E56">
              <w:rPr>
                <w:rFonts w:ascii="Calibri" w:eastAsia="Calibri" w:hAnsi="Calibri" w:cs="Times New Roman"/>
              </w:rPr>
              <w:t>GP</w:t>
            </w:r>
          </w:p>
        </w:tc>
        <w:tc>
          <w:tcPr>
            <w:tcW w:w="565" w:type="dxa"/>
            <w:noWrap/>
            <w:hideMark/>
          </w:tcPr>
          <w:p w14:paraId="048CD841" w14:textId="77777777" w:rsidR="000F7E56" w:rsidRPr="000F7E56" w:rsidRDefault="000F7E56" w:rsidP="000F7E56">
            <w:pPr>
              <w:spacing w:after="120"/>
              <w:rPr>
                <w:rFonts w:ascii="Calibri" w:eastAsia="Calibri" w:hAnsi="Calibri" w:cs="Times New Roman"/>
              </w:rPr>
            </w:pPr>
          </w:p>
        </w:tc>
        <w:tc>
          <w:tcPr>
            <w:tcW w:w="1802" w:type="dxa"/>
            <w:noWrap/>
            <w:hideMark/>
          </w:tcPr>
          <w:p w14:paraId="2A50D6A9" w14:textId="77777777" w:rsidR="000F7E56" w:rsidRPr="000F7E56" w:rsidRDefault="000F7E56" w:rsidP="000F7E56">
            <w:pPr>
              <w:spacing w:after="120"/>
              <w:rPr>
                <w:rFonts w:ascii="Calibri" w:eastAsia="Calibri" w:hAnsi="Calibri" w:cs="Times New Roman"/>
              </w:rPr>
            </w:pPr>
            <w:r w:rsidRPr="000F7E56">
              <w:rPr>
                <w:rFonts w:ascii="Calibri" w:eastAsia="Calibri" w:hAnsi="Calibri" w:cs="Times New Roman"/>
              </w:rPr>
              <w:t>Male</w:t>
            </w:r>
          </w:p>
        </w:tc>
        <w:tc>
          <w:tcPr>
            <w:tcW w:w="1687" w:type="dxa"/>
            <w:noWrap/>
            <w:hideMark/>
          </w:tcPr>
          <w:p w14:paraId="7A47C8D7" w14:textId="77777777" w:rsidR="000F7E56" w:rsidRPr="000F7E56" w:rsidRDefault="000F7E56" w:rsidP="000F7E56">
            <w:pPr>
              <w:spacing w:after="120"/>
              <w:rPr>
                <w:rFonts w:ascii="Calibri" w:eastAsia="Calibri" w:hAnsi="Calibri" w:cs="Times New Roman"/>
              </w:rPr>
            </w:pPr>
            <w:r w:rsidRPr="000F7E56">
              <w:rPr>
                <w:rFonts w:ascii="Calibri" w:eastAsia="Calibri" w:hAnsi="Calibri" w:cs="Times New Roman"/>
              </w:rPr>
              <w:t>Pakistani</w:t>
            </w:r>
          </w:p>
        </w:tc>
        <w:tc>
          <w:tcPr>
            <w:tcW w:w="1984" w:type="dxa"/>
            <w:noWrap/>
            <w:hideMark/>
          </w:tcPr>
          <w:p w14:paraId="2EF0C9D5" w14:textId="77777777" w:rsidR="000F7E56" w:rsidRPr="000F7E56" w:rsidRDefault="000F7E56" w:rsidP="000F7E56">
            <w:pPr>
              <w:spacing w:after="120"/>
              <w:rPr>
                <w:rFonts w:ascii="Calibri" w:eastAsia="Calibri" w:hAnsi="Calibri" w:cs="Times New Roman"/>
              </w:rPr>
            </w:pPr>
            <w:r w:rsidRPr="000F7E56">
              <w:rPr>
                <w:rFonts w:ascii="Calibri" w:eastAsia="Calibri" w:hAnsi="Calibri" w:cs="Times New Roman"/>
              </w:rPr>
              <w:t>Muslim</w:t>
            </w:r>
          </w:p>
        </w:tc>
      </w:tr>
      <w:tr w:rsidR="000F7E56" w:rsidRPr="000F7E56" w14:paraId="5C21101C" w14:textId="77777777" w:rsidTr="000F7E56">
        <w:trPr>
          <w:trHeight w:val="272"/>
        </w:trPr>
        <w:tc>
          <w:tcPr>
            <w:tcW w:w="3596" w:type="dxa"/>
            <w:noWrap/>
            <w:hideMark/>
          </w:tcPr>
          <w:p w14:paraId="31FEC693" w14:textId="77777777" w:rsidR="000F7E56" w:rsidRPr="000F7E56" w:rsidRDefault="000F7E56" w:rsidP="000F7E56">
            <w:pPr>
              <w:spacing w:after="120"/>
              <w:rPr>
                <w:rFonts w:ascii="Calibri" w:eastAsia="Calibri" w:hAnsi="Calibri" w:cs="Times New Roman"/>
              </w:rPr>
            </w:pPr>
            <w:r w:rsidRPr="000F7E56">
              <w:rPr>
                <w:rFonts w:ascii="Calibri" w:eastAsia="Calibri" w:hAnsi="Calibri" w:cs="Times New Roman"/>
              </w:rPr>
              <w:t>Doctor in training, Foundation Programme</w:t>
            </w:r>
          </w:p>
        </w:tc>
        <w:tc>
          <w:tcPr>
            <w:tcW w:w="565" w:type="dxa"/>
            <w:noWrap/>
            <w:hideMark/>
          </w:tcPr>
          <w:p w14:paraId="1614C235" w14:textId="77777777" w:rsidR="000F7E56" w:rsidRPr="000F7E56" w:rsidRDefault="000F7E56" w:rsidP="000F7E56">
            <w:pPr>
              <w:spacing w:after="120"/>
              <w:rPr>
                <w:rFonts w:ascii="Calibri" w:eastAsia="Calibri" w:hAnsi="Calibri" w:cs="Times New Roman"/>
              </w:rPr>
            </w:pPr>
            <w:r w:rsidRPr="000F7E56">
              <w:rPr>
                <w:rFonts w:ascii="Calibri" w:eastAsia="Calibri" w:hAnsi="Calibri" w:cs="Times New Roman"/>
              </w:rPr>
              <w:t>25</w:t>
            </w:r>
          </w:p>
        </w:tc>
        <w:tc>
          <w:tcPr>
            <w:tcW w:w="1802" w:type="dxa"/>
            <w:noWrap/>
            <w:hideMark/>
          </w:tcPr>
          <w:p w14:paraId="356B25B3" w14:textId="77777777" w:rsidR="000F7E56" w:rsidRPr="000F7E56" w:rsidRDefault="000F7E56" w:rsidP="000F7E56">
            <w:pPr>
              <w:spacing w:after="120"/>
              <w:rPr>
                <w:rFonts w:ascii="Calibri" w:eastAsia="Calibri" w:hAnsi="Calibri" w:cs="Times New Roman"/>
              </w:rPr>
            </w:pPr>
            <w:r w:rsidRPr="000F7E56">
              <w:rPr>
                <w:rFonts w:ascii="Calibri" w:eastAsia="Calibri" w:hAnsi="Calibri" w:cs="Times New Roman"/>
              </w:rPr>
              <w:t>Female</w:t>
            </w:r>
          </w:p>
        </w:tc>
        <w:tc>
          <w:tcPr>
            <w:tcW w:w="1687" w:type="dxa"/>
            <w:noWrap/>
            <w:hideMark/>
          </w:tcPr>
          <w:p w14:paraId="6A921193" w14:textId="77777777" w:rsidR="000F7E56" w:rsidRPr="000F7E56" w:rsidRDefault="000F7E56" w:rsidP="000F7E56">
            <w:pPr>
              <w:spacing w:after="120"/>
              <w:rPr>
                <w:rFonts w:ascii="Calibri" w:eastAsia="Calibri" w:hAnsi="Calibri" w:cs="Times New Roman"/>
              </w:rPr>
            </w:pPr>
            <w:r w:rsidRPr="000F7E56">
              <w:rPr>
                <w:rFonts w:ascii="Calibri" w:eastAsia="Calibri" w:hAnsi="Calibri" w:cs="Times New Roman"/>
              </w:rPr>
              <w:t>White</w:t>
            </w:r>
          </w:p>
        </w:tc>
        <w:tc>
          <w:tcPr>
            <w:tcW w:w="1984" w:type="dxa"/>
            <w:noWrap/>
            <w:hideMark/>
          </w:tcPr>
          <w:p w14:paraId="00B93489" w14:textId="77777777" w:rsidR="000F7E56" w:rsidRPr="000F7E56" w:rsidRDefault="000F7E56" w:rsidP="000F7E56">
            <w:pPr>
              <w:spacing w:after="120"/>
              <w:rPr>
                <w:rFonts w:ascii="Calibri" w:eastAsia="Calibri" w:hAnsi="Calibri" w:cs="Times New Roman"/>
              </w:rPr>
            </w:pPr>
            <w:r w:rsidRPr="000F7E56">
              <w:rPr>
                <w:rFonts w:ascii="Calibri" w:eastAsia="Calibri" w:hAnsi="Calibri" w:cs="Times New Roman"/>
              </w:rPr>
              <w:t>No religion</w:t>
            </w:r>
          </w:p>
        </w:tc>
      </w:tr>
      <w:tr w:rsidR="000F7E56" w:rsidRPr="000F7E56" w14:paraId="5BEE5DA7" w14:textId="77777777" w:rsidTr="000F7E56">
        <w:trPr>
          <w:trHeight w:val="272"/>
        </w:trPr>
        <w:tc>
          <w:tcPr>
            <w:tcW w:w="3596" w:type="dxa"/>
            <w:noWrap/>
            <w:hideMark/>
          </w:tcPr>
          <w:p w14:paraId="7B73DFAE" w14:textId="77777777" w:rsidR="000F7E56" w:rsidRPr="000F7E56" w:rsidRDefault="000F7E56" w:rsidP="000F7E56">
            <w:pPr>
              <w:spacing w:after="120"/>
              <w:rPr>
                <w:rFonts w:ascii="Calibri" w:eastAsia="Calibri" w:hAnsi="Calibri" w:cs="Times New Roman"/>
              </w:rPr>
            </w:pPr>
            <w:r w:rsidRPr="000F7E56">
              <w:rPr>
                <w:rFonts w:ascii="Calibri" w:eastAsia="Calibri" w:hAnsi="Calibri" w:cs="Times New Roman"/>
              </w:rPr>
              <w:t>GP and Palliative Care</w:t>
            </w:r>
          </w:p>
        </w:tc>
        <w:tc>
          <w:tcPr>
            <w:tcW w:w="565" w:type="dxa"/>
            <w:noWrap/>
            <w:hideMark/>
          </w:tcPr>
          <w:p w14:paraId="275915E4" w14:textId="77777777" w:rsidR="000F7E56" w:rsidRPr="000F7E56" w:rsidRDefault="000F7E56" w:rsidP="000F7E56">
            <w:pPr>
              <w:spacing w:after="120"/>
              <w:rPr>
                <w:rFonts w:ascii="Calibri" w:eastAsia="Calibri" w:hAnsi="Calibri" w:cs="Times New Roman"/>
              </w:rPr>
            </w:pPr>
          </w:p>
        </w:tc>
        <w:tc>
          <w:tcPr>
            <w:tcW w:w="1802" w:type="dxa"/>
            <w:noWrap/>
            <w:hideMark/>
          </w:tcPr>
          <w:p w14:paraId="1FA99316" w14:textId="77777777" w:rsidR="000F7E56" w:rsidRPr="000F7E56" w:rsidRDefault="000F7E56" w:rsidP="000F7E56">
            <w:pPr>
              <w:spacing w:after="120"/>
              <w:rPr>
                <w:rFonts w:ascii="Calibri" w:eastAsia="Calibri" w:hAnsi="Calibri" w:cs="Times New Roman"/>
              </w:rPr>
            </w:pPr>
            <w:r w:rsidRPr="000F7E56">
              <w:rPr>
                <w:rFonts w:ascii="Calibri" w:eastAsia="Calibri" w:hAnsi="Calibri" w:cs="Times New Roman"/>
              </w:rPr>
              <w:t>Male</w:t>
            </w:r>
          </w:p>
        </w:tc>
        <w:tc>
          <w:tcPr>
            <w:tcW w:w="1687" w:type="dxa"/>
            <w:noWrap/>
            <w:hideMark/>
          </w:tcPr>
          <w:p w14:paraId="477C82DE" w14:textId="77777777" w:rsidR="000F7E56" w:rsidRPr="000F7E56" w:rsidRDefault="000F7E56" w:rsidP="000F7E56">
            <w:pPr>
              <w:spacing w:after="120"/>
              <w:rPr>
                <w:rFonts w:ascii="Calibri" w:eastAsia="Calibri" w:hAnsi="Calibri" w:cs="Times New Roman"/>
              </w:rPr>
            </w:pPr>
            <w:r w:rsidRPr="000F7E56">
              <w:rPr>
                <w:rFonts w:ascii="Calibri" w:eastAsia="Calibri" w:hAnsi="Calibri" w:cs="Times New Roman"/>
              </w:rPr>
              <w:t>Indian</w:t>
            </w:r>
          </w:p>
        </w:tc>
        <w:tc>
          <w:tcPr>
            <w:tcW w:w="1984" w:type="dxa"/>
            <w:noWrap/>
            <w:hideMark/>
          </w:tcPr>
          <w:p w14:paraId="0EB54A41" w14:textId="77777777" w:rsidR="000F7E56" w:rsidRPr="000F7E56" w:rsidRDefault="000F7E56" w:rsidP="000F7E56">
            <w:pPr>
              <w:spacing w:after="120"/>
              <w:rPr>
                <w:rFonts w:ascii="Calibri" w:eastAsia="Calibri" w:hAnsi="Calibri" w:cs="Times New Roman"/>
              </w:rPr>
            </w:pPr>
            <w:r w:rsidRPr="000F7E56">
              <w:rPr>
                <w:rFonts w:ascii="Calibri" w:eastAsia="Calibri" w:hAnsi="Calibri" w:cs="Times New Roman"/>
              </w:rPr>
              <w:t>Sikh</w:t>
            </w:r>
          </w:p>
        </w:tc>
      </w:tr>
      <w:tr w:rsidR="000F7E56" w:rsidRPr="000F7E56" w14:paraId="12FCAB46" w14:textId="77777777" w:rsidTr="000F7E56">
        <w:trPr>
          <w:trHeight w:val="272"/>
        </w:trPr>
        <w:tc>
          <w:tcPr>
            <w:tcW w:w="3596" w:type="dxa"/>
            <w:noWrap/>
            <w:hideMark/>
          </w:tcPr>
          <w:p w14:paraId="628BB8CA" w14:textId="77777777" w:rsidR="000F7E56" w:rsidRPr="000F7E56" w:rsidRDefault="000F7E56" w:rsidP="000F7E56">
            <w:pPr>
              <w:spacing w:after="120"/>
              <w:rPr>
                <w:rFonts w:ascii="Calibri" w:eastAsia="Calibri" w:hAnsi="Calibri" w:cs="Times New Roman"/>
              </w:rPr>
            </w:pPr>
            <w:r w:rsidRPr="000F7E56">
              <w:rPr>
                <w:rFonts w:ascii="Calibri" w:eastAsia="Calibri" w:hAnsi="Calibri" w:cs="Times New Roman"/>
              </w:rPr>
              <w:t xml:space="preserve">Nurse, Cancer  </w:t>
            </w:r>
          </w:p>
        </w:tc>
        <w:tc>
          <w:tcPr>
            <w:tcW w:w="565" w:type="dxa"/>
            <w:noWrap/>
            <w:hideMark/>
          </w:tcPr>
          <w:p w14:paraId="253D1785" w14:textId="77777777" w:rsidR="000F7E56" w:rsidRPr="000F7E56" w:rsidRDefault="000F7E56" w:rsidP="000F7E56">
            <w:pPr>
              <w:spacing w:after="120"/>
              <w:rPr>
                <w:rFonts w:ascii="Calibri" w:eastAsia="Calibri" w:hAnsi="Calibri" w:cs="Times New Roman"/>
              </w:rPr>
            </w:pPr>
            <w:r w:rsidRPr="000F7E56">
              <w:rPr>
                <w:rFonts w:ascii="Calibri" w:eastAsia="Calibri" w:hAnsi="Calibri" w:cs="Times New Roman"/>
              </w:rPr>
              <w:t>55</w:t>
            </w:r>
          </w:p>
        </w:tc>
        <w:tc>
          <w:tcPr>
            <w:tcW w:w="1802" w:type="dxa"/>
            <w:noWrap/>
            <w:hideMark/>
          </w:tcPr>
          <w:p w14:paraId="33BBFFA4" w14:textId="77777777" w:rsidR="000F7E56" w:rsidRPr="000F7E56" w:rsidRDefault="000F7E56" w:rsidP="000F7E56">
            <w:pPr>
              <w:spacing w:after="120"/>
              <w:rPr>
                <w:rFonts w:ascii="Calibri" w:eastAsia="Calibri" w:hAnsi="Calibri" w:cs="Times New Roman"/>
              </w:rPr>
            </w:pPr>
            <w:r w:rsidRPr="000F7E56">
              <w:rPr>
                <w:rFonts w:ascii="Calibri" w:eastAsia="Calibri" w:hAnsi="Calibri" w:cs="Times New Roman"/>
              </w:rPr>
              <w:t>Female</w:t>
            </w:r>
          </w:p>
        </w:tc>
        <w:tc>
          <w:tcPr>
            <w:tcW w:w="1687" w:type="dxa"/>
            <w:noWrap/>
            <w:hideMark/>
          </w:tcPr>
          <w:p w14:paraId="4E4B0481" w14:textId="77777777" w:rsidR="000F7E56" w:rsidRPr="000F7E56" w:rsidRDefault="000F7E56" w:rsidP="000F7E56">
            <w:pPr>
              <w:spacing w:after="120"/>
              <w:rPr>
                <w:rFonts w:ascii="Calibri" w:eastAsia="Calibri" w:hAnsi="Calibri" w:cs="Times New Roman"/>
              </w:rPr>
            </w:pPr>
            <w:r w:rsidRPr="000F7E56">
              <w:rPr>
                <w:rFonts w:ascii="Calibri" w:eastAsia="Calibri" w:hAnsi="Calibri" w:cs="Times New Roman"/>
              </w:rPr>
              <w:t>White British</w:t>
            </w:r>
          </w:p>
        </w:tc>
        <w:tc>
          <w:tcPr>
            <w:tcW w:w="1984" w:type="dxa"/>
            <w:noWrap/>
            <w:hideMark/>
          </w:tcPr>
          <w:p w14:paraId="2EF89F1B" w14:textId="77777777" w:rsidR="000F7E56" w:rsidRPr="000F7E56" w:rsidRDefault="000F7E56" w:rsidP="000F7E56">
            <w:pPr>
              <w:spacing w:after="120"/>
              <w:rPr>
                <w:rFonts w:ascii="Calibri" w:eastAsia="Calibri" w:hAnsi="Calibri" w:cs="Times New Roman"/>
              </w:rPr>
            </w:pPr>
            <w:r w:rsidRPr="000F7E56">
              <w:rPr>
                <w:rFonts w:ascii="Calibri" w:eastAsia="Calibri" w:hAnsi="Calibri" w:cs="Times New Roman"/>
              </w:rPr>
              <w:t>Church of England</w:t>
            </w:r>
          </w:p>
        </w:tc>
      </w:tr>
      <w:tr w:rsidR="000F7E56" w:rsidRPr="000F7E56" w14:paraId="480BA24C" w14:textId="77777777" w:rsidTr="000F7E56">
        <w:trPr>
          <w:trHeight w:val="272"/>
        </w:trPr>
        <w:tc>
          <w:tcPr>
            <w:tcW w:w="3596" w:type="dxa"/>
            <w:noWrap/>
            <w:hideMark/>
          </w:tcPr>
          <w:p w14:paraId="02435574" w14:textId="77777777" w:rsidR="000F7E56" w:rsidRPr="000F7E56" w:rsidRDefault="000F7E56" w:rsidP="000F7E56">
            <w:pPr>
              <w:spacing w:after="120"/>
              <w:rPr>
                <w:rFonts w:ascii="Calibri" w:eastAsia="Calibri" w:hAnsi="Calibri" w:cs="Times New Roman"/>
              </w:rPr>
            </w:pPr>
            <w:r w:rsidRPr="000F7E56">
              <w:rPr>
                <w:rFonts w:ascii="Calibri" w:eastAsia="Calibri" w:hAnsi="Calibri" w:cs="Times New Roman"/>
              </w:rPr>
              <w:t xml:space="preserve">Nurse, Clinical Educator  </w:t>
            </w:r>
          </w:p>
        </w:tc>
        <w:tc>
          <w:tcPr>
            <w:tcW w:w="565" w:type="dxa"/>
            <w:noWrap/>
            <w:hideMark/>
          </w:tcPr>
          <w:p w14:paraId="6C31FF61" w14:textId="77777777" w:rsidR="000F7E56" w:rsidRPr="000F7E56" w:rsidRDefault="000F7E56" w:rsidP="000F7E56">
            <w:pPr>
              <w:spacing w:after="120"/>
              <w:rPr>
                <w:rFonts w:ascii="Calibri" w:eastAsia="Calibri" w:hAnsi="Calibri" w:cs="Times New Roman"/>
              </w:rPr>
            </w:pPr>
            <w:r w:rsidRPr="000F7E56">
              <w:rPr>
                <w:rFonts w:ascii="Calibri" w:eastAsia="Calibri" w:hAnsi="Calibri" w:cs="Times New Roman"/>
              </w:rPr>
              <w:t>59</w:t>
            </w:r>
          </w:p>
        </w:tc>
        <w:tc>
          <w:tcPr>
            <w:tcW w:w="1802" w:type="dxa"/>
            <w:noWrap/>
            <w:hideMark/>
          </w:tcPr>
          <w:p w14:paraId="551F2DF1" w14:textId="77777777" w:rsidR="000F7E56" w:rsidRPr="000F7E56" w:rsidRDefault="000F7E56" w:rsidP="000F7E56">
            <w:pPr>
              <w:spacing w:after="120"/>
              <w:rPr>
                <w:rFonts w:ascii="Calibri" w:eastAsia="Calibri" w:hAnsi="Calibri" w:cs="Times New Roman"/>
              </w:rPr>
            </w:pPr>
            <w:r w:rsidRPr="000F7E56">
              <w:rPr>
                <w:rFonts w:ascii="Calibri" w:eastAsia="Calibri" w:hAnsi="Calibri" w:cs="Times New Roman"/>
              </w:rPr>
              <w:t>Female</w:t>
            </w:r>
          </w:p>
        </w:tc>
        <w:tc>
          <w:tcPr>
            <w:tcW w:w="1687" w:type="dxa"/>
            <w:noWrap/>
            <w:hideMark/>
          </w:tcPr>
          <w:p w14:paraId="28325124" w14:textId="77777777" w:rsidR="000F7E56" w:rsidRPr="000F7E56" w:rsidRDefault="000F7E56" w:rsidP="000F7E56">
            <w:pPr>
              <w:spacing w:after="120"/>
              <w:rPr>
                <w:rFonts w:ascii="Calibri" w:eastAsia="Calibri" w:hAnsi="Calibri" w:cs="Times New Roman"/>
              </w:rPr>
            </w:pPr>
            <w:r w:rsidRPr="000F7E56">
              <w:rPr>
                <w:rFonts w:ascii="Calibri" w:eastAsia="Calibri" w:hAnsi="Calibri" w:cs="Times New Roman"/>
              </w:rPr>
              <w:t>White British</w:t>
            </w:r>
          </w:p>
        </w:tc>
        <w:tc>
          <w:tcPr>
            <w:tcW w:w="1984" w:type="dxa"/>
            <w:noWrap/>
            <w:hideMark/>
          </w:tcPr>
          <w:p w14:paraId="2D5F9CB5" w14:textId="77777777" w:rsidR="000F7E56" w:rsidRPr="000F7E56" w:rsidRDefault="000F7E56" w:rsidP="000F7E56">
            <w:pPr>
              <w:spacing w:after="120"/>
              <w:rPr>
                <w:rFonts w:ascii="Calibri" w:eastAsia="Calibri" w:hAnsi="Calibri" w:cs="Times New Roman"/>
              </w:rPr>
            </w:pPr>
            <w:r w:rsidRPr="000F7E56">
              <w:rPr>
                <w:rFonts w:ascii="Calibri" w:eastAsia="Calibri" w:hAnsi="Calibri" w:cs="Times New Roman"/>
              </w:rPr>
              <w:t xml:space="preserve">Other Christian </w:t>
            </w:r>
          </w:p>
        </w:tc>
      </w:tr>
      <w:tr w:rsidR="000F7E56" w:rsidRPr="000F7E56" w14:paraId="4B229B72" w14:textId="77777777" w:rsidTr="000F7E56">
        <w:trPr>
          <w:trHeight w:val="272"/>
        </w:trPr>
        <w:tc>
          <w:tcPr>
            <w:tcW w:w="3596" w:type="dxa"/>
            <w:noWrap/>
            <w:hideMark/>
          </w:tcPr>
          <w:p w14:paraId="015E0F96" w14:textId="77777777" w:rsidR="000F7E56" w:rsidRPr="000F7E56" w:rsidRDefault="000F7E56" w:rsidP="000F7E56">
            <w:pPr>
              <w:spacing w:after="120"/>
              <w:rPr>
                <w:rFonts w:ascii="Calibri" w:eastAsia="Calibri" w:hAnsi="Calibri" w:cs="Times New Roman"/>
              </w:rPr>
            </w:pPr>
            <w:r w:rsidRPr="000F7E56">
              <w:rPr>
                <w:rFonts w:ascii="Calibri" w:eastAsia="Calibri" w:hAnsi="Calibri" w:cs="Times New Roman"/>
              </w:rPr>
              <w:t xml:space="preserve">Manger, Extra Care Scheme </w:t>
            </w:r>
          </w:p>
        </w:tc>
        <w:tc>
          <w:tcPr>
            <w:tcW w:w="565" w:type="dxa"/>
            <w:noWrap/>
            <w:hideMark/>
          </w:tcPr>
          <w:p w14:paraId="10889608" w14:textId="77777777" w:rsidR="000F7E56" w:rsidRPr="000F7E56" w:rsidRDefault="000F7E56" w:rsidP="000F7E56">
            <w:pPr>
              <w:spacing w:after="120"/>
              <w:rPr>
                <w:rFonts w:ascii="Calibri" w:eastAsia="Calibri" w:hAnsi="Calibri" w:cs="Times New Roman"/>
              </w:rPr>
            </w:pPr>
            <w:r w:rsidRPr="000F7E56">
              <w:rPr>
                <w:rFonts w:ascii="Calibri" w:eastAsia="Calibri" w:hAnsi="Calibri" w:cs="Times New Roman"/>
              </w:rPr>
              <w:t>34</w:t>
            </w:r>
          </w:p>
        </w:tc>
        <w:tc>
          <w:tcPr>
            <w:tcW w:w="1802" w:type="dxa"/>
            <w:noWrap/>
            <w:hideMark/>
          </w:tcPr>
          <w:p w14:paraId="62F06EA6" w14:textId="77777777" w:rsidR="000F7E56" w:rsidRPr="000F7E56" w:rsidRDefault="000F7E56" w:rsidP="000F7E56">
            <w:pPr>
              <w:spacing w:after="120"/>
              <w:rPr>
                <w:rFonts w:ascii="Calibri" w:eastAsia="Calibri" w:hAnsi="Calibri" w:cs="Times New Roman"/>
              </w:rPr>
            </w:pPr>
            <w:r w:rsidRPr="000F7E56">
              <w:rPr>
                <w:rFonts w:ascii="Calibri" w:eastAsia="Calibri" w:hAnsi="Calibri" w:cs="Times New Roman"/>
              </w:rPr>
              <w:t>Female</w:t>
            </w:r>
          </w:p>
        </w:tc>
        <w:tc>
          <w:tcPr>
            <w:tcW w:w="1687" w:type="dxa"/>
            <w:noWrap/>
            <w:hideMark/>
          </w:tcPr>
          <w:p w14:paraId="3CD1AF0F" w14:textId="77777777" w:rsidR="000F7E56" w:rsidRPr="000F7E56" w:rsidRDefault="000F7E56" w:rsidP="000F7E56">
            <w:pPr>
              <w:spacing w:after="120"/>
              <w:rPr>
                <w:rFonts w:ascii="Calibri" w:eastAsia="Calibri" w:hAnsi="Calibri" w:cs="Times New Roman"/>
              </w:rPr>
            </w:pPr>
            <w:r w:rsidRPr="000F7E56">
              <w:rPr>
                <w:rFonts w:ascii="Calibri" w:eastAsia="Calibri" w:hAnsi="Calibri" w:cs="Times New Roman"/>
              </w:rPr>
              <w:t>White British</w:t>
            </w:r>
          </w:p>
        </w:tc>
        <w:tc>
          <w:tcPr>
            <w:tcW w:w="1984" w:type="dxa"/>
            <w:noWrap/>
            <w:hideMark/>
          </w:tcPr>
          <w:p w14:paraId="53359F06" w14:textId="77777777" w:rsidR="000F7E56" w:rsidRPr="000F7E56" w:rsidRDefault="000F7E56" w:rsidP="000F7E56">
            <w:pPr>
              <w:spacing w:after="120"/>
              <w:rPr>
                <w:rFonts w:ascii="Calibri" w:eastAsia="Calibri" w:hAnsi="Calibri" w:cs="Times New Roman"/>
              </w:rPr>
            </w:pPr>
            <w:r w:rsidRPr="000F7E56">
              <w:rPr>
                <w:rFonts w:ascii="Calibri" w:eastAsia="Calibri" w:hAnsi="Calibri" w:cs="Times New Roman"/>
              </w:rPr>
              <w:t>No religion</w:t>
            </w:r>
          </w:p>
        </w:tc>
      </w:tr>
      <w:tr w:rsidR="000F7E56" w:rsidRPr="000F7E56" w14:paraId="56AB9616" w14:textId="77777777" w:rsidTr="000F7E56">
        <w:trPr>
          <w:trHeight w:val="272"/>
        </w:trPr>
        <w:tc>
          <w:tcPr>
            <w:tcW w:w="3596" w:type="dxa"/>
            <w:noWrap/>
            <w:hideMark/>
          </w:tcPr>
          <w:p w14:paraId="09B23E55" w14:textId="77777777" w:rsidR="000F7E56" w:rsidRPr="000F7E56" w:rsidRDefault="000F7E56" w:rsidP="000F7E56">
            <w:pPr>
              <w:spacing w:after="120"/>
              <w:rPr>
                <w:rFonts w:ascii="Calibri" w:eastAsia="Calibri" w:hAnsi="Calibri" w:cs="Times New Roman"/>
              </w:rPr>
            </w:pPr>
            <w:r w:rsidRPr="000F7E56">
              <w:rPr>
                <w:rFonts w:ascii="Calibri" w:eastAsia="Calibri" w:hAnsi="Calibri" w:cs="Times New Roman"/>
              </w:rPr>
              <w:t xml:space="preserve">Doctor in training, Palliative Care </w:t>
            </w:r>
          </w:p>
        </w:tc>
        <w:tc>
          <w:tcPr>
            <w:tcW w:w="565" w:type="dxa"/>
            <w:noWrap/>
            <w:hideMark/>
          </w:tcPr>
          <w:p w14:paraId="160DF529" w14:textId="77777777" w:rsidR="000F7E56" w:rsidRPr="000F7E56" w:rsidRDefault="000F7E56" w:rsidP="000F7E56">
            <w:pPr>
              <w:spacing w:after="120"/>
              <w:rPr>
                <w:rFonts w:ascii="Calibri" w:eastAsia="Calibri" w:hAnsi="Calibri" w:cs="Times New Roman"/>
              </w:rPr>
            </w:pPr>
            <w:r w:rsidRPr="000F7E56">
              <w:rPr>
                <w:rFonts w:ascii="Calibri" w:eastAsia="Calibri" w:hAnsi="Calibri" w:cs="Times New Roman"/>
              </w:rPr>
              <w:t>29</w:t>
            </w:r>
          </w:p>
        </w:tc>
        <w:tc>
          <w:tcPr>
            <w:tcW w:w="1802" w:type="dxa"/>
            <w:noWrap/>
            <w:hideMark/>
          </w:tcPr>
          <w:p w14:paraId="3082D4CD" w14:textId="77777777" w:rsidR="000F7E56" w:rsidRPr="000F7E56" w:rsidRDefault="000F7E56" w:rsidP="000F7E56">
            <w:pPr>
              <w:spacing w:after="120"/>
              <w:rPr>
                <w:rFonts w:ascii="Calibri" w:eastAsia="Calibri" w:hAnsi="Calibri" w:cs="Times New Roman"/>
              </w:rPr>
            </w:pPr>
            <w:r w:rsidRPr="000F7E56">
              <w:rPr>
                <w:rFonts w:ascii="Calibri" w:eastAsia="Calibri" w:hAnsi="Calibri" w:cs="Times New Roman"/>
              </w:rPr>
              <w:t>Male</w:t>
            </w:r>
          </w:p>
        </w:tc>
        <w:tc>
          <w:tcPr>
            <w:tcW w:w="1687" w:type="dxa"/>
            <w:noWrap/>
            <w:hideMark/>
          </w:tcPr>
          <w:p w14:paraId="262A8B13" w14:textId="77777777" w:rsidR="000F7E56" w:rsidRPr="000F7E56" w:rsidRDefault="000F7E56" w:rsidP="000F7E56">
            <w:pPr>
              <w:spacing w:after="120"/>
              <w:rPr>
                <w:rFonts w:ascii="Calibri" w:eastAsia="Calibri" w:hAnsi="Calibri" w:cs="Times New Roman"/>
              </w:rPr>
            </w:pPr>
            <w:r w:rsidRPr="000F7E56">
              <w:rPr>
                <w:rFonts w:ascii="Calibri" w:eastAsia="Calibri" w:hAnsi="Calibri" w:cs="Times New Roman"/>
              </w:rPr>
              <w:t>White British</w:t>
            </w:r>
          </w:p>
        </w:tc>
        <w:tc>
          <w:tcPr>
            <w:tcW w:w="1984" w:type="dxa"/>
            <w:noWrap/>
            <w:hideMark/>
          </w:tcPr>
          <w:p w14:paraId="49262022" w14:textId="77777777" w:rsidR="000F7E56" w:rsidRPr="000F7E56" w:rsidRDefault="000F7E56" w:rsidP="000F7E56">
            <w:pPr>
              <w:spacing w:after="120"/>
              <w:rPr>
                <w:rFonts w:ascii="Calibri" w:eastAsia="Calibri" w:hAnsi="Calibri" w:cs="Times New Roman"/>
              </w:rPr>
            </w:pPr>
            <w:r w:rsidRPr="000F7E56">
              <w:rPr>
                <w:rFonts w:ascii="Calibri" w:eastAsia="Calibri" w:hAnsi="Calibri" w:cs="Times New Roman"/>
              </w:rPr>
              <w:t>No religion</w:t>
            </w:r>
          </w:p>
        </w:tc>
      </w:tr>
      <w:tr w:rsidR="000F7E56" w:rsidRPr="000F7E56" w14:paraId="09082711" w14:textId="77777777" w:rsidTr="000F7E56">
        <w:trPr>
          <w:trHeight w:val="272"/>
        </w:trPr>
        <w:tc>
          <w:tcPr>
            <w:tcW w:w="3596" w:type="dxa"/>
            <w:noWrap/>
            <w:hideMark/>
          </w:tcPr>
          <w:p w14:paraId="0FA9ACC0" w14:textId="77777777" w:rsidR="000F7E56" w:rsidRPr="000F7E56" w:rsidRDefault="000F7E56" w:rsidP="000F7E56">
            <w:pPr>
              <w:spacing w:after="120"/>
              <w:rPr>
                <w:rFonts w:ascii="Calibri" w:eastAsia="Calibri" w:hAnsi="Calibri" w:cs="Times New Roman"/>
              </w:rPr>
            </w:pPr>
            <w:r w:rsidRPr="000F7E56">
              <w:rPr>
                <w:rFonts w:ascii="Calibri" w:eastAsia="Calibri" w:hAnsi="Calibri" w:cs="Times New Roman"/>
              </w:rPr>
              <w:t xml:space="preserve">Nurse, Palliative Care </w:t>
            </w:r>
          </w:p>
        </w:tc>
        <w:tc>
          <w:tcPr>
            <w:tcW w:w="565" w:type="dxa"/>
            <w:noWrap/>
            <w:hideMark/>
          </w:tcPr>
          <w:p w14:paraId="7B5504A8" w14:textId="77777777" w:rsidR="000F7E56" w:rsidRPr="000F7E56" w:rsidRDefault="000F7E56" w:rsidP="000F7E56">
            <w:pPr>
              <w:spacing w:after="120"/>
              <w:rPr>
                <w:rFonts w:ascii="Calibri" w:eastAsia="Calibri" w:hAnsi="Calibri" w:cs="Times New Roman"/>
              </w:rPr>
            </w:pPr>
            <w:r w:rsidRPr="000F7E56">
              <w:rPr>
                <w:rFonts w:ascii="Calibri" w:eastAsia="Calibri" w:hAnsi="Calibri" w:cs="Times New Roman"/>
              </w:rPr>
              <w:t>56</w:t>
            </w:r>
          </w:p>
        </w:tc>
        <w:tc>
          <w:tcPr>
            <w:tcW w:w="1802" w:type="dxa"/>
            <w:noWrap/>
            <w:hideMark/>
          </w:tcPr>
          <w:p w14:paraId="07A0A91B" w14:textId="77777777" w:rsidR="000F7E56" w:rsidRPr="000F7E56" w:rsidRDefault="000F7E56" w:rsidP="000F7E56">
            <w:pPr>
              <w:spacing w:after="120"/>
              <w:rPr>
                <w:rFonts w:ascii="Calibri" w:eastAsia="Calibri" w:hAnsi="Calibri" w:cs="Times New Roman"/>
              </w:rPr>
            </w:pPr>
            <w:r w:rsidRPr="000F7E56">
              <w:rPr>
                <w:rFonts w:ascii="Calibri" w:eastAsia="Calibri" w:hAnsi="Calibri" w:cs="Times New Roman"/>
              </w:rPr>
              <w:t>Female</w:t>
            </w:r>
          </w:p>
        </w:tc>
        <w:tc>
          <w:tcPr>
            <w:tcW w:w="1687" w:type="dxa"/>
            <w:noWrap/>
            <w:hideMark/>
          </w:tcPr>
          <w:p w14:paraId="39841EE4" w14:textId="77777777" w:rsidR="000F7E56" w:rsidRPr="000F7E56" w:rsidRDefault="000F7E56" w:rsidP="000F7E56">
            <w:pPr>
              <w:spacing w:after="120"/>
              <w:rPr>
                <w:rFonts w:ascii="Calibri" w:eastAsia="Calibri" w:hAnsi="Calibri" w:cs="Times New Roman"/>
              </w:rPr>
            </w:pPr>
            <w:r w:rsidRPr="000F7E56">
              <w:rPr>
                <w:rFonts w:ascii="Calibri" w:eastAsia="Calibri" w:hAnsi="Calibri" w:cs="Times New Roman"/>
              </w:rPr>
              <w:t>African</w:t>
            </w:r>
          </w:p>
        </w:tc>
        <w:tc>
          <w:tcPr>
            <w:tcW w:w="1984" w:type="dxa"/>
            <w:noWrap/>
            <w:hideMark/>
          </w:tcPr>
          <w:p w14:paraId="1CA1DF81" w14:textId="77777777" w:rsidR="000F7E56" w:rsidRPr="000F7E56" w:rsidRDefault="000F7E56" w:rsidP="000F7E56">
            <w:pPr>
              <w:spacing w:after="120"/>
              <w:rPr>
                <w:rFonts w:ascii="Calibri" w:eastAsia="Calibri" w:hAnsi="Calibri" w:cs="Times New Roman"/>
              </w:rPr>
            </w:pPr>
            <w:r w:rsidRPr="000F7E56">
              <w:rPr>
                <w:rFonts w:ascii="Calibri" w:eastAsia="Calibri" w:hAnsi="Calibri" w:cs="Times New Roman"/>
              </w:rPr>
              <w:t>_</w:t>
            </w:r>
          </w:p>
        </w:tc>
      </w:tr>
      <w:tr w:rsidR="000F7E56" w:rsidRPr="000F7E56" w14:paraId="33066CC3" w14:textId="77777777" w:rsidTr="000F7E56">
        <w:trPr>
          <w:trHeight w:val="272"/>
        </w:trPr>
        <w:tc>
          <w:tcPr>
            <w:tcW w:w="3596" w:type="dxa"/>
            <w:noWrap/>
            <w:hideMark/>
          </w:tcPr>
          <w:p w14:paraId="18CF6A6E" w14:textId="77777777" w:rsidR="000F7E56" w:rsidRPr="000F7E56" w:rsidRDefault="000F7E56" w:rsidP="000F7E56">
            <w:pPr>
              <w:spacing w:after="120"/>
              <w:rPr>
                <w:rFonts w:ascii="Calibri" w:eastAsia="Calibri" w:hAnsi="Calibri" w:cs="Times New Roman"/>
              </w:rPr>
            </w:pPr>
            <w:r w:rsidRPr="000F7E56">
              <w:rPr>
                <w:rFonts w:ascii="Calibri" w:eastAsia="Calibri" w:hAnsi="Calibri" w:cs="Times New Roman"/>
              </w:rPr>
              <w:t>Consultant, Palliative Care</w:t>
            </w:r>
          </w:p>
        </w:tc>
        <w:tc>
          <w:tcPr>
            <w:tcW w:w="565" w:type="dxa"/>
            <w:noWrap/>
            <w:hideMark/>
          </w:tcPr>
          <w:p w14:paraId="6832BABA" w14:textId="77777777" w:rsidR="000F7E56" w:rsidRPr="000F7E56" w:rsidRDefault="000F7E56" w:rsidP="000F7E56">
            <w:pPr>
              <w:spacing w:after="120"/>
              <w:rPr>
                <w:rFonts w:ascii="Calibri" w:eastAsia="Calibri" w:hAnsi="Calibri" w:cs="Times New Roman"/>
              </w:rPr>
            </w:pPr>
            <w:r w:rsidRPr="000F7E56">
              <w:rPr>
                <w:rFonts w:ascii="Calibri" w:eastAsia="Calibri" w:hAnsi="Calibri" w:cs="Times New Roman"/>
              </w:rPr>
              <w:t>44</w:t>
            </w:r>
          </w:p>
        </w:tc>
        <w:tc>
          <w:tcPr>
            <w:tcW w:w="1802" w:type="dxa"/>
            <w:noWrap/>
            <w:hideMark/>
          </w:tcPr>
          <w:p w14:paraId="7D325752" w14:textId="77777777" w:rsidR="000F7E56" w:rsidRPr="000F7E56" w:rsidRDefault="000F7E56" w:rsidP="000F7E56">
            <w:pPr>
              <w:spacing w:after="120"/>
              <w:rPr>
                <w:rFonts w:ascii="Calibri" w:eastAsia="Calibri" w:hAnsi="Calibri" w:cs="Times New Roman"/>
              </w:rPr>
            </w:pPr>
            <w:r w:rsidRPr="000F7E56">
              <w:rPr>
                <w:rFonts w:ascii="Calibri" w:eastAsia="Calibri" w:hAnsi="Calibri" w:cs="Times New Roman"/>
              </w:rPr>
              <w:t>Female</w:t>
            </w:r>
          </w:p>
        </w:tc>
        <w:tc>
          <w:tcPr>
            <w:tcW w:w="1687" w:type="dxa"/>
            <w:noWrap/>
            <w:hideMark/>
          </w:tcPr>
          <w:p w14:paraId="0F4CD842" w14:textId="77777777" w:rsidR="000F7E56" w:rsidRPr="000F7E56" w:rsidRDefault="000F7E56" w:rsidP="000F7E56">
            <w:pPr>
              <w:spacing w:after="120"/>
              <w:rPr>
                <w:rFonts w:ascii="Calibri" w:eastAsia="Calibri" w:hAnsi="Calibri" w:cs="Times New Roman"/>
              </w:rPr>
            </w:pPr>
            <w:r w:rsidRPr="000F7E56">
              <w:rPr>
                <w:rFonts w:ascii="Calibri" w:eastAsia="Calibri" w:hAnsi="Calibri" w:cs="Times New Roman"/>
              </w:rPr>
              <w:t>Indian</w:t>
            </w:r>
          </w:p>
        </w:tc>
        <w:tc>
          <w:tcPr>
            <w:tcW w:w="1984" w:type="dxa"/>
            <w:noWrap/>
            <w:hideMark/>
          </w:tcPr>
          <w:p w14:paraId="12110C02" w14:textId="77777777" w:rsidR="000F7E56" w:rsidRPr="000F7E56" w:rsidRDefault="000F7E56" w:rsidP="000F7E56">
            <w:pPr>
              <w:spacing w:after="120"/>
              <w:rPr>
                <w:rFonts w:ascii="Calibri" w:eastAsia="Calibri" w:hAnsi="Calibri" w:cs="Times New Roman"/>
              </w:rPr>
            </w:pPr>
            <w:r w:rsidRPr="000F7E56">
              <w:rPr>
                <w:rFonts w:ascii="Calibri" w:eastAsia="Calibri" w:hAnsi="Calibri" w:cs="Times New Roman"/>
              </w:rPr>
              <w:t xml:space="preserve">Other Christian </w:t>
            </w:r>
          </w:p>
        </w:tc>
      </w:tr>
      <w:tr w:rsidR="000F7E56" w:rsidRPr="000F7E56" w14:paraId="6A4A2B75" w14:textId="77777777" w:rsidTr="000F7E56">
        <w:trPr>
          <w:trHeight w:val="272"/>
        </w:trPr>
        <w:tc>
          <w:tcPr>
            <w:tcW w:w="3596" w:type="dxa"/>
            <w:noWrap/>
            <w:hideMark/>
          </w:tcPr>
          <w:p w14:paraId="18874BFC" w14:textId="77777777" w:rsidR="000F7E56" w:rsidRPr="000F7E56" w:rsidRDefault="000F7E56" w:rsidP="000F7E56">
            <w:pPr>
              <w:spacing w:after="120"/>
              <w:rPr>
                <w:rFonts w:ascii="Calibri" w:eastAsia="Calibri" w:hAnsi="Calibri" w:cs="Times New Roman"/>
              </w:rPr>
            </w:pPr>
            <w:r w:rsidRPr="000F7E56">
              <w:rPr>
                <w:rFonts w:ascii="Calibri" w:eastAsia="Calibri" w:hAnsi="Calibri" w:cs="Times New Roman"/>
              </w:rPr>
              <w:t xml:space="preserve">Nurse, Advanced Nurse Practitioner, community Hospital </w:t>
            </w:r>
          </w:p>
        </w:tc>
        <w:tc>
          <w:tcPr>
            <w:tcW w:w="565" w:type="dxa"/>
            <w:noWrap/>
            <w:hideMark/>
          </w:tcPr>
          <w:p w14:paraId="197ABF8B" w14:textId="77777777" w:rsidR="000F7E56" w:rsidRPr="000F7E56" w:rsidRDefault="000F7E56" w:rsidP="000F7E56">
            <w:pPr>
              <w:spacing w:after="120"/>
              <w:rPr>
                <w:rFonts w:ascii="Calibri" w:eastAsia="Calibri" w:hAnsi="Calibri" w:cs="Times New Roman"/>
              </w:rPr>
            </w:pPr>
            <w:r w:rsidRPr="000F7E56">
              <w:rPr>
                <w:rFonts w:ascii="Calibri" w:eastAsia="Calibri" w:hAnsi="Calibri" w:cs="Times New Roman"/>
              </w:rPr>
              <w:t>_</w:t>
            </w:r>
          </w:p>
        </w:tc>
        <w:tc>
          <w:tcPr>
            <w:tcW w:w="1802" w:type="dxa"/>
            <w:noWrap/>
            <w:hideMark/>
          </w:tcPr>
          <w:p w14:paraId="1512E56E" w14:textId="77777777" w:rsidR="000F7E56" w:rsidRPr="000F7E56" w:rsidRDefault="000F7E56" w:rsidP="000F7E56">
            <w:pPr>
              <w:spacing w:after="120"/>
              <w:rPr>
                <w:rFonts w:ascii="Calibri" w:eastAsia="Calibri" w:hAnsi="Calibri" w:cs="Times New Roman"/>
              </w:rPr>
            </w:pPr>
            <w:r w:rsidRPr="000F7E56">
              <w:rPr>
                <w:rFonts w:ascii="Calibri" w:eastAsia="Calibri" w:hAnsi="Calibri" w:cs="Times New Roman"/>
              </w:rPr>
              <w:t>Female</w:t>
            </w:r>
          </w:p>
        </w:tc>
        <w:tc>
          <w:tcPr>
            <w:tcW w:w="1687" w:type="dxa"/>
            <w:noWrap/>
            <w:hideMark/>
          </w:tcPr>
          <w:p w14:paraId="10F86DB4" w14:textId="77777777" w:rsidR="000F7E56" w:rsidRPr="000F7E56" w:rsidRDefault="000F7E56" w:rsidP="000F7E56">
            <w:pPr>
              <w:spacing w:after="120"/>
              <w:rPr>
                <w:rFonts w:ascii="Calibri" w:eastAsia="Calibri" w:hAnsi="Calibri" w:cs="Times New Roman"/>
              </w:rPr>
            </w:pPr>
            <w:r w:rsidRPr="000F7E56">
              <w:rPr>
                <w:rFonts w:ascii="Calibri" w:eastAsia="Calibri" w:hAnsi="Calibri" w:cs="Times New Roman"/>
              </w:rPr>
              <w:t>White British</w:t>
            </w:r>
          </w:p>
        </w:tc>
        <w:tc>
          <w:tcPr>
            <w:tcW w:w="1984" w:type="dxa"/>
            <w:noWrap/>
            <w:hideMark/>
          </w:tcPr>
          <w:p w14:paraId="25954378" w14:textId="77777777" w:rsidR="000F7E56" w:rsidRPr="000F7E56" w:rsidRDefault="000F7E56" w:rsidP="000F7E56">
            <w:pPr>
              <w:spacing w:after="120"/>
              <w:rPr>
                <w:rFonts w:ascii="Calibri" w:eastAsia="Calibri" w:hAnsi="Calibri" w:cs="Times New Roman"/>
              </w:rPr>
            </w:pPr>
            <w:r w:rsidRPr="000F7E56">
              <w:rPr>
                <w:rFonts w:ascii="Calibri" w:eastAsia="Calibri" w:hAnsi="Calibri" w:cs="Times New Roman"/>
              </w:rPr>
              <w:t xml:space="preserve">Other Christian </w:t>
            </w:r>
          </w:p>
        </w:tc>
      </w:tr>
      <w:tr w:rsidR="000F7E56" w:rsidRPr="000F7E56" w14:paraId="1AC8CD14" w14:textId="77777777" w:rsidTr="000F7E56">
        <w:trPr>
          <w:trHeight w:val="272"/>
        </w:trPr>
        <w:tc>
          <w:tcPr>
            <w:tcW w:w="3596" w:type="dxa"/>
            <w:noWrap/>
            <w:hideMark/>
          </w:tcPr>
          <w:p w14:paraId="3A7211AE" w14:textId="77777777" w:rsidR="000F7E56" w:rsidRPr="000F7E56" w:rsidRDefault="000F7E56" w:rsidP="000F7E56">
            <w:pPr>
              <w:spacing w:after="120"/>
              <w:rPr>
                <w:rFonts w:ascii="Calibri" w:eastAsia="Calibri" w:hAnsi="Calibri" w:cs="Times New Roman"/>
              </w:rPr>
            </w:pPr>
            <w:r w:rsidRPr="000F7E56">
              <w:rPr>
                <w:rFonts w:ascii="Calibri" w:eastAsia="Calibri" w:hAnsi="Calibri" w:cs="Times New Roman"/>
              </w:rPr>
              <w:t>Nurse, Palliative Care</w:t>
            </w:r>
          </w:p>
        </w:tc>
        <w:tc>
          <w:tcPr>
            <w:tcW w:w="565" w:type="dxa"/>
            <w:noWrap/>
            <w:hideMark/>
          </w:tcPr>
          <w:p w14:paraId="451D0273" w14:textId="77777777" w:rsidR="000F7E56" w:rsidRPr="000F7E56" w:rsidRDefault="000F7E56" w:rsidP="000F7E56">
            <w:pPr>
              <w:spacing w:after="120"/>
              <w:rPr>
                <w:rFonts w:ascii="Calibri" w:eastAsia="Calibri" w:hAnsi="Calibri" w:cs="Times New Roman"/>
              </w:rPr>
            </w:pPr>
            <w:r w:rsidRPr="000F7E56">
              <w:rPr>
                <w:rFonts w:ascii="Calibri" w:eastAsia="Calibri" w:hAnsi="Calibri" w:cs="Times New Roman"/>
              </w:rPr>
              <w:t>_</w:t>
            </w:r>
          </w:p>
        </w:tc>
        <w:tc>
          <w:tcPr>
            <w:tcW w:w="1802" w:type="dxa"/>
            <w:noWrap/>
            <w:hideMark/>
          </w:tcPr>
          <w:p w14:paraId="04F3BF23" w14:textId="77777777" w:rsidR="000F7E56" w:rsidRPr="000F7E56" w:rsidRDefault="000F7E56" w:rsidP="000F7E56">
            <w:pPr>
              <w:spacing w:after="120"/>
              <w:rPr>
                <w:rFonts w:ascii="Calibri" w:eastAsia="Calibri" w:hAnsi="Calibri" w:cs="Times New Roman"/>
              </w:rPr>
            </w:pPr>
            <w:r w:rsidRPr="000F7E56">
              <w:rPr>
                <w:rFonts w:ascii="Calibri" w:eastAsia="Calibri" w:hAnsi="Calibri" w:cs="Times New Roman"/>
              </w:rPr>
              <w:t>Female</w:t>
            </w:r>
          </w:p>
        </w:tc>
        <w:tc>
          <w:tcPr>
            <w:tcW w:w="1687" w:type="dxa"/>
            <w:noWrap/>
            <w:hideMark/>
          </w:tcPr>
          <w:p w14:paraId="15F84E86" w14:textId="77777777" w:rsidR="000F7E56" w:rsidRPr="000F7E56" w:rsidRDefault="000F7E56" w:rsidP="000F7E56">
            <w:pPr>
              <w:spacing w:after="120"/>
              <w:rPr>
                <w:rFonts w:ascii="Calibri" w:eastAsia="Calibri" w:hAnsi="Calibri" w:cs="Times New Roman"/>
              </w:rPr>
            </w:pPr>
            <w:r w:rsidRPr="000F7E56">
              <w:rPr>
                <w:rFonts w:ascii="Calibri" w:eastAsia="Calibri" w:hAnsi="Calibri" w:cs="Times New Roman"/>
              </w:rPr>
              <w:t>White British</w:t>
            </w:r>
          </w:p>
        </w:tc>
        <w:tc>
          <w:tcPr>
            <w:tcW w:w="1984" w:type="dxa"/>
            <w:noWrap/>
            <w:hideMark/>
          </w:tcPr>
          <w:p w14:paraId="71E935FB" w14:textId="77777777" w:rsidR="000F7E56" w:rsidRPr="000F7E56" w:rsidRDefault="000F7E56" w:rsidP="000F7E56">
            <w:pPr>
              <w:spacing w:after="120"/>
              <w:rPr>
                <w:rFonts w:ascii="Calibri" w:eastAsia="Calibri" w:hAnsi="Calibri" w:cs="Times New Roman"/>
              </w:rPr>
            </w:pPr>
            <w:r w:rsidRPr="000F7E56">
              <w:rPr>
                <w:rFonts w:ascii="Calibri" w:eastAsia="Calibri" w:hAnsi="Calibri" w:cs="Times New Roman"/>
              </w:rPr>
              <w:t>_</w:t>
            </w:r>
          </w:p>
        </w:tc>
      </w:tr>
      <w:tr w:rsidR="000F7E56" w:rsidRPr="000F7E56" w14:paraId="5F494488" w14:textId="77777777" w:rsidTr="000F7E56">
        <w:trPr>
          <w:trHeight w:val="272"/>
        </w:trPr>
        <w:tc>
          <w:tcPr>
            <w:tcW w:w="3596" w:type="dxa"/>
            <w:noWrap/>
            <w:hideMark/>
          </w:tcPr>
          <w:p w14:paraId="24704B83" w14:textId="77777777" w:rsidR="000F7E56" w:rsidRPr="000F7E56" w:rsidRDefault="000F7E56" w:rsidP="000F7E56">
            <w:pPr>
              <w:spacing w:after="120"/>
              <w:rPr>
                <w:rFonts w:ascii="Calibri" w:eastAsia="Calibri" w:hAnsi="Calibri" w:cs="Times New Roman"/>
              </w:rPr>
            </w:pPr>
            <w:r w:rsidRPr="000F7E56">
              <w:rPr>
                <w:rFonts w:ascii="Calibri" w:eastAsia="Calibri" w:hAnsi="Calibri" w:cs="Times New Roman"/>
              </w:rPr>
              <w:t>Nurse, Palliative Care</w:t>
            </w:r>
          </w:p>
        </w:tc>
        <w:tc>
          <w:tcPr>
            <w:tcW w:w="565" w:type="dxa"/>
            <w:noWrap/>
            <w:hideMark/>
          </w:tcPr>
          <w:p w14:paraId="030DB2DD" w14:textId="77777777" w:rsidR="000F7E56" w:rsidRPr="000F7E56" w:rsidRDefault="000F7E56" w:rsidP="000F7E56">
            <w:pPr>
              <w:spacing w:after="120"/>
              <w:rPr>
                <w:rFonts w:ascii="Calibri" w:eastAsia="Calibri" w:hAnsi="Calibri" w:cs="Times New Roman"/>
              </w:rPr>
            </w:pPr>
            <w:r w:rsidRPr="000F7E56">
              <w:rPr>
                <w:rFonts w:ascii="Calibri" w:eastAsia="Calibri" w:hAnsi="Calibri" w:cs="Times New Roman"/>
              </w:rPr>
              <w:t>61</w:t>
            </w:r>
          </w:p>
        </w:tc>
        <w:tc>
          <w:tcPr>
            <w:tcW w:w="1802" w:type="dxa"/>
            <w:noWrap/>
            <w:hideMark/>
          </w:tcPr>
          <w:p w14:paraId="3F938CB2" w14:textId="77777777" w:rsidR="000F7E56" w:rsidRPr="000F7E56" w:rsidRDefault="000F7E56" w:rsidP="000F7E56">
            <w:pPr>
              <w:spacing w:after="120"/>
              <w:rPr>
                <w:rFonts w:ascii="Calibri" w:eastAsia="Calibri" w:hAnsi="Calibri" w:cs="Times New Roman"/>
              </w:rPr>
            </w:pPr>
            <w:r w:rsidRPr="000F7E56">
              <w:rPr>
                <w:rFonts w:ascii="Calibri" w:eastAsia="Calibri" w:hAnsi="Calibri" w:cs="Times New Roman"/>
              </w:rPr>
              <w:t>Female</w:t>
            </w:r>
          </w:p>
        </w:tc>
        <w:tc>
          <w:tcPr>
            <w:tcW w:w="1687" w:type="dxa"/>
            <w:noWrap/>
            <w:hideMark/>
          </w:tcPr>
          <w:p w14:paraId="1A895C4A" w14:textId="77777777" w:rsidR="000F7E56" w:rsidRPr="000F7E56" w:rsidRDefault="000F7E56" w:rsidP="000F7E56">
            <w:pPr>
              <w:spacing w:after="120"/>
              <w:rPr>
                <w:rFonts w:ascii="Calibri" w:eastAsia="Calibri" w:hAnsi="Calibri" w:cs="Times New Roman"/>
              </w:rPr>
            </w:pPr>
            <w:r w:rsidRPr="000F7E56">
              <w:rPr>
                <w:rFonts w:ascii="Calibri" w:eastAsia="Calibri" w:hAnsi="Calibri" w:cs="Times New Roman"/>
              </w:rPr>
              <w:t>White British</w:t>
            </w:r>
          </w:p>
        </w:tc>
        <w:tc>
          <w:tcPr>
            <w:tcW w:w="1984" w:type="dxa"/>
            <w:noWrap/>
            <w:hideMark/>
          </w:tcPr>
          <w:p w14:paraId="22A64246" w14:textId="77777777" w:rsidR="000F7E56" w:rsidRPr="000F7E56" w:rsidRDefault="000F7E56" w:rsidP="000F7E56">
            <w:pPr>
              <w:spacing w:after="120"/>
              <w:rPr>
                <w:rFonts w:ascii="Calibri" w:eastAsia="Calibri" w:hAnsi="Calibri" w:cs="Times New Roman"/>
              </w:rPr>
            </w:pPr>
            <w:r w:rsidRPr="000F7E56">
              <w:rPr>
                <w:rFonts w:ascii="Calibri" w:eastAsia="Calibri" w:hAnsi="Calibri" w:cs="Times New Roman"/>
              </w:rPr>
              <w:t>No religion</w:t>
            </w:r>
          </w:p>
        </w:tc>
      </w:tr>
      <w:tr w:rsidR="000F7E56" w:rsidRPr="000F7E56" w14:paraId="05157932" w14:textId="77777777" w:rsidTr="000F7E56">
        <w:trPr>
          <w:trHeight w:val="272"/>
        </w:trPr>
        <w:tc>
          <w:tcPr>
            <w:tcW w:w="3596" w:type="dxa"/>
            <w:noWrap/>
            <w:hideMark/>
          </w:tcPr>
          <w:p w14:paraId="18D6EBBA" w14:textId="77777777" w:rsidR="000F7E56" w:rsidRPr="000F7E56" w:rsidRDefault="000F7E56" w:rsidP="000F7E56">
            <w:pPr>
              <w:spacing w:after="120"/>
              <w:rPr>
                <w:rFonts w:ascii="Calibri" w:eastAsia="Calibri" w:hAnsi="Calibri" w:cs="Times New Roman"/>
              </w:rPr>
            </w:pPr>
            <w:r w:rsidRPr="000F7E56">
              <w:rPr>
                <w:rFonts w:ascii="Calibri" w:eastAsia="Calibri" w:hAnsi="Calibri" w:cs="Times New Roman"/>
              </w:rPr>
              <w:t>Consultant, Palliative Care</w:t>
            </w:r>
          </w:p>
        </w:tc>
        <w:tc>
          <w:tcPr>
            <w:tcW w:w="565" w:type="dxa"/>
            <w:noWrap/>
            <w:hideMark/>
          </w:tcPr>
          <w:p w14:paraId="081DFBA4" w14:textId="77777777" w:rsidR="000F7E56" w:rsidRPr="000F7E56" w:rsidRDefault="000F7E56" w:rsidP="000F7E56">
            <w:pPr>
              <w:spacing w:after="120"/>
              <w:rPr>
                <w:rFonts w:ascii="Calibri" w:eastAsia="Calibri" w:hAnsi="Calibri" w:cs="Times New Roman"/>
              </w:rPr>
            </w:pPr>
            <w:r w:rsidRPr="000F7E56">
              <w:rPr>
                <w:rFonts w:ascii="Calibri" w:eastAsia="Calibri" w:hAnsi="Calibri" w:cs="Times New Roman"/>
              </w:rPr>
              <w:t>43</w:t>
            </w:r>
          </w:p>
        </w:tc>
        <w:tc>
          <w:tcPr>
            <w:tcW w:w="1802" w:type="dxa"/>
            <w:noWrap/>
            <w:hideMark/>
          </w:tcPr>
          <w:p w14:paraId="014B777B" w14:textId="77777777" w:rsidR="000F7E56" w:rsidRPr="000F7E56" w:rsidRDefault="000F7E56" w:rsidP="000F7E56">
            <w:pPr>
              <w:spacing w:after="120"/>
              <w:rPr>
                <w:rFonts w:ascii="Calibri" w:eastAsia="Calibri" w:hAnsi="Calibri" w:cs="Times New Roman"/>
              </w:rPr>
            </w:pPr>
            <w:r w:rsidRPr="000F7E56">
              <w:rPr>
                <w:rFonts w:ascii="Calibri" w:eastAsia="Calibri" w:hAnsi="Calibri" w:cs="Times New Roman"/>
              </w:rPr>
              <w:t>Female</w:t>
            </w:r>
          </w:p>
        </w:tc>
        <w:tc>
          <w:tcPr>
            <w:tcW w:w="1687" w:type="dxa"/>
            <w:noWrap/>
            <w:hideMark/>
          </w:tcPr>
          <w:p w14:paraId="4733664D" w14:textId="77777777" w:rsidR="000F7E56" w:rsidRPr="000F7E56" w:rsidRDefault="000F7E56" w:rsidP="000F7E56">
            <w:pPr>
              <w:spacing w:after="120"/>
              <w:rPr>
                <w:rFonts w:ascii="Calibri" w:eastAsia="Calibri" w:hAnsi="Calibri" w:cs="Times New Roman"/>
              </w:rPr>
            </w:pPr>
            <w:r w:rsidRPr="000F7E56">
              <w:rPr>
                <w:rFonts w:ascii="Calibri" w:eastAsia="Calibri" w:hAnsi="Calibri" w:cs="Times New Roman"/>
              </w:rPr>
              <w:t>African</w:t>
            </w:r>
          </w:p>
        </w:tc>
        <w:tc>
          <w:tcPr>
            <w:tcW w:w="1984" w:type="dxa"/>
            <w:noWrap/>
            <w:hideMark/>
          </w:tcPr>
          <w:p w14:paraId="19E86FCB" w14:textId="77777777" w:rsidR="000F7E56" w:rsidRPr="000F7E56" w:rsidRDefault="000F7E56" w:rsidP="000F7E56">
            <w:pPr>
              <w:spacing w:after="120"/>
              <w:rPr>
                <w:rFonts w:ascii="Calibri" w:eastAsia="Calibri" w:hAnsi="Calibri" w:cs="Times New Roman"/>
              </w:rPr>
            </w:pPr>
            <w:r w:rsidRPr="000F7E56">
              <w:rPr>
                <w:rFonts w:ascii="Calibri" w:eastAsia="Calibri" w:hAnsi="Calibri" w:cs="Times New Roman"/>
              </w:rPr>
              <w:t>Church of England</w:t>
            </w:r>
          </w:p>
        </w:tc>
      </w:tr>
      <w:tr w:rsidR="000F7E56" w:rsidRPr="000F7E56" w14:paraId="11E04E2E" w14:textId="77777777" w:rsidTr="000F7E56">
        <w:trPr>
          <w:trHeight w:val="272"/>
        </w:trPr>
        <w:tc>
          <w:tcPr>
            <w:tcW w:w="3596" w:type="dxa"/>
            <w:noWrap/>
            <w:hideMark/>
          </w:tcPr>
          <w:p w14:paraId="23D71A5B" w14:textId="77777777" w:rsidR="000F7E56" w:rsidRPr="000F7E56" w:rsidRDefault="000F7E56" w:rsidP="000F7E56">
            <w:pPr>
              <w:spacing w:after="120"/>
              <w:rPr>
                <w:rFonts w:ascii="Calibri" w:eastAsia="Calibri" w:hAnsi="Calibri" w:cs="Times New Roman"/>
              </w:rPr>
            </w:pPr>
            <w:r w:rsidRPr="000F7E56">
              <w:rPr>
                <w:rFonts w:ascii="Calibri" w:eastAsia="Calibri" w:hAnsi="Calibri" w:cs="Times New Roman"/>
              </w:rPr>
              <w:t>Nurse, end-of-life care planning</w:t>
            </w:r>
          </w:p>
        </w:tc>
        <w:tc>
          <w:tcPr>
            <w:tcW w:w="565" w:type="dxa"/>
            <w:noWrap/>
            <w:hideMark/>
          </w:tcPr>
          <w:p w14:paraId="0E1AC876" w14:textId="77777777" w:rsidR="000F7E56" w:rsidRPr="000F7E56" w:rsidRDefault="000F7E56" w:rsidP="000F7E56">
            <w:pPr>
              <w:spacing w:after="120"/>
              <w:rPr>
                <w:rFonts w:ascii="Calibri" w:eastAsia="Calibri" w:hAnsi="Calibri" w:cs="Times New Roman"/>
              </w:rPr>
            </w:pPr>
            <w:r w:rsidRPr="000F7E56">
              <w:rPr>
                <w:rFonts w:ascii="Calibri" w:eastAsia="Calibri" w:hAnsi="Calibri" w:cs="Times New Roman"/>
              </w:rPr>
              <w:t>53</w:t>
            </w:r>
          </w:p>
        </w:tc>
        <w:tc>
          <w:tcPr>
            <w:tcW w:w="1802" w:type="dxa"/>
            <w:noWrap/>
            <w:hideMark/>
          </w:tcPr>
          <w:p w14:paraId="34892192" w14:textId="77777777" w:rsidR="000F7E56" w:rsidRPr="000F7E56" w:rsidRDefault="000F7E56" w:rsidP="000F7E56">
            <w:pPr>
              <w:spacing w:after="120"/>
              <w:rPr>
                <w:rFonts w:ascii="Calibri" w:eastAsia="Calibri" w:hAnsi="Calibri" w:cs="Times New Roman"/>
              </w:rPr>
            </w:pPr>
            <w:r w:rsidRPr="000F7E56">
              <w:rPr>
                <w:rFonts w:ascii="Calibri" w:eastAsia="Calibri" w:hAnsi="Calibri" w:cs="Times New Roman"/>
              </w:rPr>
              <w:t>Female</w:t>
            </w:r>
          </w:p>
        </w:tc>
        <w:tc>
          <w:tcPr>
            <w:tcW w:w="1687" w:type="dxa"/>
            <w:noWrap/>
            <w:hideMark/>
          </w:tcPr>
          <w:p w14:paraId="0BD9BB8E" w14:textId="77777777" w:rsidR="000F7E56" w:rsidRPr="000F7E56" w:rsidRDefault="000F7E56" w:rsidP="000F7E56">
            <w:pPr>
              <w:spacing w:after="120"/>
              <w:rPr>
                <w:rFonts w:ascii="Calibri" w:eastAsia="Calibri" w:hAnsi="Calibri" w:cs="Times New Roman"/>
              </w:rPr>
            </w:pPr>
            <w:r w:rsidRPr="000F7E56">
              <w:rPr>
                <w:rFonts w:ascii="Calibri" w:eastAsia="Calibri" w:hAnsi="Calibri" w:cs="Times New Roman"/>
              </w:rPr>
              <w:t>White British</w:t>
            </w:r>
          </w:p>
        </w:tc>
        <w:tc>
          <w:tcPr>
            <w:tcW w:w="1984" w:type="dxa"/>
            <w:noWrap/>
            <w:hideMark/>
          </w:tcPr>
          <w:p w14:paraId="3AFCDE13" w14:textId="77777777" w:rsidR="000F7E56" w:rsidRPr="000F7E56" w:rsidRDefault="000F7E56" w:rsidP="000F7E56">
            <w:pPr>
              <w:spacing w:after="120"/>
              <w:rPr>
                <w:rFonts w:ascii="Calibri" w:eastAsia="Calibri" w:hAnsi="Calibri" w:cs="Times New Roman"/>
              </w:rPr>
            </w:pPr>
            <w:r w:rsidRPr="000F7E56">
              <w:rPr>
                <w:rFonts w:ascii="Calibri" w:eastAsia="Calibri" w:hAnsi="Calibri" w:cs="Times New Roman"/>
              </w:rPr>
              <w:t>Church of England</w:t>
            </w:r>
          </w:p>
        </w:tc>
      </w:tr>
      <w:tr w:rsidR="000F7E56" w:rsidRPr="000F7E56" w14:paraId="6B1E3D05" w14:textId="77777777" w:rsidTr="000F7E56">
        <w:trPr>
          <w:trHeight w:val="272"/>
        </w:trPr>
        <w:tc>
          <w:tcPr>
            <w:tcW w:w="3596" w:type="dxa"/>
            <w:noWrap/>
            <w:hideMark/>
          </w:tcPr>
          <w:p w14:paraId="6523F4EE" w14:textId="77777777" w:rsidR="000F7E56" w:rsidRPr="000F7E56" w:rsidRDefault="000F7E56" w:rsidP="000F7E56">
            <w:pPr>
              <w:spacing w:after="120"/>
              <w:rPr>
                <w:rFonts w:ascii="Calibri" w:eastAsia="Calibri" w:hAnsi="Calibri" w:cs="Times New Roman"/>
              </w:rPr>
            </w:pPr>
            <w:r w:rsidRPr="000F7E56">
              <w:rPr>
                <w:rFonts w:ascii="Calibri" w:eastAsia="Calibri" w:hAnsi="Calibri" w:cs="Times New Roman"/>
              </w:rPr>
              <w:t xml:space="preserve">Manager, Public Health Programme </w:t>
            </w:r>
          </w:p>
        </w:tc>
        <w:tc>
          <w:tcPr>
            <w:tcW w:w="565" w:type="dxa"/>
            <w:noWrap/>
            <w:hideMark/>
          </w:tcPr>
          <w:p w14:paraId="2F782D79" w14:textId="77777777" w:rsidR="000F7E56" w:rsidRPr="000F7E56" w:rsidRDefault="000F7E56" w:rsidP="000F7E56">
            <w:pPr>
              <w:spacing w:after="120"/>
              <w:rPr>
                <w:rFonts w:ascii="Calibri" w:eastAsia="Calibri" w:hAnsi="Calibri" w:cs="Times New Roman"/>
              </w:rPr>
            </w:pPr>
            <w:r w:rsidRPr="000F7E56">
              <w:rPr>
                <w:rFonts w:ascii="Calibri" w:eastAsia="Calibri" w:hAnsi="Calibri" w:cs="Times New Roman"/>
              </w:rPr>
              <w:t>36</w:t>
            </w:r>
          </w:p>
        </w:tc>
        <w:tc>
          <w:tcPr>
            <w:tcW w:w="1802" w:type="dxa"/>
            <w:noWrap/>
            <w:hideMark/>
          </w:tcPr>
          <w:p w14:paraId="30753AB9" w14:textId="77777777" w:rsidR="000F7E56" w:rsidRPr="000F7E56" w:rsidRDefault="000F7E56" w:rsidP="000F7E56">
            <w:pPr>
              <w:spacing w:after="120"/>
              <w:rPr>
                <w:rFonts w:ascii="Calibri" w:eastAsia="Calibri" w:hAnsi="Calibri" w:cs="Times New Roman"/>
              </w:rPr>
            </w:pPr>
            <w:r w:rsidRPr="000F7E56">
              <w:rPr>
                <w:rFonts w:ascii="Calibri" w:eastAsia="Calibri" w:hAnsi="Calibri" w:cs="Times New Roman"/>
              </w:rPr>
              <w:t>Male</w:t>
            </w:r>
          </w:p>
        </w:tc>
        <w:tc>
          <w:tcPr>
            <w:tcW w:w="1687" w:type="dxa"/>
            <w:noWrap/>
            <w:hideMark/>
          </w:tcPr>
          <w:p w14:paraId="1C5A94CA" w14:textId="77777777" w:rsidR="000F7E56" w:rsidRPr="000F7E56" w:rsidRDefault="000F7E56" w:rsidP="000F7E56">
            <w:pPr>
              <w:spacing w:after="120"/>
              <w:rPr>
                <w:rFonts w:ascii="Calibri" w:eastAsia="Calibri" w:hAnsi="Calibri" w:cs="Times New Roman"/>
              </w:rPr>
            </w:pPr>
            <w:r w:rsidRPr="000F7E56">
              <w:rPr>
                <w:rFonts w:ascii="Calibri" w:eastAsia="Calibri" w:hAnsi="Calibri" w:cs="Times New Roman"/>
              </w:rPr>
              <w:t>White British</w:t>
            </w:r>
          </w:p>
        </w:tc>
        <w:tc>
          <w:tcPr>
            <w:tcW w:w="1984" w:type="dxa"/>
            <w:noWrap/>
            <w:hideMark/>
          </w:tcPr>
          <w:p w14:paraId="5A0ACB18" w14:textId="77777777" w:rsidR="000F7E56" w:rsidRPr="000F7E56" w:rsidRDefault="000F7E56" w:rsidP="000F7E56">
            <w:pPr>
              <w:spacing w:after="120"/>
              <w:rPr>
                <w:rFonts w:ascii="Calibri" w:eastAsia="Calibri" w:hAnsi="Calibri" w:cs="Times New Roman"/>
              </w:rPr>
            </w:pPr>
            <w:r w:rsidRPr="000F7E56">
              <w:rPr>
                <w:rFonts w:ascii="Calibri" w:eastAsia="Calibri" w:hAnsi="Calibri" w:cs="Times New Roman"/>
              </w:rPr>
              <w:t>Church of England</w:t>
            </w:r>
          </w:p>
        </w:tc>
      </w:tr>
    </w:tbl>
    <w:p w14:paraId="0217D8D7" w14:textId="4F4936F7" w:rsidR="000F7E56" w:rsidRPr="000F7E56" w:rsidRDefault="000F7E56" w:rsidP="000F7E56">
      <w:pPr>
        <w:keepNext/>
        <w:spacing w:after="200" w:line="240" w:lineRule="auto"/>
        <w:jc w:val="both"/>
        <w:rPr>
          <w:rFonts w:ascii="Calibri" w:eastAsia="Calibri" w:hAnsi="Calibri" w:cs="Times New Roman"/>
          <w:iCs/>
          <w:color w:val="44546A" w:themeColor="text2"/>
        </w:rPr>
      </w:pPr>
      <w:bookmarkStart w:id="270" w:name="_Toc89967517"/>
      <w:bookmarkStart w:id="271" w:name="_Toc106701068"/>
      <w:r w:rsidRPr="000F7E56">
        <w:rPr>
          <w:rFonts w:cstheme="minorHAnsi"/>
          <w:iCs/>
          <w:color w:val="44546A" w:themeColor="text2"/>
        </w:rPr>
        <w:t xml:space="preserve">TABLE </w:t>
      </w:r>
      <w:r w:rsidRPr="000F7E56">
        <w:rPr>
          <w:rFonts w:cstheme="minorHAnsi"/>
          <w:iCs/>
          <w:color w:val="44546A" w:themeColor="text2"/>
        </w:rPr>
        <w:fldChar w:fldCharType="begin"/>
      </w:r>
      <w:r w:rsidRPr="000F7E56">
        <w:rPr>
          <w:rFonts w:cstheme="minorHAnsi"/>
          <w:iCs/>
          <w:color w:val="44546A" w:themeColor="text2"/>
        </w:rPr>
        <w:instrText xml:space="preserve"> SEQ Table \* ARABIC </w:instrText>
      </w:r>
      <w:r w:rsidRPr="000F7E56">
        <w:rPr>
          <w:rFonts w:cstheme="minorHAnsi"/>
          <w:iCs/>
          <w:color w:val="44546A" w:themeColor="text2"/>
        </w:rPr>
        <w:fldChar w:fldCharType="separate"/>
      </w:r>
      <w:r w:rsidR="00514EB4">
        <w:rPr>
          <w:rFonts w:cstheme="minorHAnsi"/>
          <w:iCs/>
          <w:noProof/>
          <w:color w:val="44546A" w:themeColor="text2"/>
        </w:rPr>
        <w:t>6</w:t>
      </w:r>
      <w:r w:rsidRPr="000F7E56">
        <w:rPr>
          <w:rFonts w:cstheme="minorHAnsi"/>
          <w:iCs/>
          <w:noProof/>
          <w:color w:val="44546A" w:themeColor="text2"/>
        </w:rPr>
        <w:fldChar w:fldCharType="end"/>
      </w:r>
      <w:r w:rsidRPr="000F7E56">
        <w:rPr>
          <w:rFonts w:cstheme="minorHAnsi"/>
          <w:iCs/>
          <w:noProof/>
          <w:color w:val="44546A" w:themeColor="text2"/>
        </w:rPr>
        <w:t xml:space="preserve"> -</w:t>
      </w:r>
      <w:r w:rsidRPr="000F7E56">
        <w:rPr>
          <w:rFonts w:cstheme="minorHAnsi"/>
          <w:iCs/>
          <w:color w:val="44546A" w:themeColor="text2"/>
        </w:rPr>
        <w:t xml:space="preserve"> Characteristics of Health Care Professional Stakeholders</w:t>
      </w:r>
      <w:bookmarkEnd w:id="270"/>
      <w:bookmarkEnd w:id="271"/>
    </w:p>
    <w:p w14:paraId="67E6527F" w14:textId="77777777" w:rsidR="000F7E56" w:rsidRPr="000F7E56" w:rsidRDefault="000F7E56" w:rsidP="000F7E56">
      <w:pPr>
        <w:spacing w:after="120" w:line="360" w:lineRule="auto"/>
        <w:rPr>
          <w:rFonts w:ascii="Calibri" w:eastAsia="Calibri" w:hAnsi="Calibri" w:cs="Times New Roman"/>
        </w:rPr>
      </w:pPr>
    </w:p>
    <w:p w14:paraId="09F7BA4B" w14:textId="77777777" w:rsidR="000F7E56" w:rsidRPr="000F7E56" w:rsidRDefault="000F7E56" w:rsidP="000F7E56">
      <w:pPr>
        <w:spacing w:after="120" w:line="360" w:lineRule="auto"/>
        <w:rPr>
          <w:rFonts w:ascii="Calibri" w:eastAsia="Calibri" w:hAnsi="Calibri" w:cs="Times New Roman"/>
        </w:rPr>
      </w:pPr>
    </w:p>
    <w:p w14:paraId="7FB285CA" w14:textId="77777777" w:rsidR="000F7E56" w:rsidRPr="000F7E56" w:rsidRDefault="000F7E56" w:rsidP="000F7E56">
      <w:pPr>
        <w:spacing w:after="120" w:line="360" w:lineRule="auto"/>
        <w:rPr>
          <w:rFonts w:ascii="Calibri" w:eastAsia="Calibri" w:hAnsi="Calibri" w:cs="Times New Roman"/>
        </w:rPr>
      </w:pPr>
    </w:p>
    <w:p w14:paraId="7EC39F93" w14:textId="77777777" w:rsidR="000F7E56" w:rsidRPr="000F7E56" w:rsidRDefault="000F7E56" w:rsidP="000F7E56">
      <w:pPr>
        <w:spacing w:after="120" w:line="360" w:lineRule="auto"/>
        <w:rPr>
          <w:rFonts w:ascii="Calibri" w:eastAsia="Calibri" w:hAnsi="Calibri" w:cs="Times New Roman"/>
        </w:rPr>
      </w:pPr>
      <w:r w:rsidRPr="000F7E56">
        <w:rPr>
          <w:rFonts w:ascii="Calibri" w:eastAsia="Calibri" w:hAnsi="Calibri" w:cs="Times New Roman"/>
        </w:rPr>
        <w:lastRenderedPageBreak/>
        <w:t xml:space="preserve">The majority of the seven Academics described themselves as having an interest in end-of-life issues (n=4). They described their ethnicity as White (n=5), White and Asian (n=1) and Sri Lankan British (n=1). Six were Female. Their detailed characteristics as they provided are described in Table 7.   </w:t>
      </w:r>
    </w:p>
    <w:p w14:paraId="31CDBAB9" w14:textId="77777777" w:rsidR="000F7E56" w:rsidRPr="000F7E56" w:rsidRDefault="000F7E56" w:rsidP="000F7E56">
      <w:pPr>
        <w:spacing w:after="120" w:line="360" w:lineRule="auto"/>
        <w:rPr>
          <w:rFonts w:ascii="Calibri" w:eastAsia="Calibri" w:hAnsi="Calibri" w:cs="Times New Roman"/>
        </w:rPr>
      </w:pPr>
    </w:p>
    <w:tbl>
      <w:tblPr>
        <w:tblStyle w:val="TableGrid"/>
        <w:tblW w:w="9918" w:type="dxa"/>
        <w:tblLook w:val="04A0" w:firstRow="1" w:lastRow="0" w:firstColumn="1" w:lastColumn="0" w:noHBand="0" w:noVBand="1"/>
      </w:tblPr>
      <w:tblGrid>
        <w:gridCol w:w="2598"/>
        <w:gridCol w:w="1792"/>
        <w:gridCol w:w="708"/>
        <w:gridCol w:w="709"/>
        <w:gridCol w:w="1843"/>
        <w:gridCol w:w="2268"/>
      </w:tblGrid>
      <w:tr w:rsidR="000F7E56" w:rsidRPr="000F7E56" w14:paraId="63F12D93" w14:textId="77777777" w:rsidTr="00966DB7">
        <w:trPr>
          <w:trHeight w:val="732"/>
        </w:trPr>
        <w:tc>
          <w:tcPr>
            <w:tcW w:w="2598" w:type="dxa"/>
            <w:tcBorders>
              <w:top w:val="single" w:sz="4" w:space="0" w:color="auto"/>
              <w:left w:val="single" w:sz="4" w:space="0" w:color="auto"/>
              <w:bottom w:val="single" w:sz="4" w:space="0" w:color="auto"/>
              <w:right w:val="single" w:sz="4" w:space="0" w:color="auto"/>
            </w:tcBorders>
          </w:tcPr>
          <w:p w14:paraId="3C810979" w14:textId="77777777" w:rsidR="000F7E56" w:rsidRPr="000F7E56" w:rsidRDefault="000F7E56" w:rsidP="000F7E56">
            <w:pPr>
              <w:spacing w:after="120" w:line="360" w:lineRule="auto"/>
              <w:rPr>
                <w:rFonts w:ascii="Calibri" w:eastAsia="Calibri" w:hAnsi="Calibri" w:cs="Times New Roman"/>
                <w:b/>
                <w:bCs/>
              </w:rPr>
            </w:pPr>
            <w:r w:rsidRPr="000F7E56">
              <w:rPr>
                <w:rFonts w:ascii="Calibri" w:eastAsia="Calibri" w:hAnsi="Calibri" w:cs="Times New Roman"/>
                <w:b/>
                <w:bCs/>
              </w:rPr>
              <w:t>Participant group and speciality</w:t>
            </w:r>
          </w:p>
        </w:tc>
        <w:tc>
          <w:tcPr>
            <w:tcW w:w="1792" w:type="dxa"/>
            <w:tcBorders>
              <w:top w:val="single" w:sz="4" w:space="0" w:color="auto"/>
              <w:left w:val="single" w:sz="4" w:space="0" w:color="auto"/>
              <w:bottom w:val="single" w:sz="4" w:space="0" w:color="auto"/>
              <w:right w:val="single" w:sz="4" w:space="0" w:color="auto"/>
            </w:tcBorders>
            <w:noWrap/>
          </w:tcPr>
          <w:p w14:paraId="3D553EA0" w14:textId="77777777" w:rsidR="000F7E56" w:rsidRPr="000F7E56" w:rsidRDefault="000F7E56" w:rsidP="000F7E56">
            <w:pPr>
              <w:spacing w:after="120" w:line="360" w:lineRule="auto"/>
              <w:rPr>
                <w:rFonts w:ascii="Calibri" w:eastAsia="Calibri" w:hAnsi="Calibri" w:cs="Times New Roman"/>
                <w:b/>
                <w:bCs/>
              </w:rPr>
            </w:pPr>
            <w:r w:rsidRPr="000F7E56">
              <w:rPr>
                <w:rFonts w:ascii="Calibri" w:eastAsia="Calibri" w:hAnsi="Calibri" w:cs="Times New Roman"/>
                <w:b/>
                <w:bCs/>
              </w:rPr>
              <w:t xml:space="preserve">Workshop or Workbook </w:t>
            </w:r>
          </w:p>
        </w:tc>
        <w:tc>
          <w:tcPr>
            <w:tcW w:w="708" w:type="dxa"/>
            <w:tcBorders>
              <w:top w:val="single" w:sz="4" w:space="0" w:color="auto"/>
              <w:left w:val="single" w:sz="4" w:space="0" w:color="auto"/>
              <w:bottom w:val="single" w:sz="4" w:space="0" w:color="auto"/>
              <w:right w:val="single" w:sz="4" w:space="0" w:color="auto"/>
            </w:tcBorders>
            <w:noWrap/>
          </w:tcPr>
          <w:p w14:paraId="0A504789" w14:textId="77777777" w:rsidR="000F7E56" w:rsidRPr="000F7E56" w:rsidRDefault="000F7E56" w:rsidP="000F7E56">
            <w:pPr>
              <w:spacing w:after="120" w:line="360" w:lineRule="auto"/>
              <w:rPr>
                <w:rFonts w:ascii="Calibri" w:eastAsia="Calibri" w:hAnsi="Calibri" w:cs="Times New Roman"/>
                <w:b/>
                <w:bCs/>
              </w:rPr>
            </w:pPr>
            <w:r w:rsidRPr="000F7E56">
              <w:rPr>
                <w:rFonts w:ascii="Calibri" w:eastAsia="Calibri" w:hAnsi="Calibri" w:cs="Times New Roman"/>
                <w:b/>
                <w:bCs/>
              </w:rPr>
              <w:t>Age</w:t>
            </w:r>
          </w:p>
        </w:tc>
        <w:tc>
          <w:tcPr>
            <w:tcW w:w="709" w:type="dxa"/>
            <w:tcBorders>
              <w:top w:val="single" w:sz="4" w:space="0" w:color="auto"/>
              <w:left w:val="single" w:sz="4" w:space="0" w:color="auto"/>
              <w:bottom w:val="single" w:sz="4" w:space="0" w:color="auto"/>
              <w:right w:val="single" w:sz="4" w:space="0" w:color="auto"/>
            </w:tcBorders>
            <w:noWrap/>
          </w:tcPr>
          <w:p w14:paraId="44D50A37" w14:textId="77777777" w:rsidR="000F7E56" w:rsidRPr="000F7E56" w:rsidRDefault="000F7E56" w:rsidP="000F7E56">
            <w:pPr>
              <w:spacing w:after="120" w:line="360" w:lineRule="auto"/>
              <w:rPr>
                <w:rFonts w:ascii="Calibri" w:eastAsia="Calibri" w:hAnsi="Calibri" w:cs="Times New Roman"/>
                <w:b/>
                <w:bCs/>
              </w:rPr>
            </w:pPr>
            <w:r w:rsidRPr="000F7E56">
              <w:rPr>
                <w:rFonts w:ascii="Calibri" w:eastAsia="Calibri" w:hAnsi="Calibri" w:cs="Times New Roman"/>
                <w:b/>
                <w:bCs/>
              </w:rPr>
              <w:t>Sex</w:t>
            </w:r>
          </w:p>
        </w:tc>
        <w:tc>
          <w:tcPr>
            <w:tcW w:w="1843" w:type="dxa"/>
            <w:tcBorders>
              <w:top w:val="single" w:sz="4" w:space="0" w:color="auto"/>
              <w:left w:val="single" w:sz="4" w:space="0" w:color="auto"/>
              <w:bottom w:val="single" w:sz="4" w:space="0" w:color="auto"/>
              <w:right w:val="single" w:sz="4" w:space="0" w:color="auto"/>
            </w:tcBorders>
            <w:noWrap/>
          </w:tcPr>
          <w:p w14:paraId="3BF5C9B4" w14:textId="77777777" w:rsidR="000F7E56" w:rsidRPr="000F7E56" w:rsidRDefault="000F7E56" w:rsidP="000F7E56">
            <w:pPr>
              <w:spacing w:after="120" w:line="360" w:lineRule="auto"/>
              <w:rPr>
                <w:rFonts w:ascii="Calibri" w:eastAsia="Calibri" w:hAnsi="Calibri" w:cs="Times New Roman"/>
                <w:b/>
                <w:bCs/>
              </w:rPr>
            </w:pPr>
            <w:r w:rsidRPr="000F7E56">
              <w:rPr>
                <w:rFonts w:ascii="Calibri" w:eastAsia="Calibri" w:hAnsi="Calibri" w:cs="Times New Roman"/>
                <w:b/>
                <w:bCs/>
              </w:rPr>
              <w:t>Ethnicity</w:t>
            </w:r>
          </w:p>
        </w:tc>
        <w:tc>
          <w:tcPr>
            <w:tcW w:w="2268" w:type="dxa"/>
            <w:tcBorders>
              <w:top w:val="single" w:sz="4" w:space="0" w:color="auto"/>
              <w:left w:val="single" w:sz="4" w:space="0" w:color="auto"/>
              <w:bottom w:val="single" w:sz="4" w:space="0" w:color="auto"/>
              <w:right w:val="single" w:sz="4" w:space="0" w:color="auto"/>
            </w:tcBorders>
            <w:noWrap/>
          </w:tcPr>
          <w:p w14:paraId="5F47E38B" w14:textId="77777777" w:rsidR="000F7E56" w:rsidRPr="000F7E56" w:rsidRDefault="000F7E56" w:rsidP="000F7E56">
            <w:pPr>
              <w:spacing w:after="120" w:line="360" w:lineRule="auto"/>
              <w:rPr>
                <w:rFonts w:ascii="Calibri" w:eastAsia="Calibri" w:hAnsi="Calibri" w:cs="Times New Roman"/>
                <w:b/>
                <w:bCs/>
              </w:rPr>
            </w:pPr>
            <w:r w:rsidRPr="000F7E56">
              <w:rPr>
                <w:rFonts w:ascii="Calibri" w:eastAsia="Calibri" w:hAnsi="Calibri" w:cs="Times New Roman"/>
                <w:b/>
                <w:bCs/>
              </w:rPr>
              <w:t>Religion</w:t>
            </w:r>
          </w:p>
        </w:tc>
      </w:tr>
      <w:tr w:rsidR="000F7E56" w:rsidRPr="000F7E56" w14:paraId="28FA1501" w14:textId="77777777" w:rsidTr="00966DB7">
        <w:trPr>
          <w:trHeight w:val="288"/>
        </w:trPr>
        <w:tc>
          <w:tcPr>
            <w:tcW w:w="2598" w:type="dxa"/>
          </w:tcPr>
          <w:p w14:paraId="366E57B0" w14:textId="77777777" w:rsidR="000F7E56" w:rsidRPr="000F7E56" w:rsidDel="005557B1" w:rsidRDefault="000F7E56" w:rsidP="000F7E56">
            <w:pPr>
              <w:spacing w:after="120" w:line="360" w:lineRule="auto"/>
              <w:rPr>
                <w:rFonts w:ascii="Calibri" w:eastAsia="Calibri" w:hAnsi="Calibri" w:cs="Times New Roman"/>
              </w:rPr>
            </w:pPr>
            <w:r w:rsidRPr="000F7E56">
              <w:rPr>
                <w:rFonts w:ascii="Calibri" w:eastAsia="Calibri" w:hAnsi="Calibri" w:cs="Times New Roman"/>
              </w:rPr>
              <w:t>Social scientist, Academic focussing on end-of-life issues &amp; University employee</w:t>
            </w:r>
          </w:p>
        </w:tc>
        <w:tc>
          <w:tcPr>
            <w:tcW w:w="1792" w:type="dxa"/>
            <w:noWrap/>
            <w:hideMark/>
          </w:tcPr>
          <w:p w14:paraId="4226DB5F" w14:textId="77777777" w:rsidR="000F7E56" w:rsidRPr="000F7E56" w:rsidRDefault="000F7E56" w:rsidP="000F7E56">
            <w:pPr>
              <w:spacing w:after="120" w:line="360" w:lineRule="auto"/>
              <w:rPr>
                <w:rFonts w:ascii="Calibri" w:eastAsia="Calibri" w:hAnsi="Calibri" w:cs="Times New Roman"/>
              </w:rPr>
            </w:pPr>
            <w:r w:rsidRPr="000F7E56">
              <w:rPr>
                <w:rFonts w:ascii="Calibri" w:eastAsia="Calibri" w:hAnsi="Calibri" w:cs="Times New Roman"/>
              </w:rPr>
              <w:t>Workshop</w:t>
            </w:r>
          </w:p>
        </w:tc>
        <w:tc>
          <w:tcPr>
            <w:tcW w:w="708" w:type="dxa"/>
            <w:noWrap/>
            <w:hideMark/>
          </w:tcPr>
          <w:p w14:paraId="67BA9C95" w14:textId="77777777" w:rsidR="000F7E56" w:rsidRPr="000F7E56" w:rsidRDefault="000F7E56" w:rsidP="000F7E56">
            <w:pPr>
              <w:spacing w:after="120" w:line="360" w:lineRule="auto"/>
              <w:rPr>
                <w:rFonts w:ascii="Calibri" w:eastAsia="Calibri" w:hAnsi="Calibri" w:cs="Times New Roman"/>
              </w:rPr>
            </w:pPr>
            <w:r w:rsidRPr="000F7E56">
              <w:rPr>
                <w:rFonts w:ascii="Calibri" w:eastAsia="Calibri" w:hAnsi="Calibri" w:cs="Times New Roman"/>
              </w:rPr>
              <w:t>63</w:t>
            </w:r>
          </w:p>
        </w:tc>
        <w:tc>
          <w:tcPr>
            <w:tcW w:w="709" w:type="dxa"/>
            <w:noWrap/>
            <w:hideMark/>
          </w:tcPr>
          <w:p w14:paraId="7D15EE7F" w14:textId="77777777" w:rsidR="000F7E56" w:rsidRPr="000F7E56" w:rsidRDefault="000F7E56" w:rsidP="000F7E56">
            <w:pPr>
              <w:spacing w:after="120" w:line="360" w:lineRule="auto"/>
              <w:rPr>
                <w:rFonts w:ascii="Calibri" w:eastAsia="Calibri" w:hAnsi="Calibri" w:cs="Times New Roman"/>
              </w:rPr>
            </w:pPr>
            <w:r w:rsidRPr="000F7E56">
              <w:rPr>
                <w:rFonts w:ascii="Calibri" w:eastAsia="Calibri" w:hAnsi="Calibri" w:cs="Times New Roman"/>
              </w:rPr>
              <w:t>F</w:t>
            </w:r>
          </w:p>
        </w:tc>
        <w:tc>
          <w:tcPr>
            <w:tcW w:w="1843" w:type="dxa"/>
            <w:noWrap/>
            <w:hideMark/>
          </w:tcPr>
          <w:p w14:paraId="4D6B6D54" w14:textId="77777777" w:rsidR="000F7E56" w:rsidRPr="000F7E56" w:rsidRDefault="000F7E56" w:rsidP="000F7E56">
            <w:pPr>
              <w:spacing w:after="120" w:line="360" w:lineRule="auto"/>
              <w:rPr>
                <w:rFonts w:ascii="Calibri" w:eastAsia="Calibri" w:hAnsi="Calibri" w:cs="Times New Roman"/>
              </w:rPr>
            </w:pPr>
            <w:r w:rsidRPr="000F7E56">
              <w:rPr>
                <w:rFonts w:ascii="Calibri" w:eastAsia="Calibri" w:hAnsi="Calibri" w:cs="Times New Roman"/>
              </w:rPr>
              <w:t xml:space="preserve">White </w:t>
            </w:r>
          </w:p>
        </w:tc>
        <w:tc>
          <w:tcPr>
            <w:tcW w:w="2268" w:type="dxa"/>
            <w:noWrap/>
            <w:hideMark/>
          </w:tcPr>
          <w:p w14:paraId="2D4E1EA3" w14:textId="77777777" w:rsidR="000F7E56" w:rsidRPr="000F7E56" w:rsidRDefault="000F7E56" w:rsidP="000F7E56">
            <w:pPr>
              <w:spacing w:after="120" w:line="360" w:lineRule="auto"/>
              <w:rPr>
                <w:rFonts w:ascii="Calibri" w:eastAsia="Calibri" w:hAnsi="Calibri" w:cs="Times New Roman"/>
              </w:rPr>
            </w:pPr>
            <w:r w:rsidRPr="000F7E56">
              <w:rPr>
                <w:rFonts w:ascii="Calibri" w:eastAsia="Calibri" w:hAnsi="Calibri" w:cs="Times New Roman"/>
              </w:rPr>
              <w:t>No religion</w:t>
            </w:r>
          </w:p>
        </w:tc>
      </w:tr>
      <w:tr w:rsidR="000F7E56" w:rsidRPr="000F7E56" w14:paraId="10B55D3E" w14:textId="77777777" w:rsidTr="00966DB7">
        <w:trPr>
          <w:trHeight w:val="288"/>
        </w:trPr>
        <w:tc>
          <w:tcPr>
            <w:tcW w:w="2598" w:type="dxa"/>
          </w:tcPr>
          <w:p w14:paraId="1D048D46" w14:textId="77777777" w:rsidR="000F7E56" w:rsidRPr="000F7E56" w:rsidDel="005557B1" w:rsidRDefault="000F7E56" w:rsidP="000F7E56">
            <w:pPr>
              <w:spacing w:after="120" w:line="360" w:lineRule="auto"/>
              <w:rPr>
                <w:rFonts w:ascii="Calibri" w:eastAsia="Calibri" w:hAnsi="Calibri" w:cs="Times New Roman"/>
              </w:rPr>
            </w:pPr>
            <w:r w:rsidRPr="000F7E56">
              <w:rPr>
                <w:rFonts w:ascii="Calibri" w:eastAsia="Calibri" w:hAnsi="Calibri" w:cs="Times New Roman"/>
              </w:rPr>
              <w:t>Clinician &amp; Educationalist</w:t>
            </w:r>
          </w:p>
        </w:tc>
        <w:tc>
          <w:tcPr>
            <w:tcW w:w="1792" w:type="dxa"/>
            <w:noWrap/>
            <w:hideMark/>
          </w:tcPr>
          <w:p w14:paraId="52AC7BF6" w14:textId="77777777" w:rsidR="000F7E56" w:rsidRPr="000F7E56" w:rsidRDefault="000F7E56" w:rsidP="000F7E56">
            <w:pPr>
              <w:spacing w:after="120" w:line="360" w:lineRule="auto"/>
              <w:rPr>
                <w:rFonts w:ascii="Calibri" w:eastAsia="Calibri" w:hAnsi="Calibri" w:cs="Times New Roman"/>
              </w:rPr>
            </w:pPr>
            <w:r w:rsidRPr="000F7E56">
              <w:rPr>
                <w:rFonts w:ascii="Calibri" w:eastAsia="Calibri" w:hAnsi="Calibri" w:cs="Times New Roman"/>
              </w:rPr>
              <w:t>Workshop</w:t>
            </w:r>
          </w:p>
        </w:tc>
        <w:tc>
          <w:tcPr>
            <w:tcW w:w="708" w:type="dxa"/>
            <w:noWrap/>
            <w:hideMark/>
          </w:tcPr>
          <w:p w14:paraId="3E1C7BC9" w14:textId="77777777" w:rsidR="000F7E56" w:rsidRPr="000F7E56" w:rsidRDefault="000F7E56" w:rsidP="000F7E56">
            <w:pPr>
              <w:spacing w:after="120" w:line="360" w:lineRule="auto"/>
              <w:rPr>
                <w:rFonts w:ascii="Calibri" w:eastAsia="Calibri" w:hAnsi="Calibri" w:cs="Times New Roman"/>
              </w:rPr>
            </w:pPr>
            <w:r w:rsidRPr="000F7E56">
              <w:rPr>
                <w:rFonts w:ascii="Calibri" w:eastAsia="Calibri" w:hAnsi="Calibri" w:cs="Times New Roman"/>
              </w:rPr>
              <w:t>53</w:t>
            </w:r>
          </w:p>
        </w:tc>
        <w:tc>
          <w:tcPr>
            <w:tcW w:w="709" w:type="dxa"/>
            <w:noWrap/>
            <w:hideMark/>
          </w:tcPr>
          <w:p w14:paraId="65C5ABAE" w14:textId="77777777" w:rsidR="000F7E56" w:rsidRPr="000F7E56" w:rsidRDefault="000F7E56" w:rsidP="000F7E56">
            <w:pPr>
              <w:spacing w:after="120" w:line="360" w:lineRule="auto"/>
              <w:rPr>
                <w:rFonts w:ascii="Calibri" w:eastAsia="Calibri" w:hAnsi="Calibri" w:cs="Times New Roman"/>
              </w:rPr>
            </w:pPr>
            <w:r w:rsidRPr="000F7E56">
              <w:rPr>
                <w:rFonts w:ascii="Calibri" w:eastAsia="Calibri" w:hAnsi="Calibri" w:cs="Times New Roman"/>
              </w:rPr>
              <w:t>F</w:t>
            </w:r>
          </w:p>
        </w:tc>
        <w:tc>
          <w:tcPr>
            <w:tcW w:w="1843" w:type="dxa"/>
            <w:noWrap/>
            <w:hideMark/>
          </w:tcPr>
          <w:p w14:paraId="6B580DFF" w14:textId="77777777" w:rsidR="000F7E56" w:rsidRPr="000F7E56" w:rsidRDefault="000F7E56" w:rsidP="000F7E56">
            <w:pPr>
              <w:spacing w:after="120" w:line="360" w:lineRule="auto"/>
              <w:rPr>
                <w:rFonts w:ascii="Calibri" w:eastAsia="Calibri" w:hAnsi="Calibri" w:cs="Times New Roman"/>
              </w:rPr>
            </w:pPr>
            <w:r w:rsidRPr="000F7E56">
              <w:rPr>
                <w:rFonts w:ascii="Calibri" w:eastAsia="Calibri" w:hAnsi="Calibri" w:cs="Times New Roman"/>
              </w:rPr>
              <w:t>White and Asian</w:t>
            </w:r>
          </w:p>
        </w:tc>
        <w:tc>
          <w:tcPr>
            <w:tcW w:w="2268" w:type="dxa"/>
            <w:noWrap/>
            <w:hideMark/>
          </w:tcPr>
          <w:p w14:paraId="2C1DDD09" w14:textId="77777777" w:rsidR="000F7E56" w:rsidRPr="000F7E56" w:rsidRDefault="000F7E56" w:rsidP="000F7E56">
            <w:pPr>
              <w:spacing w:after="120" w:line="360" w:lineRule="auto"/>
              <w:rPr>
                <w:rFonts w:ascii="Calibri" w:eastAsia="Calibri" w:hAnsi="Calibri" w:cs="Times New Roman"/>
              </w:rPr>
            </w:pPr>
            <w:r w:rsidRPr="000F7E56">
              <w:rPr>
                <w:rFonts w:ascii="Calibri" w:eastAsia="Calibri" w:hAnsi="Calibri" w:cs="Times New Roman"/>
              </w:rPr>
              <w:t>Church of England</w:t>
            </w:r>
          </w:p>
        </w:tc>
      </w:tr>
      <w:tr w:rsidR="000F7E56" w:rsidRPr="000F7E56" w14:paraId="76E5B362" w14:textId="77777777" w:rsidTr="00966DB7">
        <w:trPr>
          <w:trHeight w:val="288"/>
        </w:trPr>
        <w:tc>
          <w:tcPr>
            <w:tcW w:w="2598" w:type="dxa"/>
          </w:tcPr>
          <w:p w14:paraId="18C6C521" w14:textId="77777777" w:rsidR="000F7E56" w:rsidRPr="000F7E56" w:rsidDel="005557B1" w:rsidRDefault="000F7E56" w:rsidP="000F7E56">
            <w:pPr>
              <w:spacing w:after="120" w:line="360" w:lineRule="auto"/>
              <w:rPr>
                <w:rFonts w:ascii="Calibri" w:eastAsia="Calibri" w:hAnsi="Calibri" w:cs="Times New Roman"/>
              </w:rPr>
            </w:pPr>
            <w:r w:rsidRPr="000F7E56">
              <w:rPr>
                <w:rFonts w:ascii="Calibri" w:eastAsia="Calibri" w:hAnsi="Calibri" w:cs="Times New Roman"/>
              </w:rPr>
              <w:t>Social scientist</w:t>
            </w:r>
          </w:p>
        </w:tc>
        <w:tc>
          <w:tcPr>
            <w:tcW w:w="1792" w:type="dxa"/>
            <w:noWrap/>
            <w:hideMark/>
          </w:tcPr>
          <w:p w14:paraId="1C853FE8" w14:textId="77777777" w:rsidR="000F7E56" w:rsidRPr="000F7E56" w:rsidRDefault="000F7E56" w:rsidP="000F7E56">
            <w:pPr>
              <w:spacing w:after="120" w:line="360" w:lineRule="auto"/>
              <w:rPr>
                <w:rFonts w:ascii="Calibri" w:eastAsia="Calibri" w:hAnsi="Calibri" w:cs="Times New Roman"/>
              </w:rPr>
            </w:pPr>
            <w:r w:rsidRPr="000F7E56">
              <w:rPr>
                <w:rFonts w:ascii="Calibri" w:eastAsia="Calibri" w:hAnsi="Calibri" w:cs="Times New Roman"/>
              </w:rPr>
              <w:t>Workshop</w:t>
            </w:r>
          </w:p>
        </w:tc>
        <w:tc>
          <w:tcPr>
            <w:tcW w:w="708" w:type="dxa"/>
            <w:noWrap/>
            <w:hideMark/>
          </w:tcPr>
          <w:p w14:paraId="3EF1749C" w14:textId="77777777" w:rsidR="000F7E56" w:rsidRPr="000F7E56" w:rsidRDefault="000F7E56" w:rsidP="000F7E56">
            <w:pPr>
              <w:spacing w:after="120" w:line="360" w:lineRule="auto"/>
              <w:rPr>
                <w:rFonts w:ascii="Calibri" w:eastAsia="Calibri" w:hAnsi="Calibri" w:cs="Times New Roman"/>
              </w:rPr>
            </w:pPr>
            <w:r w:rsidRPr="000F7E56">
              <w:rPr>
                <w:rFonts w:ascii="Calibri" w:eastAsia="Calibri" w:hAnsi="Calibri" w:cs="Times New Roman"/>
              </w:rPr>
              <w:t>58</w:t>
            </w:r>
          </w:p>
        </w:tc>
        <w:tc>
          <w:tcPr>
            <w:tcW w:w="709" w:type="dxa"/>
            <w:noWrap/>
            <w:hideMark/>
          </w:tcPr>
          <w:p w14:paraId="50134988" w14:textId="77777777" w:rsidR="000F7E56" w:rsidRPr="000F7E56" w:rsidRDefault="000F7E56" w:rsidP="000F7E56">
            <w:pPr>
              <w:spacing w:after="120" w:line="360" w:lineRule="auto"/>
              <w:rPr>
                <w:rFonts w:ascii="Calibri" w:eastAsia="Calibri" w:hAnsi="Calibri" w:cs="Times New Roman"/>
              </w:rPr>
            </w:pPr>
            <w:r w:rsidRPr="000F7E56">
              <w:rPr>
                <w:rFonts w:ascii="Calibri" w:eastAsia="Calibri" w:hAnsi="Calibri" w:cs="Times New Roman"/>
              </w:rPr>
              <w:t>F</w:t>
            </w:r>
          </w:p>
        </w:tc>
        <w:tc>
          <w:tcPr>
            <w:tcW w:w="1843" w:type="dxa"/>
            <w:noWrap/>
            <w:hideMark/>
          </w:tcPr>
          <w:p w14:paraId="0EF8BD7A" w14:textId="77777777" w:rsidR="000F7E56" w:rsidRPr="000F7E56" w:rsidRDefault="000F7E56" w:rsidP="000F7E56">
            <w:pPr>
              <w:spacing w:after="120" w:line="360" w:lineRule="auto"/>
              <w:rPr>
                <w:rFonts w:ascii="Calibri" w:eastAsia="Calibri" w:hAnsi="Calibri" w:cs="Times New Roman"/>
              </w:rPr>
            </w:pPr>
            <w:r w:rsidRPr="000F7E56">
              <w:rPr>
                <w:rFonts w:ascii="Calibri" w:eastAsia="Calibri" w:hAnsi="Calibri" w:cs="Times New Roman"/>
              </w:rPr>
              <w:t>Sri Lankan British</w:t>
            </w:r>
          </w:p>
        </w:tc>
        <w:tc>
          <w:tcPr>
            <w:tcW w:w="2268" w:type="dxa"/>
            <w:noWrap/>
            <w:hideMark/>
          </w:tcPr>
          <w:p w14:paraId="7789A757" w14:textId="77777777" w:rsidR="000F7E56" w:rsidRPr="000F7E56" w:rsidRDefault="000F7E56" w:rsidP="000F7E56">
            <w:pPr>
              <w:spacing w:after="120" w:line="360" w:lineRule="auto"/>
              <w:rPr>
                <w:rFonts w:ascii="Calibri" w:eastAsia="Calibri" w:hAnsi="Calibri" w:cs="Times New Roman"/>
              </w:rPr>
            </w:pPr>
            <w:r w:rsidRPr="000F7E56">
              <w:rPr>
                <w:rFonts w:ascii="Calibri" w:eastAsia="Calibri" w:hAnsi="Calibri" w:cs="Times New Roman"/>
              </w:rPr>
              <w:t>No religion</w:t>
            </w:r>
          </w:p>
        </w:tc>
      </w:tr>
      <w:tr w:rsidR="000F7E56" w:rsidRPr="000F7E56" w14:paraId="425050C1" w14:textId="77777777" w:rsidTr="00966DB7">
        <w:trPr>
          <w:trHeight w:val="288"/>
        </w:trPr>
        <w:tc>
          <w:tcPr>
            <w:tcW w:w="2598" w:type="dxa"/>
          </w:tcPr>
          <w:p w14:paraId="651F9D54" w14:textId="77777777" w:rsidR="000F7E56" w:rsidRPr="000F7E56" w:rsidDel="005557B1" w:rsidRDefault="000F7E56" w:rsidP="000F7E56">
            <w:pPr>
              <w:spacing w:after="120" w:line="360" w:lineRule="auto"/>
              <w:rPr>
                <w:rFonts w:ascii="Calibri" w:eastAsia="Calibri" w:hAnsi="Calibri" w:cs="Times New Roman"/>
              </w:rPr>
            </w:pPr>
            <w:r w:rsidRPr="000F7E56">
              <w:rPr>
                <w:rFonts w:ascii="Calibri" w:eastAsia="Calibri" w:hAnsi="Calibri" w:cs="Times New Roman"/>
              </w:rPr>
              <w:t>Social scientist, Academic focussing on end-of-life issues &amp; University employee</w:t>
            </w:r>
          </w:p>
        </w:tc>
        <w:tc>
          <w:tcPr>
            <w:tcW w:w="1792" w:type="dxa"/>
            <w:noWrap/>
            <w:hideMark/>
          </w:tcPr>
          <w:p w14:paraId="08E37A8F" w14:textId="77777777" w:rsidR="000F7E56" w:rsidRPr="000F7E56" w:rsidRDefault="000F7E56" w:rsidP="000F7E56">
            <w:pPr>
              <w:spacing w:after="120" w:line="360" w:lineRule="auto"/>
              <w:rPr>
                <w:rFonts w:ascii="Calibri" w:eastAsia="Calibri" w:hAnsi="Calibri" w:cs="Times New Roman"/>
              </w:rPr>
            </w:pPr>
            <w:r w:rsidRPr="000F7E56">
              <w:rPr>
                <w:rFonts w:ascii="Calibri" w:eastAsia="Calibri" w:hAnsi="Calibri" w:cs="Times New Roman"/>
              </w:rPr>
              <w:t>Workbook</w:t>
            </w:r>
          </w:p>
        </w:tc>
        <w:tc>
          <w:tcPr>
            <w:tcW w:w="708" w:type="dxa"/>
            <w:noWrap/>
            <w:hideMark/>
          </w:tcPr>
          <w:p w14:paraId="19E167AA" w14:textId="77777777" w:rsidR="000F7E56" w:rsidRPr="000F7E56" w:rsidRDefault="000F7E56" w:rsidP="000F7E56">
            <w:pPr>
              <w:spacing w:after="120" w:line="360" w:lineRule="auto"/>
              <w:rPr>
                <w:rFonts w:ascii="Calibri" w:eastAsia="Calibri" w:hAnsi="Calibri" w:cs="Times New Roman"/>
              </w:rPr>
            </w:pPr>
            <w:r w:rsidRPr="000F7E56">
              <w:rPr>
                <w:rFonts w:ascii="Calibri" w:eastAsia="Calibri" w:hAnsi="Calibri" w:cs="Times New Roman"/>
              </w:rPr>
              <w:t>51</w:t>
            </w:r>
          </w:p>
        </w:tc>
        <w:tc>
          <w:tcPr>
            <w:tcW w:w="709" w:type="dxa"/>
            <w:noWrap/>
            <w:hideMark/>
          </w:tcPr>
          <w:p w14:paraId="7752A292" w14:textId="77777777" w:rsidR="000F7E56" w:rsidRPr="000F7E56" w:rsidRDefault="000F7E56" w:rsidP="000F7E56">
            <w:pPr>
              <w:spacing w:after="120" w:line="360" w:lineRule="auto"/>
              <w:rPr>
                <w:rFonts w:ascii="Calibri" w:eastAsia="Calibri" w:hAnsi="Calibri" w:cs="Times New Roman"/>
              </w:rPr>
            </w:pPr>
            <w:r w:rsidRPr="000F7E56">
              <w:rPr>
                <w:rFonts w:ascii="Calibri" w:eastAsia="Calibri" w:hAnsi="Calibri" w:cs="Times New Roman"/>
              </w:rPr>
              <w:t>F</w:t>
            </w:r>
          </w:p>
        </w:tc>
        <w:tc>
          <w:tcPr>
            <w:tcW w:w="1843" w:type="dxa"/>
            <w:noWrap/>
            <w:hideMark/>
          </w:tcPr>
          <w:p w14:paraId="3833B59F" w14:textId="77777777" w:rsidR="000F7E56" w:rsidRPr="000F7E56" w:rsidRDefault="000F7E56" w:rsidP="000F7E56">
            <w:pPr>
              <w:spacing w:after="120" w:line="360" w:lineRule="auto"/>
              <w:rPr>
                <w:rFonts w:ascii="Calibri" w:eastAsia="Calibri" w:hAnsi="Calibri" w:cs="Times New Roman"/>
              </w:rPr>
            </w:pPr>
            <w:r w:rsidRPr="000F7E56">
              <w:rPr>
                <w:rFonts w:ascii="Calibri" w:eastAsia="Calibri" w:hAnsi="Calibri" w:cs="Times New Roman"/>
              </w:rPr>
              <w:t>White</w:t>
            </w:r>
          </w:p>
        </w:tc>
        <w:tc>
          <w:tcPr>
            <w:tcW w:w="2268" w:type="dxa"/>
            <w:noWrap/>
            <w:hideMark/>
          </w:tcPr>
          <w:p w14:paraId="32CB74E5" w14:textId="77777777" w:rsidR="000F7E56" w:rsidRPr="000F7E56" w:rsidRDefault="000F7E56" w:rsidP="000F7E56">
            <w:pPr>
              <w:spacing w:after="120" w:line="360" w:lineRule="auto"/>
              <w:rPr>
                <w:rFonts w:ascii="Calibri" w:eastAsia="Calibri" w:hAnsi="Calibri" w:cs="Times New Roman"/>
              </w:rPr>
            </w:pPr>
            <w:r w:rsidRPr="000F7E56">
              <w:rPr>
                <w:rFonts w:ascii="Calibri" w:eastAsia="Calibri" w:hAnsi="Calibri" w:cs="Times New Roman"/>
              </w:rPr>
              <w:t>No religion</w:t>
            </w:r>
          </w:p>
        </w:tc>
      </w:tr>
      <w:tr w:rsidR="000F7E56" w:rsidRPr="000F7E56" w14:paraId="1D52AA4C" w14:textId="77777777" w:rsidTr="00966DB7">
        <w:trPr>
          <w:trHeight w:val="288"/>
        </w:trPr>
        <w:tc>
          <w:tcPr>
            <w:tcW w:w="2598" w:type="dxa"/>
          </w:tcPr>
          <w:p w14:paraId="1E36D49B" w14:textId="77777777" w:rsidR="000F7E56" w:rsidRPr="000F7E56" w:rsidDel="005557B1" w:rsidRDefault="000F7E56" w:rsidP="000F7E56">
            <w:pPr>
              <w:spacing w:after="120" w:line="360" w:lineRule="auto"/>
              <w:rPr>
                <w:rFonts w:ascii="Calibri" w:eastAsia="Calibri" w:hAnsi="Calibri" w:cs="Times New Roman"/>
              </w:rPr>
            </w:pPr>
            <w:r w:rsidRPr="000F7E56">
              <w:rPr>
                <w:rFonts w:ascii="Calibri" w:eastAsia="Calibri" w:hAnsi="Calibri" w:cs="Times New Roman"/>
              </w:rPr>
              <w:t>Academic focussing on end-of-life issues</w:t>
            </w:r>
          </w:p>
        </w:tc>
        <w:tc>
          <w:tcPr>
            <w:tcW w:w="1792" w:type="dxa"/>
            <w:noWrap/>
            <w:hideMark/>
          </w:tcPr>
          <w:p w14:paraId="388705A4" w14:textId="77777777" w:rsidR="000F7E56" w:rsidRPr="000F7E56" w:rsidRDefault="000F7E56" w:rsidP="000F7E56">
            <w:pPr>
              <w:spacing w:after="120" w:line="360" w:lineRule="auto"/>
              <w:rPr>
                <w:rFonts w:ascii="Calibri" w:eastAsia="Calibri" w:hAnsi="Calibri" w:cs="Times New Roman"/>
              </w:rPr>
            </w:pPr>
            <w:r w:rsidRPr="000F7E56">
              <w:rPr>
                <w:rFonts w:ascii="Calibri" w:eastAsia="Calibri" w:hAnsi="Calibri" w:cs="Times New Roman"/>
              </w:rPr>
              <w:t>Workbook</w:t>
            </w:r>
          </w:p>
        </w:tc>
        <w:tc>
          <w:tcPr>
            <w:tcW w:w="708" w:type="dxa"/>
            <w:noWrap/>
            <w:hideMark/>
          </w:tcPr>
          <w:p w14:paraId="2EF03B6C" w14:textId="77777777" w:rsidR="000F7E56" w:rsidRPr="000F7E56" w:rsidRDefault="000F7E56" w:rsidP="000F7E56">
            <w:pPr>
              <w:spacing w:after="120" w:line="360" w:lineRule="auto"/>
              <w:rPr>
                <w:rFonts w:ascii="Calibri" w:eastAsia="Calibri" w:hAnsi="Calibri" w:cs="Times New Roman"/>
              </w:rPr>
            </w:pPr>
            <w:r w:rsidRPr="000F7E56">
              <w:rPr>
                <w:rFonts w:ascii="Calibri" w:eastAsia="Calibri" w:hAnsi="Calibri" w:cs="Times New Roman"/>
              </w:rPr>
              <w:t>68</w:t>
            </w:r>
          </w:p>
        </w:tc>
        <w:tc>
          <w:tcPr>
            <w:tcW w:w="709" w:type="dxa"/>
            <w:noWrap/>
            <w:hideMark/>
          </w:tcPr>
          <w:p w14:paraId="512465B7" w14:textId="77777777" w:rsidR="000F7E56" w:rsidRPr="000F7E56" w:rsidRDefault="000F7E56" w:rsidP="000F7E56">
            <w:pPr>
              <w:spacing w:after="120" w:line="360" w:lineRule="auto"/>
              <w:rPr>
                <w:rFonts w:ascii="Calibri" w:eastAsia="Calibri" w:hAnsi="Calibri" w:cs="Times New Roman"/>
              </w:rPr>
            </w:pPr>
            <w:r w:rsidRPr="000F7E56">
              <w:rPr>
                <w:rFonts w:ascii="Calibri" w:eastAsia="Calibri" w:hAnsi="Calibri" w:cs="Times New Roman"/>
              </w:rPr>
              <w:t>F</w:t>
            </w:r>
          </w:p>
        </w:tc>
        <w:tc>
          <w:tcPr>
            <w:tcW w:w="1843" w:type="dxa"/>
            <w:noWrap/>
            <w:hideMark/>
          </w:tcPr>
          <w:p w14:paraId="7C5F0241" w14:textId="77777777" w:rsidR="000F7E56" w:rsidRPr="000F7E56" w:rsidRDefault="000F7E56" w:rsidP="000F7E56">
            <w:pPr>
              <w:spacing w:after="120" w:line="360" w:lineRule="auto"/>
              <w:rPr>
                <w:rFonts w:ascii="Calibri" w:eastAsia="Calibri" w:hAnsi="Calibri" w:cs="Times New Roman"/>
              </w:rPr>
            </w:pPr>
            <w:r w:rsidRPr="000F7E56">
              <w:rPr>
                <w:rFonts w:ascii="Calibri" w:eastAsia="Calibri" w:hAnsi="Calibri" w:cs="Times New Roman"/>
              </w:rPr>
              <w:t>White</w:t>
            </w:r>
          </w:p>
        </w:tc>
        <w:tc>
          <w:tcPr>
            <w:tcW w:w="2268" w:type="dxa"/>
            <w:noWrap/>
            <w:hideMark/>
          </w:tcPr>
          <w:p w14:paraId="63E68394" w14:textId="77777777" w:rsidR="000F7E56" w:rsidRPr="000F7E56" w:rsidRDefault="000F7E56" w:rsidP="000F7E56">
            <w:pPr>
              <w:spacing w:after="120" w:line="360" w:lineRule="auto"/>
              <w:rPr>
                <w:rFonts w:ascii="Calibri" w:eastAsia="Calibri" w:hAnsi="Calibri" w:cs="Times New Roman"/>
              </w:rPr>
            </w:pPr>
            <w:r w:rsidRPr="000F7E56">
              <w:rPr>
                <w:rFonts w:ascii="Calibri" w:eastAsia="Calibri" w:hAnsi="Calibri" w:cs="Times New Roman"/>
              </w:rPr>
              <w:t>Buddhist</w:t>
            </w:r>
          </w:p>
        </w:tc>
      </w:tr>
      <w:tr w:rsidR="000F7E56" w:rsidRPr="000F7E56" w14:paraId="0CFCDA8F" w14:textId="77777777" w:rsidTr="00966DB7">
        <w:trPr>
          <w:trHeight w:val="288"/>
        </w:trPr>
        <w:tc>
          <w:tcPr>
            <w:tcW w:w="2598" w:type="dxa"/>
          </w:tcPr>
          <w:p w14:paraId="075BDDCF" w14:textId="77777777" w:rsidR="000F7E56" w:rsidRPr="000F7E56" w:rsidDel="005557B1" w:rsidRDefault="000F7E56" w:rsidP="000F7E56">
            <w:pPr>
              <w:spacing w:after="120" w:line="360" w:lineRule="auto"/>
              <w:rPr>
                <w:rFonts w:ascii="Calibri" w:eastAsia="Calibri" w:hAnsi="Calibri" w:cs="Times New Roman"/>
              </w:rPr>
            </w:pPr>
            <w:r w:rsidRPr="000F7E56">
              <w:rPr>
                <w:rFonts w:ascii="Calibri" w:eastAsia="Calibri" w:hAnsi="Calibri" w:cs="Times New Roman"/>
              </w:rPr>
              <w:t>Social scientist, Academic focussing on end-of-life issues, Educationalist &amp; University employee</w:t>
            </w:r>
          </w:p>
        </w:tc>
        <w:tc>
          <w:tcPr>
            <w:tcW w:w="1792" w:type="dxa"/>
            <w:noWrap/>
            <w:hideMark/>
          </w:tcPr>
          <w:p w14:paraId="6A590A84" w14:textId="77777777" w:rsidR="000F7E56" w:rsidRPr="000F7E56" w:rsidRDefault="000F7E56" w:rsidP="000F7E56">
            <w:pPr>
              <w:spacing w:after="120" w:line="360" w:lineRule="auto"/>
              <w:rPr>
                <w:rFonts w:ascii="Calibri" w:eastAsia="Calibri" w:hAnsi="Calibri" w:cs="Times New Roman"/>
              </w:rPr>
            </w:pPr>
            <w:r w:rsidRPr="000F7E56">
              <w:rPr>
                <w:rFonts w:ascii="Calibri" w:eastAsia="Calibri" w:hAnsi="Calibri" w:cs="Times New Roman"/>
              </w:rPr>
              <w:t>Workbook</w:t>
            </w:r>
          </w:p>
        </w:tc>
        <w:tc>
          <w:tcPr>
            <w:tcW w:w="708" w:type="dxa"/>
            <w:noWrap/>
            <w:hideMark/>
          </w:tcPr>
          <w:p w14:paraId="74F54C42" w14:textId="77777777" w:rsidR="000F7E56" w:rsidRPr="000F7E56" w:rsidRDefault="000F7E56" w:rsidP="000F7E56">
            <w:pPr>
              <w:spacing w:after="120" w:line="360" w:lineRule="auto"/>
              <w:rPr>
                <w:rFonts w:ascii="Calibri" w:eastAsia="Calibri" w:hAnsi="Calibri" w:cs="Times New Roman"/>
              </w:rPr>
            </w:pPr>
            <w:r w:rsidRPr="000F7E56">
              <w:rPr>
                <w:rFonts w:ascii="Calibri" w:eastAsia="Calibri" w:hAnsi="Calibri" w:cs="Times New Roman"/>
              </w:rPr>
              <w:t>54</w:t>
            </w:r>
          </w:p>
        </w:tc>
        <w:tc>
          <w:tcPr>
            <w:tcW w:w="709" w:type="dxa"/>
            <w:noWrap/>
            <w:hideMark/>
          </w:tcPr>
          <w:p w14:paraId="017B65CF" w14:textId="77777777" w:rsidR="000F7E56" w:rsidRPr="000F7E56" w:rsidRDefault="000F7E56" w:rsidP="000F7E56">
            <w:pPr>
              <w:spacing w:after="120" w:line="360" w:lineRule="auto"/>
              <w:rPr>
                <w:rFonts w:ascii="Calibri" w:eastAsia="Calibri" w:hAnsi="Calibri" w:cs="Times New Roman"/>
              </w:rPr>
            </w:pPr>
            <w:r w:rsidRPr="000F7E56">
              <w:rPr>
                <w:rFonts w:ascii="Calibri" w:eastAsia="Calibri" w:hAnsi="Calibri" w:cs="Times New Roman"/>
              </w:rPr>
              <w:t>M</w:t>
            </w:r>
          </w:p>
        </w:tc>
        <w:tc>
          <w:tcPr>
            <w:tcW w:w="1843" w:type="dxa"/>
            <w:noWrap/>
            <w:hideMark/>
          </w:tcPr>
          <w:p w14:paraId="75FD63FA" w14:textId="77777777" w:rsidR="000F7E56" w:rsidRPr="000F7E56" w:rsidRDefault="000F7E56" w:rsidP="000F7E56">
            <w:pPr>
              <w:spacing w:after="120" w:line="360" w:lineRule="auto"/>
              <w:rPr>
                <w:rFonts w:ascii="Calibri" w:eastAsia="Calibri" w:hAnsi="Calibri" w:cs="Times New Roman"/>
              </w:rPr>
            </w:pPr>
            <w:r w:rsidRPr="000F7E56">
              <w:rPr>
                <w:rFonts w:ascii="Calibri" w:eastAsia="Calibri" w:hAnsi="Calibri" w:cs="Times New Roman"/>
              </w:rPr>
              <w:t>White</w:t>
            </w:r>
          </w:p>
        </w:tc>
        <w:tc>
          <w:tcPr>
            <w:tcW w:w="2268" w:type="dxa"/>
            <w:noWrap/>
            <w:hideMark/>
          </w:tcPr>
          <w:p w14:paraId="14F16D5A" w14:textId="77777777" w:rsidR="000F7E56" w:rsidRPr="000F7E56" w:rsidRDefault="000F7E56" w:rsidP="000F7E56">
            <w:pPr>
              <w:spacing w:after="120" w:line="360" w:lineRule="auto"/>
              <w:rPr>
                <w:rFonts w:ascii="Calibri" w:eastAsia="Calibri" w:hAnsi="Calibri" w:cs="Times New Roman"/>
              </w:rPr>
            </w:pPr>
            <w:r w:rsidRPr="000F7E56">
              <w:rPr>
                <w:rFonts w:ascii="Calibri" w:eastAsia="Calibri" w:hAnsi="Calibri" w:cs="Times New Roman"/>
              </w:rPr>
              <w:t>No religion</w:t>
            </w:r>
          </w:p>
        </w:tc>
      </w:tr>
      <w:tr w:rsidR="000F7E56" w:rsidRPr="000F7E56" w14:paraId="033C6212" w14:textId="77777777" w:rsidTr="00966DB7">
        <w:trPr>
          <w:trHeight w:val="288"/>
        </w:trPr>
        <w:tc>
          <w:tcPr>
            <w:tcW w:w="2598" w:type="dxa"/>
          </w:tcPr>
          <w:p w14:paraId="5B5950A7" w14:textId="77777777" w:rsidR="000F7E56" w:rsidRPr="000F7E56" w:rsidDel="005557B1" w:rsidRDefault="000F7E56" w:rsidP="000F7E56">
            <w:pPr>
              <w:spacing w:after="120" w:line="360" w:lineRule="auto"/>
              <w:rPr>
                <w:rFonts w:ascii="Calibri" w:eastAsia="Calibri" w:hAnsi="Calibri" w:cs="Times New Roman"/>
              </w:rPr>
            </w:pPr>
            <w:r w:rsidRPr="000F7E56">
              <w:rPr>
                <w:rFonts w:ascii="Calibri" w:eastAsia="Calibri" w:hAnsi="Calibri" w:cs="Times New Roman"/>
              </w:rPr>
              <w:t>_</w:t>
            </w:r>
          </w:p>
        </w:tc>
        <w:tc>
          <w:tcPr>
            <w:tcW w:w="1792" w:type="dxa"/>
            <w:noWrap/>
            <w:hideMark/>
          </w:tcPr>
          <w:p w14:paraId="0C77F30F" w14:textId="77777777" w:rsidR="000F7E56" w:rsidRPr="000F7E56" w:rsidRDefault="000F7E56" w:rsidP="000F7E56">
            <w:pPr>
              <w:spacing w:after="120" w:line="360" w:lineRule="auto"/>
              <w:rPr>
                <w:rFonts w:ascii="Calibri" w:eastAsia="Calibri" w:hAnsi="Calibri" w:cs="Times New Roman"/>
              </w:rPr>
            </w:pPr>
            <w:r w:rsidRPr="000F7E56">
              <w:rPr>
                <w:rFonts w:ascii="Calibri" w:eastAsia="Calibri" w:hAnsi="Calibri" w:cs="Times New Roman"/>
              </w:rPr>
              <w:t>Workbook</w:t>
            </w:r>
          </w:p>
        </w:tc>
        <w:tc>
          <w:tcPr>
            <w:tcW w:w="708" w:type="dxa"/>
            <w:noWrap/>
            <w:hideMark/>
          </w:tcPr>
          <w:p w14:paraId="70B43880" w14:textId="77777777" w:rsidR="000F7E56" w:rsidRPr="000F7E56" w:rsidRDefault="000F7E56" w:rsidP="000F7E56">
            <w:pPr>
              <w:spacing w:after="120" w:line="360" w:lineRule="auto"/>
              <w:rPr>
                <w:rFonts w:ascii="Calibri" w:eastAsia="Calibri" w:hAnsi="Calibri" w:cs="Times New Roman"/>
              </w:rPr>
            </w:pPr>
            <w:r w:rsidRPr="000F7E56">
              <w:rPr>
                <w:rFonts w:ascii="Calibri" w:eastAsia="Calibri" w:hAnsi="Calibri" w:cs="Times New Roman"/>
              </w:rPr>
              <w:t>53</w:t>
            </w:r>
          </w:p>
        </w:tc>
        <w:tc>
          <w:tcPr>
            <w:tcW w:w="709" w:type="dxa"/>
            <w:noWrap/>
            <w:hideMark/>
          </w:tcPr>
          <w:p w14:paraId="4CE86D3A" w14:textId="77777777" w:rsidR="000F7E56" w:rsidRPr="000F7E56" w:rsidRDefault="000F7E56" w:rsidP="000F7E56">
            <w:pPr>
              <w:spacing w:after="120" w:line="360" w:lineRule="auto"/>
              <w:rPr>
                <w:rFonts w:ascii="Calibri" w:eastAsia="Calibri" w:hAnsi="Calibri" w:cs="Times New Roman"/>
              </w:rPr>
            </w:pPr>
            <w:r w:rsidRPr="000F7E56">
              <w:rPr>
                <w:rFonts w:ascii="Calibri" w:eastAsia="Calibri" w:hAnsi="Calibri" w:cs="Times New Roman"/>
              </w:rPr>
              <w:t>F</w:t>
            </w:r>
          </w:p>
        </w:tc>
        <w:tc>
          <w:tcPr>
            <w:tcW w:w="1843" w:type="dxa"/>
            <w:noWrap/>
            <w:hideMark/>
          </w:tcPr>
          <w:p w14:paraId="0BB3251D" w14:textId="77777777" w:rsidR="000F7E56" w:rsidRPr="000F7E56" w:rsidRDefault="000F7E56" w:rsidP="000F7E56">
            <w:pPr>
              <w:spacing w:after="120" w:line="360" w:lineRule="auto"/>
              <w:rPr>
                <w:rFonts w:ascii="Calibri" w:eastAsia="Calibri" w:hAnsi="Calibri" w:cs="Times New Roman"/>
              </w:rPr>
            </w:pPr>
            <w:r w:rsidRPr="000F7E56">
              <w:rPr>
                <w:rFonts w:ascii="Calibri" w:eastAsia="Calibri" w:hAnsi="Calibri" w:cs="Times New Roman"/>
              </w:rPr>
              <w:t>White</w:t>
            </w:r>
          </w:p>
        </w:tc>
        <w:tc>
          <w:tcPr>
            <w:tcW w:w="2268" w:type="dxa"/>
            <w:noWrap/>
            <w:hideMark/>
          </w:tcPr>
          <w:p w14:paraId="72A3713F" w14:textId="77777777" w:rsidR="000F7E56" w:rsidRPr="000F7E56" w:rsidRDefault="000F7E56" w:rsidP="000F7E56">
            <w:pPr>
              <w:spacing w:after="120" w:line="360" w:lineRule="auto"/>
              <w:rPr>
                <w:rFonts w:ascii="Calibri" w:eastAsia="Calibri" w:hAnsi="Calibri" w:cs="Times New Roman"/>
              </w:rPr>
            </w:pPr>
            <w:r w:rsidRPr="000F7E56">
              <w:rPr>
                <w:rFonts w:ascii="Calibri" w:eastAsia="Calibri" w:hAnsi="Calibri" w:cs="Times New Roman"/>
              </w:rPr>
              <w:t>_</w:t>
            </w:r>
          </w:p>
        </w:tc>
      </w:tr>
    </w:tbl>
    <w:p w14:paraId="3E8AFA78" w14:textId="2028333A" w:rsidR="000F7E56" w:rsidRPr="000F7E56" w:rsidRDefault="000F7E56" w:rsidP="000F7E56">
      <w:pPr>
        <w:keepNext/>
        <w:spacing w:after="200" w:line="240" w:lineRule="auto"/>
        <w:jc w:val="both"/>
        <w:rPr>
          <w:rFonts w:ascii="Calibri" w:eastAsia="Calibri" w:hAnsi="Calibri" w:cs="Times New Roman"/>
          <w:iCs/>
          <w:color w:val="44546A" w:themeColor="text2"/>
        </w:rPr>
      </w:pPr>
      <w:bookmarkStart w:id="272" w:name="_Toc89967518"/>
      <w:bookmarkStart w:id="273" w:name="_Toc106701069"/>
      <w:r w:rsidRPr="000F7E56">
        <w:rPr>
          <w:rFonts w:cstheme="minorHAnsi"/>
          <w:iCs/>
          <w:color w:val="44546A" w:themeColor="text2"/>
        </w:rPr>
        <w:t xml:space="preserve">TABLE </w:t>
      </w:r>
      <w:r w:rsidRPr="000F7E56">
        <w:rPr>
          <w:rFonts w:cstheme="minorHAnsi"/>
          <w:iCs/>
          <w:color w:val="44546A" w:themeColor="text2"/>
        </w:rPr>
        <w:fldChar w:fldCharType="begin"/>
      </w:r>
      <w:r w:rsidRPr="000F7E56">
        <w:rPr>
          <w:rFonts w:cstheme="minorHAnsi"/>
          <w:iCs/>
          <w:color w:val="44546A" w:themeColor="text2"/>
        </w:rPr>
        <w:instrText xml:space="preserve"> SEQ Table \* ARABIC </w:instrText>
      </w:r>
      <w:r w:rsidRPr="000F7E56">
        <w:rPr>
          <w:rFonts w:cstheme="minorHAnsi"/>
          <w:iCs/>
          <w:color w:val="44546A" w:themeColor="text2"/>
        </w:rPr>
        <w:fldChar w:fldCharType="separate"/>
      </w:r>
      <w:r w:rsidR="00514EB4">
        <w:rPr>
          <w:rFonts w:cstheme="minorHAnsi"/>
          <w:iCs/>
          <w:noProof/>
          <w:color w:val="44546A" w:themeColor="text2"/>
        </w:rPr>
        <w:t>7</w:t>
      </w:r>
      <w:r w:rsidRPr="000F7E56">
        <w:rPr>
          <w:rFonts w:cstheme="minorHAnsi"/>
          <w:iCs/>
          <w:noProof/>
          <w:color w:val="44546A" w:themeColor="text2"/>
        </w:rPr>
        <w:fldChar w:fldCharType="end"/>
      </w:r>
      <w:r w:rsidRPr="000F7E56">
        <w:rPr>
          <w:rFonts w:cstheme="minorHAnsi"/>
          <w:iCs/>
          <w:noProof/>
          <w:color w:val="44546A" w:themeColor="text2"/>
        </w:rPr>
        <w:t xml:space="preserve"> -</w:t>
      </w:r>
      <w:r w:rsidRPr="000F7E56">
        <w:rPr>
          <w:rFonts w:cstheme="minorHAnsi"/>
          <w:iCs/>
          <w:color w:val="44546A" w:themeColor="text2"/>
        </w:rPr>
        <w:t xml:space="preserve"> Characteristics of Academic Stakeholders</w:t>
      </w:r>
      <w:bookmarkEnd w:id="272"/>
      <w:bookmarkEnd w:id="273"/>
    </w:p>
    <w:p w14:paraId="74B7B4B2" w14:textId="77777777" w:rsidR="000F7E56" w:rsidRPr="000F7E56" w:rsidRDefault="000F7E56" w:rsidP="000F7E56">
      <w:pPr>
        <w:spacing w:after="120" w:line="360" w:lineRule="auto"/>
        <w:rPr>
          <w:rFonts w:ascii="Calibri" w:eastAsia="Calibri" w:hAnsi="Calibri" w:cs="Times New Roman"/>
        </w:rPr>
      </w:pPr>
    </w:p>
    <w:p w14:paraId="469BFF1C" w14:textId="77777777" w:rsidR="000F7E56" w:rsidRPr="000F7E56" w:rsidRDefault="000F7E56" w:rsidP="000F7E56">
      <w:pPr>
        <w:spacing w:after="120" w:line="360" w:lineRule="auto"/>
        <w:rPr>
          <w:rFonts w:ascii="Calibri" w:eastAsia="Calibri" w:hAnsi="Calibri" w:cs="Times New Roman"/>
        </w:rPr>
      </w:pPr>
    </w:p>
    <w:p w14:paraId="6996A51E" w14:textId="77777777" w:rsidR="000F7E56" w:rsidRPr="000F7E56" w:rsidRDefault="000F7E56" w:rsidP="000F7E56">
      <w:pPr>
        <w:spacing w:after="120" w:line="360" w:lineRule="auto"/>
        <w:rPr>
          <w:rFonts w:ascii="Calibri" w:eastAsia="Calibri" w:hAnsi="Calibri" w:cs="Times New Roman"/>
        </w:rPr>
      </w:pPr>
    </w:p>
    <w:p w14:paraId="534968D5" w14:textId="77777777" w:rsidR="000F7E56" w:rsidRPr="000F7E56" w:rsidRDefault="000F7E56" w:rsidP="000F7E56">
      <w:pPr>
        <w:spacing w:after="120" w:line="360" w:lineRule="auto"/>
        <w:rPr>
          <w:rFonts w:ascii="Calibri" w:eastAsia="Calibri" w:hAnsi="Calibri" w:cs="Times New Roman"/>
        </w:rPr>
      </w:pPr>
    </w:p>
    <w:p w14:paraId="424793A9" w14:textId="77777777" w:rsidR="000F7E56" w:rsidRPr="000F7E56" w:rsidRDefault="000F7E56" w:rsidP="000F7E56">
      <w:pPr>
        <w:spacing w:after="120" w:line="360" w:lineRule="auto"/>
        <w:rPr>
          <w:rFonts w:ascii="Calibri" w:eastAsia="Calibri" w:hAnsi="Calibri" w:cs="Times New Roman"/>
        </w:rPr>
      </w:pPr>
    </w:p>
    <w:p w14:paraId="4EF8A3E5" w14:textId="77777777" w:rsidR="000F7E56" w:rsidRPr="000F7E56" w:rsidRDefault="000F7E56" w:rsidP="000F7E56">
      <w:pPr>
        <w:spacing w:after="120" w:line="360" w:lineRule="auto"/>
        <w:rPr>
          <w:rFonts w:ascii="Calibri" w:eastAsia="Calibri" w:hAnsi="Calibri" w:cs="Times New Roman"/>
        </w:rPr>
      </w:pPr>
      <w:r w:rsidRPr="000F7E56">
        <w:rPr>
          <w:rFonts w:ascii="Calibri" w:eastAsia="Calibri" w:hAnsi="Calibri" w:cs="Times New Roman"/>
        </w:rPr>
        <w:lastRenderedPageBreak/>
        <w:t xml:space="preserve">The majority of the six Educators described themselves as Higher Education Lecturers (n=2), Clinical educator (n=1), GP (n=1) Educator (n=1) and a Health and Social Care Worker (n=1). They described their ethnicity as White British (n=5) and Indian (n=1). Four were Female. Their detailed characteristics as they provided them are described in Table 8 below. </w:t>
      </w:r>
    </w:p>
    <w:p w14:paraId="33B45871" w14:textId="77777777" w:rsidR="000F7E56" w:rsidRPr="000F7E56" w:rsidRDefault="000F7E56" w:rsidP="000F7E56">
      <w:pPr>
        <w:spacing w:after="120" w:line="360" w:lineRule="auto"/>
        <w:rPr>
          <w:rFonts w:ascii="Calibri" w:eastAsia="Calibri" w:hAnsi="Calibri" w:cs="Times New Roman"/>
        </w:rPr>
      </w:pPr>
    </w:p>
    <w:tbl>
      <w:tblPr>
        <w:tblStyle w:val="TableGrid"/>
        <w:tblW w:w="6516" w:type="dxa"/>
        <w:tblLook w:val="04A0" w:firstRow="1" w:lastRow="0" w:firstColumn="1" w:lastColumn="0" w:noHBand="0" w:noVBand="1"/>
      </w:tblPr>
      <w:tblGrid>
        <w:gridCol w:w="1688"/>
        <w:gridCol w:w="568"/>
        <w:gridCol w:w="997"/>
        <w:gridCol w:w="1137"/>
        <w:gridCol w:w="2126"/>
      </w:tblGrid>
      <w:tr w:rsidR="000F7E56" w:rsidRPr="000F7E56" w14:paraId="0BDF0743" w14:textId="77777777" w:rsidTr="000F7E56">
        <w:trPr>
          <w:trHeight w:val="288"/>
        </w:trPr>
        <w:tc>
          <w:tcPr>
            <w:tcW w:w="1688" w:type="dxa"/>
            <w:noWrap/>
          </w:tcPr>
          <w:p w14:paraId="28B1AF22" w14:textId="77777777" w:rsidR="000F7E56" w:rsidRPr="000F7E56" w:rsidRDefault="000F7E56" w:rsidP="000F7E56">
            <w:pPr>
              <w:spacing w:after="120"/>
              <w:rPr>
                <w:rFonts w:ascii="Calibri" w:eastAsia="Calibri" w:hAnsi="Calibri" w:cs="Times New Roman"/>
                <w:b/>
              </w:rPr>
            </w:pPr>
            <w:r w:rsidRPr="000F7E56">
              <w:rPr>
                <w:rFonts w:ascii="Calibri" w:eastAsia="Calibri" w:hAnsi="Calibri" w:cs="Times New Roman"/>
                <w:b/>
              </w:rPr>
              <w:t xml:space="preserve">Participant group </w:t>
            </w:r>
          </w:p>
        </w:tc>
        <w:tc>
          <w:tcPr>
            <w:tcW w:w="568" w:type="dxa"/>
            <w:noWrap/>
          </w:tcPr>
          <w:p w14:paraId="43987B26" w14:textId="77777777" w:rsidR="000F7E56" w:rsidRPr="000F7E56" w:rsidRDefault="000F7E56" w:rsidP="000F7E56">
            <w:pPr>
              <w:spacing w:after="120"/>
              <w:rPr>
                <w:rFonts w:ascii="Calibri" w:eastAsia="Calibri" w:hAnsi="Calibri" w:cs="Times New Roman"/>
                <w:b/>
              </w:rPr>
            </w:pPr>
            <w:r w:rsidRPr="000F7E56">
              <w:rPr>
                <w:rFonts w:ascii="Calibri" w:eastAsia="Calibri" w:hAnsi="Calibri" w:cs="Times New Roman"/>
                <w:b/>
              </w:rPr>
              <w:t>Age</w:t>
            </w:r>
          </w:p>
        </w:tc>
        <w:tc>
          <w:tcPr>
            <w:tcW w:w="997" w:type="dxa"/>
            <w:noWrap/>
          </w:tcPr>
          <w:p w14:paraId="4BB94BCD" w14:textId="77777777" w:rsidR="000F7E56" w:rsidRPr="000F7E56" w:rsidRDefault="000F7E56" w:rsidP="000F7E56">
            <w:pPr>
              <w:spacing w:after="120"/>
              <w:rPr>
                <w:rFonts w:ascii="Calibri" w:eastAsia="Calibri" w:hAnsi="Calibri" w:cs="Times New Roman"/>
                <w:b/>
              </w:rPr>
            </w:pPr>
            <w:r w:rsidRPr="000F7E56">
              <w:rPr>
                <w:rFonts w:ascii="Calibri" w:eastAsia="Calibri" w:hAnsi="Calibri" w:cs="Times New Roman"/>
                <w:b/>
              </w:rPr>
              <w:t>Sex</w:t>
            </w:r>
          </w:p>
        </w:tc>
        <w:tc>
          <w:tcPr>
            <w:tcW w:w="1137" w:type="dxa"/>
            <w:noWrap/>
          </w:tcPr>
          <w:p w14:paraId="1E9DE000" w14:textId="77777777" w:rsidR="000F7E56" w:rsidRPr="000F7E56" w:rsidRDefault="000F7E56" w:rsidP="000F7E56">
            <w:pPr>
              <w:spacing w:after="120"/>
              <w:rPr>
                <w:rFonts w:ascii="Calibri" w:eastAsia="Calibri" w:hAnsi="Calibri" w:cs="Times New Roman"/>
                <w:b/>
              </w:rPr>
            </w:pPr>
            <w:r w:rsidRPr="000F7E56">
              <w:rPr>
                <w:rFonts w:ascii="Calibri" w:eastAsia="Calibri" w:hAnsi="Calibri" w:cs="Times New Roman"/>
                <w:b/>
              </w:rPr>
              <w:t>Ethnicity</w:t>
            </w:r>
          </w:p>
        </w:tc>
        <w:tc>
          <w:tcPr>
            <w:tcW w:w="2126" w:type="dxa"/>
            <w:noWrap/>
          </w:tcPr>
          <w:p w14:paraId="29A72263" w14:textId="77777777" w:rsidR="000F7E56" w:rsidRPr="000F7E56" w:rsidRDefault="000F7E56" w:rsidP="000F7E56">
            <w:pPr>
              <w:spacing w:after="120"/>
              <w:rPr>
                <w:rFonts w:ascii="Calibri" w:eastAsia="Calibri" w:hAnsi="Calibri" w:cs="Times New Roman"/>
                <w:b/>
              </w:rPr>
            </w:pPr>
            <w:r w:rsidRPr="000F7E56">
              <w:rPr>
                <w:rFonts w:ascii="Calibri" w:eastAsia="Calibri" w:hAnsi="Calibri" w:cs="Times New Roman"/>
                <w:b/>
              </w:rPr>
              <w:t>Religion</w:t>
            </w:r>
          </w:p>
        </w:tc>
      </w:tr>
      <w:tr w:rsidR="000F7E56" w:rsidRPr="000F7E56" w14:paraId="73D6D81C" w14:textId="77777777" w:rsidTr="000F7E56">
        <w:trPr>
          <w:trHeight w:val="288"/>
        </w:trPr>
        <w:tc>
          <w:tcPr>
            <w:tcW w:w="1688" w:type="dxa"/>
            <w:noWrap/>
          </w:tcPr>
          <w:p w14:paraId="062639E9" w14:textId="77777777" w:rsidR="000F7E56" w:rsidRPr="000F7E56" w:rsidRDefault="000F7E56" w:rsidP="000F7E56">
            <w:pPr>
              <w:spacing w:after="120"/>
              <w:rPr>
                <w:rFonts w:ascii="Calibri" w:eastAsia="Calibri" w:hAnsi="Calibri" w:cs="Times New Roman"/>
              </w:rPr>
            </w:pPr>
            <w:r w:rsidRPr="000F7E56">
              <w:rPr>
                <w:rFonts w:ascii="Calibri" w:eastAsia="Calibri" w:hAnsi="Calibri" w:cs="Times New Roman"/>
              </w:rPr>
              <w:t>GP</w:t>
            </w:r>
          </w:p>
        </w:tc>
        <w:tc>
          <w:tcPr>
            <w:tcW w:w="568" w:type="dxa"/>
            <w:noWrap/>
          </w:tcPr>
          <w:p w14:paraId="03884556" w14:textId="77777777" w:rsidR="000F7E56" w:rsidRPr="000F7E56" w:rsidRDefault="000F7E56" w:rsidP="000F7E56">
            <w:pPr>
              <w:spacing w:after="120"/>
              <w:rPr>
                <w:rFonts w:ascii="Calibri" w:eastAsia="Calibri" w:hAnsi="Calibri" w:cs="Times New Roman"/>
              </w:rPr>
            </w:pPr>
            <w:r w:rsidRPr="000F7E56">
              <w:rPr>
                <w:rFonts w:ascii="Calibri" w:eastAsia="Calibri" w:hAnsi="Calibri" w:cs="Times New Roman"/>
              </w:rPr>
              <w:t>_</w:t>
            </w:r>
          </w:p>
        </w:tc>
        <w:tc>
          <w:tcPr>
            <w:tcW w:w="997" w:type="dxa"/>
            <w:noWrap/>
          </w:tcPr>
          <w:p w14:paraId="1DD8B5BB" w14:textId="77777777" w:rsidR="000F7E56" w:rsidRPr="000F7E56" w:rsidRDefault="000F7E56" w:rsidP="000F7E56">
            <w:pPr>
              <w:spacing w:after="120"/>
              <w:rPr>
                <w:rFonts w:ascii="Calibri" w:eastAsia="Calibri" w:hAnsi="Calibri" w:cs="Times New Roman"/>
              </w:rPr>
            </w:pPr>
            <w:r w:rsidRPr="000F7E56">
              <w:rPr>
                <w:rFonts w:ascii="Calibri" w:eastAsia="Calibri" w:hAnsi="Calibri" w:cs="Times New Roman"/>
              </w:rPr>
              <w:t>M</w:t>
            </w:r>
          </w:p>
        </w:tc>
        <w:tc>
          <w:tcPr>
            <w:tcW w:w="1137" w:type="dxa"/>
            <w:noWrap/>
          </w:tcPr>
          <w:p w14:paraId="1DC09756" w14:textId="77777777" w:rsidR="000F7E56" w:rsidRPr="000F7E56" w:rsidRDefault="000F7E56" w:rsidP="000F7E56">
            <w:pPr>
              <w:spacing w:after="120"/>
              <w:rPr>
                <w:rFonts w:ascii="Calibri" w:eastAsia="Calibri" w:hAnsi="Calibri" w:cs="Times New Roman"/>
              </w:rPr>
            </w:pPr>
            <w:r w:rsidRPr="000F7E56">
              <w:rPr>
                <w:rFonts w:ascii="Calibri" w:eastAsia="Calibri" w:hAnsi="Calibri" w:cs="Times New Roman"/>
              </w:rPr>
              <w:t>White British</w:t>
            </w:r>
          </w:p>
        </w:tc>
        <w:tc>
          <w:tcPr>
            <w:tcW w:w="2126" w:type="dxa"/>
            <w:noWrap/>
          </w:tcPr>
          <w:p w14:paraId="007A6DE7" w14:textId="77777777" w:rsidR="000F7E56" w:rsidRPr="000F7E56" w:rsidRDefault="000F7E56" w:rsidP="000F7E56">
            <w:pPr>
              <w:spacing w:after="120"/>
              <w:rPr>
                <w:rFonts w:ascii="Calibri" w:eastAsia="Calibri" w:hAnsi="Calibri" w:cs="Times New Roman"/>
              </w:rPr>
            </w:pPr>
            <w:r w:rsidRPr="000F7E56">
              <w:rPr>
                <w:rFonts w:ascii="Calibri" w:eastAsia="Calibri" w:hAnsi="Calibri" w:cs="Times New Roman"/>
              </w:rPr>
              <w:t>_</w:t>
            </w:r>
          </w:p>
        </w:tc>
      </w:tr>
      <w:tr w:rsidR="000F7E56" w:rsidRPr="000F7E56" w14:paraId="09B56540" w14:textId="77777777" w:rsidTr="000F7E56">
        <w:trPr>
          <w:trHeight w:val="288"/>
        </w:trPr>
        <w:tc>
          <w:tcPr>
            <w:tcW w:w="1688" w:type="dxa"/>
            <w:noWrap/>
          </w:tcPr>
          <w:p w14:paraId="142D95EC" w14:textId="77777777" w:rsidR="000F7E56" w:rsidRPr="000F7E56" w:rsidRDefault="000F7E56" w:rsidP="000F7E56">
            <w:pPr>
              <w:spacing w:after="120"/>
              <w:rPr>
                <w:rFonts w:ascii="Calibri" w:eastAsia="Calibri" w:hAnsi="Calibri" w:cs="Times New Roman"/>
              </w:rPr>
            </w:pPr>
            <w:r w:rsidRPr="000F7E56">
              <w:rPr>
                <w:rFonts w:ascii="Calibri" w:eastAsia="Calibri" w:hAnsi="Calibri" w:cs="Times New Roman"/>
              </w:rPr>
              <w:t xml:space="preserve">Educator </w:t>
            </w:r>
          </w:p>
        </w:tc>
        <w:tc>
          <w:tcPr>
            <w:tcW w:w="568" w:type="dxa"/>
            <w:noWrap/>
          </w:tcPr>
          <w:p w14:paraId="33DD4565" w14:textId="77777777" w:rsidR="000F7E56" w:rsidRPr="000F7E56" w:rsidRDefault="000F7E56" w:rsidP="000F7E56">
            <w:pPr>
              <w:spacing w:after="120"/>
              <w:rPr>
                <w:rFonts w:ascii="Calibri" w:eastAsia="Calibri" w:hAnsi="Calibri" w:cs="Times New Roman"/>
              </w:rPr>
            </w:pPr>
            <w:r w:rsidRPr="000F7E56">
              <w:rPr>
                <w:rFonts w:ascii="Calibri" w:eastAsia="Calibri" w:hAnsi="Calibri" w:cs="Times New Roman"/>
              </w:rPr>
              <w:t>57</w:t>
            </w:r>
          </w:p>
        </w:tc>
        <w:tc>
          <w:tcPr>
            <w:tcW w:w="997" w:type="dxa"/>
            <w:noWrap/>
          </w:tcPr>
          <w:p w14:paraId="4ABBF22E" w14:textId="77777777" w:rsidR="000F7E56" w:rsidRPr="000F7E56" w:rsidRDefault="000F7E56" w:rsidP="000F7E56">
            <w:pPr>
              <w:spacing w:after="120"/>
              <w:rPr>
                <w:rFonts w:ascii="Calibri" w:eastAsia="Calibri" w:hAnsi="Calibri" w:cs="Times New Roman"/>
              </w:rPr>
            </w:pPr>
            <w:r w:rsidRPr="000F7E56">
              <w:rPr>
                <w:rFonts w:ascii="Calibri" w:eastAsia="Calibri" w:hAnsi="Calibri" w:cs="Times New Roman"/>
              </w:rPr>
              <w:t>F</w:t>
            </w:r>
          </w:p>
        </w:tc>
        <w:tc>
          <w:tcPr>
            <w:tcW w:w="1137" w:type="dxa"/>
            <w:noWrap/>
          </w:tcPr>
          <w:p w14:paraId="2746BB49" w14:textId="77777777" w:rsidR="000F7E56" w:rsidRPr="000F7E56" w:rsidRDefault="000F7E56" w:rsidP="000F7E56">
            <w:pPr>
              <w:spacing w:after="120"/>
              <w:rPr>
                <w:rFonts w:ascii="Calibri" w:eastAsia="Calibri" w:hAnsi="Calibri" w:cs="Times New Roman"/>
              </w:rPr>
            </w:pPr>
            <w:r w:rsidRPr="000F7E56">
              <w:rPr>
                <w:rFonts w:ascii="Calibri" w:eastAsia="Calibri" w:hAnsi="Calibri" w:cs="Times New Roman"/>
              </w:rPr>
              <w:t>Indian</w:t>
            </w:r>
          </w:p>
        </w:tc>
        <w:tc>
          <w:tcPr>
            <w:tcW w:w="2126" w:type="dxa"/>
            <w:noWrap/>
          </w:tcPr>
          <w:p w14:paraId="5F8B9A90" w14:textId="77777777" w:rsidR="000F7E56" w:rsidRPr="000F7E56" w:rsidRDefault="000F7E56" w:rsidP="000F7E56">
            <w:pPr>
              <w:spacing w:after="120"/>
              <w:rPr>
                <w:rFonts w:ascii="Calibri" w:eastAsia="Calibri" w:hAnsi="Calibri" w:cs="Times New Roman"/>
              </w:rPr>
            </w:pPr>
            <w:r w:rsidRPr="000F7E56">
              <w:rPr>
                <w:rFonts w:ascii="Calibri" w:eastAsia="Calibri" w:hAnsi="Calibri" w:cs="Times New Roman"/>
              </w:rPr>
              <w:t>Hindu</w:t>
            </w:r>
          </w:p>
        </w:tc>
      </w:tr>
      <w:tr w:rsidR="000F7E56" w:rsidRPr="000F7E56" w14:paraId="366F268F" w14:textId="77777777" w:rsidTr="000F7E56">
        <w:trPr>
          <w:trHeight w:val="288"/>
        </w:trPr>
        <w:tc>
          <w:tcPr>
            <w:tcW w:w="1688" w:type="dxa"/>
            <w:noWrap/>
          </w:tcPr>
          <w:p w14:paraId="0EFA010D" w14:textId="77777777" w:rsidR="000F7E56" w:rsidRPr="000F7E56" w:rsidRDefault="000F7E56" w:rsidP="000F7E56">
            <w:pPr>
              <w:spacing w:after="120"/>
              <w:rPr>
                <w:rFonts w:ascii="Calibri" w:eastAsia="Calibri" w:hAnsi="Calibri" w:cs="Times New Roman"/>
              </w:rPr>
            </w:pPr>
            <w:r w:rsidRPr="000F7E56">
              <w:rPr>
                <w:rFonts w:ascii="Calibri" w:eastAsia="Calibri" w:hAnsi="Calibri" w:cs="Times New Roman"/>
              </w:rPr>
              <w:t>Health and Social Care worker</w:t>
            </w:r>
          </w:p>
        </w:tc>
        <w:tc>
          <w:tcPr>
            <w:tcW w:w="568" w:type="dxa"/>
            <w:noWrap/>
          </w:tcPr>
          <w:p w14:paraId="2806F710" w14:textId="77777777" w:rsidR="000F7E56" w:rsidRPr="000F7E56" w:rsidRDefault="000F7E56" w:rsidP="000F7E56">
            <w:pPr>
              <w:spacing w:after="120"/>
              <w:rPr>
                <w:rFonts w:ascii="Calibri" w:eastAsia="Calibri" w:hAnsi="Calibri" w:cs="Times New Roman"/>
              </w:rPr>
            </w:pPr>
            <w:r w:rsidRPr="000F7E56">
              <w:rPr>
                <w:rFonts w:ascii="Calibri" w:eastAsia="Calibri" w:hAnsi="Calibri" w:cs="Times New Roman"/>
              </w:rPr>
              <w:t>56</w:t>
            </w:r>
          </w:p>
        </w:tc>
        <w:tc>
          <w:tcPr>
            <w:tcW w:w="997" w:type="dxa"/>
            <w:noWrap/>
          </w:tcPr>
          <w:p w14:paraId="2E40E227" w14:textId="77777777" w:rsidR="000F7E56" w:rsidRPr="000F7E56" w:rsidRDefault="000F7E56" w:rsidP="000F7E56">
            <w:pPr>
              <w:spacing w:after="120"/>
              <w:rPr>
                <w:rFonts w:ascii="Calibri" w:eastAsia="Calibri" w:hAnsi="Calibri" w:cs="Times New Roman"/>
              </w:rPr>
            </w:pPr>
            <w:r w:rsidRPr="000F7E56">
              <w:rPr>
                <w:rFonts w:ascii="Calibri" w:eastAsia="Calibri" w:hAnsi="Calibri" w:cs="Times New Roman"/>
              </w:rPr>
              <w:t>F</w:t>
            </w:r>
          </w:p>
        </w:tc>
        <w:tc>
          <w:tcPr>
            <w:tcW w:w="1137" w:type="dxa"/>
            <w:noWrap/>
          </w:tcPr>
          <w:p w14:paraId="0A30B4A2" w14:textId="77777777" w:rsidR="000F7E56" w:rsidRPr="000F7E56" w:rsidRDefault="000F7E56" w:rsidP="000F7E56">
            <w:pPr>
              <w:spacing w:after="120"/>
              <w:rPr>
                <w:rFonts w:ascii="Calibri" w:eastAsia="Calibri" w:hAnsi="Calibri" w:cs="Times New Roman"/>
              </w:rPr>
            </w:pPr>
            <w:r w:rsidRPr="000F7E56">
              <w:rPr>
                <w:rFonts w:ascii="Calibri" w:eastAsia="Calibri" w:hAnsi="Calibri" w:cs="Times New Roman"/>
              </w:rPr>
              <w:t>White British</w:t>
            </w:r>
          </w:p>
        </w:tc>
        <w:tc>
          <w:tcPr>
            <w:tcW w:w="2126" w:type="dxa"/>
            <w:noWrap/>
          </w:tcPr>
          <w:p w14:paraId="098E62C0" w14:textId="77777777" w:rsidR="000F7E56" w:rsidRPr="000F7E56" w:rsidRDefault="000F7E56" w:rsidP="000F7E56">
            <w:pPr>
              <w:spacing w:after="120"/>
              <w:rPr>
                <w:rFonts w:ascii="Calibri" w:eastAsia="Calibri" w:hAnsi="Calibri" w:cs="Times New Roman"/>
              </w:rPr>
            </w:pPr>
            <w:r w:rsidRPr="000F7E56">
              <w:rPr>
                <w:rFonts w:ascii="Calibri" w:eastAsia="Calibri" w:hAnsi="Calibri" w:cs="Times New Roman"/>
              </w:rPr>
              <w:t>Church of England</w:t>
            </w:r>
          </w:p>
        </w:tc>
      </w:tr>
      <w:tr w:rsidR="000F7E56" w:rsidRPr="000F7E56" w14:paraId="7C56B0C2" w14:textId="77777777" w:rsidTr="000F7E56">
        <w:trPr>
          <w:trHeight w:val="288"/>
        </w:trPr>
        <w:tc>
          <w:tcPr>
            <w:tcW w:w="1688" w:type="dxa"/>
            <w:noWrap/>
            <w:hideMark/>
          </w:tcPr>
          <w:p w14:paraId="61270860" w14:textId="77777777" w:rsidR="000F7E56" w:rsidRPr="000F7E56" w:rsidRDefault="000F7E56" w:rsidP="000F7E56">
            <w:pPr>
              <w:spacing w:after="120"/>
              <w:rPr>
                <w:rFonts w:ascii="Calibri" w:eastAsia="Calibri" w:hAnsi="Calibri" w:cs="Times New Roman"/>
              </w:rPr>
            </w:pPr>
            <w:r w:rsidRPr="000F7E56">
              <w:rPr>
                <w:rFonts w:ascii="Calibri" w:eastAsia="Calibri" w:hAnsi="Calibri" w:cs="Times New Roman"/>
              </w:rPr>
              <w:t>Clinical Educator</w:t>
            </w:r>
          </w:p>
        </w:tc>
        <w:tc>
          <w:tcPr>
            <w:tcW w:w="568" w:type="dxa"/>
            <w:noWrap/>
            <w:hideMark/>
          </w:tcPr>
          <w:p w14:paraId="31792F35" w14:textId="77777777" w:rsidR="000F7E56" w:rsidRPr="000F7E56" w:rsidRDefault="000F7E56" w:rsidP="000F7E56">
            <w:pPr>
              <w:spacing w:after="120"/>
              <w:rPr>
                <w:rFonts w:ascii="Calibri" w:eastAsia="Calibri" w:hAnsi="Calibri" w:cs="Times New Roman"/>
              </w:rPr>
            </w:pPr>
            <w:r w:rsidRPr="000F7E56">
              <w:rPr>
                <w:rFonts w:ascii="Calibri" w:eastAsia="Calibri" w:hAnsi="Calibri" w:cs="Times New Roman"/>
              </w:rPr>
              <w:t>39</w:t>
            </w:r>
          </w:p>
        </w:tc>
        <w:tc>
          <w:tcPr>
            <w:tcW w:w="997" w:type="dxa"/>
            <w:noWrap/>
            <w:hideMark/>
          </w:tcPr>
          <w:p w14:paraId="1114C00D" w14:textId="77777777" w:rsidR="000F7E56" w:rsidRPr="000F7E56" w:rsidRDefault="000F7E56" w:rsidP="000F7E56">
            <w:pPr>
              <w:spacing w:after="120"/>
              <w:rPr>
                <w:rFonts w:ascii="Calibri" w:eastAsia="Calibri" w:hAnsi="Calibri" w:cs="Times New Roman"/>
              </w:rPr>
            </w:pPr>
            <w:r w:rsidRPr="000F7E56">
              <w:rPr>
                <w:rFonts w:ascii="Calibri" w:eastAsia="Calibri" w:hAnsi="Calibri" w:cs="Times New Roman"/>
              </w:rPr>
              <w:t>M</w:t>
            </w:r>
          </w:p>
        </w:tc>
        <w:tc>
          <w:tcPr>
            <w:tcW w:w="1137" w:type="dxa"/>
            <w:noWrap/>
            <w:hideMark/>
          </w:tcPr>
          <w:p w14:paraId="64186440" w14:textId="77777777" w:rsidR="000F7E56" w:rsidRPr="000F7E56" w:rsidRDefault="000F7E56" w:rsidP="000F7E56">
            <w:pPr>
              <w:spacing w:after="120"/>
              <w:rPr>
                <w:rFonts w:ascii="Calibri" w:eastAsia="Calibri" w:hAnsi="Calibri" w:cs="Times New Roman"/>
              </w:rPr>
            </w:pPr>
            <w:r w:rsidRPr="000F7E56">
              <w:rPr>
                <w:rFonts w:ascii="Calibri" w:eastAsia="Calibri" w:hAnsi="Calibri" w:cs="Times New Roman"/>
              </w:rPr>
              <w:t>White British</w:t>
            </w:r>
          </w:p>
        </w:tc>
        <w:tc>
          <w:tcPr>
            <w:tcW w:w="2126" w:type="dxa"/>
            <w:noWrap/>
            <w:hideMark/>
          </w:tcPr>
          <w:p w14:paraId="16CAC791" w14:textId="77777777" w:rsidR="000F7E56" w:rsidRPr="000F7E56" w:rsidRDefault="000F7E56" w:rsidP="000F7E56">
            <w:pPr>
              <w:spacing w:after="120"/>
              <w:rPr>
                <w:rFonts w:ascii="Calibri" w:eastAsia="Calibri" w:hAnsi="Calibri" w:cs="Times New Roman"/>
              </w:rPr>
            </w:pPr>
            <w:r w:rsidRPr="000F7E56">
              <w:rPr>
                <w:rFonts w:ascii="Calibri" w:eastAsia="Calibri" w:hAnsi="Calibri" w:cs="Times New Roman"/>
              </w:rPr>
              <w:t>_</w:t>
            </w:r>
          </w:p>
        </w:tc>
      </w:tr>
      <w:tr w:rsidR="000F7E56" w:rsidRPr="000F7E56" w14:paraId="402B817F" w14:textId="77777777" w:rsidTr="000F7E56">
        <w:trPr>
          <w:trHeight w:val="288"/>
        </w:trPr>
        <w:tc>
          <w:tcPr>
            <w:tcW w:w="1688" w:type="dxa"/>
            <w:noWrap/>
            <w:hideMark/>
          </w:tcPr>
          <w:p w14:paraId="24C7ED54" w14:textId="77777777" w:rsidR="000F7E56" w:rsidRPr="000F7E56" w:rsidRDefault="000F7E56" w:rsidP="000F7E56">
            <w:pPr>
              <w:spacing w:after="120"/>
              <w:rPr>
                <w:rFonts w:ascii="Calibri" w:eastAsia="Calibri" w:hAnsi="Calibri" w:cs="Times New Roman"/>
              </w:rPr>
            </w:pPr>
            <w:r w:rsidRPr="000F7E56">
              <w:rPr>
                <w:rFonts w:ascii="Calibri" w:eastAsia="Calibri" w:hAnsi="Calibri" w:cs="Times New Roman"/>
              </w:rPr>
              <w:t>Higher Education Lecturer</w:t>
            </w:r>
          </w:p>
        </w:tc>
        <w:tc>
          <w:tcPr>
            <w:tcW w:w="568" w:type="dxa"/>
            <w:noWrap/>
            <w:hideMark/>
          </w:tcPr>
          <w:p w14:paraId="24E863E4" w14:textId="77777777" w:rsidR="000F7E56" w:rsidRPr="000F7E56" w:rsidRDefault="000F7E56" w:rsidP="000F7E56">
            <w:pPr>
              <w:spacing w:after="120"/>
              <w:rPr>
                <w:rFonts w:ascii="Calibri" w:eastAsia="Calibri" w:hAnsi="Calibri" w:cs="Times New Roman"/>
              </w:rPr>
            </w:pPr>
            <w:r w:rsidRPr="000F7E56">
              <w:rPr>
                <w:rFonts w:ascii="Calibri" w:eastAsia="Calibri" w:hAnsi="Calibri" w:cs="Times New Roman"/>
              </w:rPr>
              <w:t>46</w:t>
            </w:r>
          </w:p>
        </w:tc>
        <w:tc>
          <w:tcPr>
            <w:tcW w:w="997" w:type="dxa"/>
            <w:noWrap/>
            <w:hideMark/>
          </w:tcPr>
          <w:p w14:paraId="024CFA66" w14:textId="77777777" w:rsidR="000F7E56" w:rsidRPr="000F7E56" w:rsidRDefault="000F7E56" w:rsidP="000F7E56">
            <w:pPr>
              <w:spacing w:after="120"/>
              <w:rPr>
                <w:rFonts w:ascii="Calibri" w:eastAsia="Calibri" w:hAnsi="Calibri" w:cs="Times New Roman"/>
              </w:rPr>
            </w:pPr>
            <w:r w:rsidRPr="000F7E56">
              <w:rPr>
                <w:rFonts w:ascii="Calibri" w:eastAsia="Calibri" w:hAnsi="Calibri" w:cs="Times New Roman"/>
              </w:rPr>
              <w:t>F</w:t>
            </w:r>
          </w:p>
        </w:tc>
        <w:tc>
          <w:tcPr>
            <w:tcW w:w="1137" w:type="dxa"/>
            <w:noWrap/>
            <w:hideMark/>
          </w:tcPr>
          <w:p w14:paraId="5E2EC2FD" w14:textId="77777777" w:rsidR="000F7E56" w:rsidRPr="000F7E56" w:rsidRDefault="000F7E56" w:rsidP="000F7E56">
            <w:pPr>
              <w:spacing w:after="120"/>
              <w:rPr>
                <w:rFonts w:ascii="Calibri" w:eastAsia="Calibri" w:hAnsi="Calibri" w:cs="Times New Roman"/>
              </w:rPr>
            </w:pPr>
            <w:r w:rsidRPr="000F7E56">
              <w:rPr>
                <w:rFonts w:ascii="Calibri" w:eastAsia="Calibri" w:hAnsi="Calibri" w:cs="Times New Roman"/>
              </w:rPr>
              <w:t>White British</w:t>
            </w:r>
          </w:p>
        </w:tc>
        <w:tc>
          <w:tcPr>
            <w:tcW w:w="2126" w:type="dxa"/>
            <w:noWrap/>
            <w:hideMark/>
          </w:tcPr>
          <w:p w14:paraId="42FB5CFF" w14:textId="77777777" w:rsidR="000F7E56" w:rsidRPr="000F7E56" w:rsidRDefault="000F7E56" w:rsidP="000F7E56">
            <w:pPr>
              <w:spacing w:after="120"/>
              <w:rPr>
                <w:rFonts w:ascii="Calibri" w:eastAsia="Calibri" w:hAnsi="Calibri" w:cs="Times New Roman"/>
              </w:rPr>
            </w:pPr>
            <w:r w:rsidRPr="000F7E56">
              <w:rPr>
                <w:rFonts w:ascii="Calibri" w:eastAsia="Calibri" w:hAnsi="Calibri" w:cs="Times New Roman"/>
              </w:rPr>
              <w:t>Buddhist</w:t>
            </w:r>
          </w:p>
        </w:tc>
      </w:tr>
      <w:tr w:rsidR="000F7E56" w:rsidRPr="000F7E56" w14:paraId="4D4C048C" w14:textId="77777777" w:rsidTr="000F7E56">
        <w:trPr>
          <w:trHeight w:val="288"/>
        </w:trPr>
        <w:tc>
          <w:tcPr>
            <w:tcW w:w="1688" w:type="dxa"/>
            <w:noWrap/>
            <w:hideMark/>
          </w:tcPr>
          <w:p w14:paraId="6013BD53" w14:textId="77777777" w:rsidR="000F7E56" w:rsidRPr="000F7E56" w:rsidRDefault="000F7E56" w:rsidP="000F7E56">
            <w:pPr>
              <w:spacing w:after="120"/>
              <w:rPr>
                <w:rFonts w:ascii="Calibri" w:eastAsia="Calibri" w:hAnsi="Calibri" w:cs="Times New Roman"/>
              </w:rPr>
            </w:pPr>
            <w:r w:rsidRPr="000F7E56">
              <w:rPr>
                <w:rFonts w:ascii="Calibri" w:eastAsia="Calibri" w:hAnsi="Calibri" w:cs="Times New Roman"/>
              </w:rPr>
              <w:t xml:space="preserve">Nurse, Higher Education Lecturer- </w:t>
            </w:r>
          </w:p>
        </w:tc>
        <w:tc>
          <w:tcPr>
            <w:tcW w:w="568" w:type="dxa"/>
            <w:noWrap/>
            <w:hideMark/>
          </w:tcPr>
          <w:p w14:paraId="70531156" w14:textId="77777777" w:rsidR="000F7E56" w:rsidRPr="000F7E56" w:rsidRDefault="000F7E56" w:rsidP="000F7E56">
            <w:pPr>
              <w:spacing w:after="120"/>
              <w:rPr>
                <w:rFonts w:ascii="Calibri" w:eastAsia="Calibri" w:hAnsi="Calibri" w:cs="Times New Roman"/>
              </w:rPr>
            </w:pPr>
            <w:r w:rsidRPr="000F7E56">
              <w:rPr>
                <w:rFonts w:ascii="Calibri" w:eastAsia="Calibri" w:hAnsi="Calibri" w:cs="Times New Roman"/>
              </w:rPr>
              <w:t>51</w:t>
            </w:r>
          </w:p>
        </w:tc>
        <w:tc>
          <w:tcPr>
            <w:tcW w:w="997" w:type="dxa"/>
            <w:noWrap/>
            <w:hideMark/>
          </w:tcPr>
          <w:p w14:paraId="3DCCF792" w14:textId="77777777" w:rsidR="000F7E56" w:rsidRPr="000F7E56" w:rsidRDefault="000F7E56" w:rsidP="000F7E56">
            <w:pPr>
              <w:spacing w:after="120"/>
              <w:rPr>
                <w:rFonts w:ascii="Calibri" w:eastAsia="Calibri" w:hAnsi="Calibri" w:cs="Times New Roman"/>
              </w:rPr>
            </w:pPr>
            <w:r w:rsidRPr="000F7E56">
              <w:rPr>
                <w:rFonts w:ascii="Calibri" w:eastAsia="Calibri" w:hAnsi="Calibri" w:cs="Times New Roman"/>
              </w:rPr>
              <w:t>F</w:t>
            </w:r>
          </w:p>
        </w:tc>
        <w:tc>
          <w:tcPr>
            <w:tcW w:w="1137" w:type="dxa"/>
            <w:noWrap/>
            <w:hideMark/>
          </w:tcPr>
          <w:p w14:paraId="7B426218" w14:textId="77777777" w:rsidR="000F7E56" w:rsidRPr="000F7E56" w:rsidRDefault="000F7E56" w:rsidP="000F7E56">
            <w:pPr>
              <w:spacing w:after="120"/>
              <w:rPr>
                <w:rFonts w:ascii="Calibri" w:eastAsia="Calibri" w:hAnsi="Calibri" w:cs="Times New Roman"/>
              </w:rPr>
            </w:pPr>
            <w:r w:rsidRPr="000F7E56">
              <w:rPr>
                <w:rFonts w:ascii="Calibri" w:eastAsia="Calibri" w:hAnsi="Calibri" w:cs="Times New Roman"/>
              </w:rPr>
              <w:t>White British</w:t>
            </w:r>
          </w:p>
        </w:tc>
        <w:tc>
          <w:tcPr>
            <w:tcW w:w="2126" w:type="dxa"/>
            <w:noWrap/>
            <w:hideMark/>
          </w:tcPr>
          <w:p w14:paraId="3CBA2C8D" w14:textId="77777777" w:rsidR="000F7E56" w:rsidRPr="000F7E56" w:rsidRDefault="000F7E56" w:rsidP="000F7E56">
            <w:pPr>
              <w:spacing w:after="120"/>
              <w:rPr>
                <w:rFonts w:ascii="Calibri" w:eastAsia="Calibri" w:hAnsi="Calibri" w:cs="Times New Roman"/>
              </w:rPr>
            </w:pPr>
            <w:r w:rsidRPr="000F7E56">
              <w:rPr>
                <w:rFonts w:ascii="Calibri" w:eastAsia="Calibri" w:hAnsi="Calibri" w:cs="Times New Roman"/>
              </w:rPr>
              <w:t>No religion</w:t>
            </w:r>
          </w:p>
        </w:tc>
      </w:tr>
    </w:tbl>
    <w:p w14:paraId="78575B34" w14:textId="120B08D2" w:rsidR="000F7E56" w:rsidRPr="000F7E56" w:rsidRDefault="000F7E56" w:rsidP="000F7E56">
      <w:pPr>
        <w:keepNext/>
        <w:spacing w:after="200" w:line="240" w:lineRule="auto"/>
        <w:jc w:val="both"/>
        <w:rPr>
          <w:rFonts w:ascii="Calibri" w:eastAsia="Calibri" w:hAnsi="Calibri" w:cs="Times New Roman"/>
          <w:iCs/>
          <w:color w:val="44546A" w:themeColor="text2"/>
        </w:rPr>
      </w:pPr>
      <w:bookmarkStart w:id="274" w:name="_Toc89967519"/>
      <w:bookmarkStart w:id="275" w:name="_Toc106701070"/>
      <w:r w:rsidRPr="000F7E56">
        <w:rPr>
          <w:rFonts w:cstheme="minorHAnsi"/>
          <w:iCs/>
          <w:color w:val="44546A" w:themeColor="text2"/>
        </w:rPr>
        <w:t xml:space="preserve">TABLE </w:t>
      </w:r>
      <w:r w:rsidRPr="000F7E56">
        <w:rPr>
          <w:rFonts w:cstheme="minorHAnsi"/>
          <w:iCs/>
          <w:color w:val="44546A" w:themeColor="text2"/>
        </w:rPr>
        <w:fldChar w:fldCharType="begin"/>
      </w:r>
      <w:r w:rsidRPr="000F7E56">
        <w:rPr>
          <w:rFonts w:cstheme="minorHAnsi"/>
          <w:iCs/>
          <w:color w:val="44546A" w:themeColor="text2"/>
        </w:rPr>
        <w:instrText xml:space="preserve"> SEQ Table \* ARABIC </w:instrText>
      </w:r>
      <w:r w:rsidRPr="000F7E56">
        <w:rPr>
          <w:rFonts w:cstheme="minorHAnsi"/>
          <w:iCs/>
          <w:color w:val="44546A" w:themeColor="text2"/>
        </w:rPr>
        <w:fldChar w:fldCharType="separate"/>
      </w:r>
      <w:r w:rsidR="00514EB4">
        <w:rPr>
          <w:rFonts w:cstheme="minorHAnsi"/>
          <w:iCs/>
          <w:noProof/>
          <w:color w:val="44546A" w:themeColor="text2"/>
        </w:rPr>
        <w:t>8</w:t>
      </w:r>
      <w:r w:rsidRPr="000F7E56">
        <w:rPr>
          <w:rFonts w:cstheme="minorHAnsi"/>
          <w:iCs/>
          <w:noProof/>
          <w:color w:val="44546A" w:themeColor="text2"/>
        </w:rPr>
        <w:fldChar w:fldCharType="end"/>
      </w:r>
      <w:r w:rsidRPr="000F7E56">
        <w:rPr>
          <w:rFonts w:cstheme="minorHAnsi"/>
          <w:iCs/>
          <w:noProof/>
          <w:color w:val="44546A" w:themeColor="text2"/>
        </w:rPr>
        <w:t xml:space="preserve"> - </w:t>
      </w:r>
      <w:r w:rsidRPr="000F7E56">
        <w:rPr>
          <w:rFonts w:cstheme="minorHAnsi"/>
          <w:iCs/>
          <w:color w:val="44546A" w:themeColor="text2"/>
        </w:rPr>
        <w:t>Characteristics of Educator Stakeholders</w:t>
      </w:r>
      <w:bookmarkEnd w:id="274"/>
      <w:bookmarkEnd w:id="275"/>
    </w:p>
    <w:p w14:paraId="4A52CCC1" w14:textId="77777777" w:rsidR="000F7E56" w:rsidRPr="000F7E56" w:rsidRDefault="000F7E56" w:rsidP="000F7E56">
      <w:pPr>
        <w:keepNext/>
        <w:keepLines/>
        <w:spacing w:before="40" w:after="0" w:line="240" w:lineRule="auto"/>
        <w:outlineLvl w:val="1"/>
        <w:rPr>
          <w:rFonts w:asciiTheme="majorHAnsi" w:eastAsia="Calibri" w:hAnsiTheme="majorHAnsi" w:cstheme="majorHAnsi"/>
          <w:color w:val="2E74B5"/>
          <w:sz w:val="24"/>
          <w:szCs w:val="24"/>
        </w:rPr>
      </w:pPr>
      <w:bookmarkStart w:id="276" w:name="_Toc89665182"/>
      <w:bookmarkStart w:id="277" w:name="_Toc89671934"/>
      <w:bookmarkStart w:id="278" w:name="_Toc89763984"/>
      <w:bookmarkStart w:id="279" w:name="_Toc106697813"/>
      <w:r w:rsidRPr="000F7E56">
        <w:rPr>
          <w:rFonts w:asciiTheme="majorHAnsi" w:eastAsia="Calibri" w:hAnsiTheme="majorHAnsi" w:cstheme="majorHAnsi"/>
          <w:color w:val="2E74B5"/>
          <w:sz w:val="24"/>
          <w:szCs w:val="24"/>
        </w:rPr>
        <w:t>Conclusion</w:t>
      </w:r>
      <w:bookmarkEnd w:id="276"/>
      <w:bookmarkEnd w:id="277"/>
      <w:bookmarkEnd w:id="278"/>
      <w:bookmarkEnd w:id="279"/>
      <w:r w:rsidRPr="000F7E56">
        <w:rPr>
          <w:rFonts w:asciiTheme="majorHAnsi" w:eastAsia="Calibri" w:hAnsiTheme="majorHAnsi" w:cstheme="majorHAnsi"/>
          <w:color w:val="2E74B5"/>
          <w:sz w:val="24"/>
          <w:szCs w:val="24"/>
        </w:rPr>
        <w:t xml:space="preserve"> </w:t>
      </w:r>
    </w:p>
    <w:p w14:paraId="6585F37C" w14:textId="77777777" w:rsidR="000F7E56" w:rsidRPr="000F7E56" w:rsidRDefault="000F7E56" w:rsidP="000F7E56">
      <w:pPr>
        <w:spacing w:after="120" w:line="360" w:lineRule="auto"/>
        <w:rPr>
          <w:rFonts w:ascii="Calibri" w:eastAsia="Calibri" w:hAnsi="Calibri" w:cs="Times New Roman"/>
          <w:sz w:val="24"/>
          <w:szCs w:val="24"/>
        </w:rPr>
      </w:pPr>
    </w:p>
    <w:p w14:paraId="5EDAC10C" w14:textId="77777777" w:rsidR="000F7E56" w:rsidRPr="000F7E56" w:rsidRDefault="000F7E56" w:rsidP="000F7E56">
      <w:pPr>
        <w:spacing w:after="120" w:line="360" w:lineRule="auto"/>
        <w:rPr>
          <w:rFonts w:ascii="Calibri" w:eastAsia="Calibri" w:hAnsi="Calibri" w:cs="Calibri"/>
        </w:rPr>
      </w:pPr>
      <w:r w:rsidRPr="000F7E56">
        <w:rPr>
          <w:rFonts w:ascii="Calibri" w:eastAsia="Calibri" w:hAnsi="Calibri" w:cs="Calibri"/>
        </w:rPr>
        <w:t>This chapter has presented background information on the 115 individual participants who took part in the study and the different sources and extent of data collected. It includes a brief summary of the process of recruitment and detailed characteristics of participants in Work Streams 1, 2 and 3. The next chapter gives a detailed account of the findings of WS1 and WS2.</w:t>
      </w:r>
    </w:p>
    <w:p w14:paraId="092CE3DF" w14:textId="77777777" w:rsidR="000F7E56" w:rsidRPr="000F7E56" w:rsidRDefault="000F7E56" w:rsidP="000F7E56">
      <w:pPr>
        <w:rPr>
          <w:rFonts w:ascii="Calibri" w:eastAsia="Calibri" w:hAnsi="Calibri" w:cs="Times New Roman"/>
        </w:rPr>
      </w:pPr>
      <w:r w:rsidRPr="000F7E56">
        <w:rPr>
          <w:rFonts w:ascii="Calibri" w:eastAsia="Calibri" w:hAnsi="Calibri" w:cs="Times New Roman"/>
        </w:rPr>
        <w:br w:type="page"/>
      </w:r>
    </w:p>
    <w:p w14:paraId="1A2E94D1" w14:textId="77777777" w:rsidR="000F7E56" w:rsidRPr="000F7E56" w:rsidRDefault="000F7E56" w:rsidP="000F7E56">
      <w:pPr>
        <w:keepNext/>
        <w:keepLines/>
        <w:spacing w:before="240" w:after="120" w:line="240" w:lineRule="auto"/>
        <w:jc w:val="center"/>
        <w:outlineLvl w:val="0"/>
        <w:rPr>
          <w:rFonts w:asciiTheme="majorHAnsi" w:eastAsiaTheme="majorEastAsia" w:hAnsiTheme="majorHAnsi" w:cstheme="majorBidi"/>
          <w:color w:val="2F5496" w:themeColor="accent1" w:themeShade="BF"/>
          <w:sz w:val="56"/>
          <w:szCs w:val="56"/>
        </w:rPr>
      </w:pPr>
      <w:bookmarkStart w:id="280" w:name="_Toc106697814"/>
      <w:bookmarkStart w:id="281" w:name="_Toc77863618"/>
      <w:bookmarkStart w:id="282" w:name="_Toc89763985"/>
      <w:bookmarkStart w:id="283" w:name="_Hlk89760465"/>
      <w:r w:rsidRPr="000F7E56">
        <w:rPr>
          <w:rFonts w:asciiTheme="majorHAnsi" w:eastAsiaTheme="majorEastAsia" w:hAnsiTheme="majorHAnsi" w:cstheme="majorBidi"/>
          <w:color w:val="2F5496" w:themeColor="accent1" w:themeShade="BF"/>
          <w:sz w:val="56"/>
          <w:szCs w:val="56"/>
        </w:rPr>
        <w:lastRenderedPageBreak/>
        <w:t>Chapter 5: Work Streams 1 and 2: Findings</w:t>
      </w:r>
      <w:bookmarkEnd w:id="280"/>
      <w:r w:rsidRPr="000F7E56">
        <w:rPr>
          <w:rFonts w:asciiTheme="majorHAnsi" w:eastAsiaTheme="majorEastAsia" w:hAnsiTheme="majorHAnsi" w:cstheme="majorBidi"/>
          <w:color w:val="2F5496" w:themeColor="accent1" w:themeShade="BF"/>
          <w:sz w:val="56"/>
          <w:szCs w:val="56"/>
        </w:rPr>
        <w:t xml:space="preserve"> </w:t>
      </w:r>
      <w:bookmarkEnd w:id="281"/>
      <w:bookmarkEnd w:id="282"/>
    </w:p>
    <w:p w14:paraId="080FCF40" w14:textId="77777777" w:rsidR="000F7E56" w:rsidRPr="000F7E56" w:rsidRDefault="000F7E56" w:rsidP="000F7E56">
      <w:pPr>
        <w:spacing w:after="120" w:line="360" w:lineRule="auto"/>
      </w:pPr>
    </w:p>
    <w:p w14:paraId="618E7C00" w14:textId="77777777" w:rsidR="000F7E56" w:rsidRPr="000F7E56" w:rsidRDefault="000F7E56" w:rsidP="000F7E56">
      <w:pPr>
        <w:keepNext/>
        <w:keepLines/>
        <w:spacing w:after="120" w:line="360" w:lineRule="auto"/>
        <w:outlineLvl w:val="1"/>
        <w:rPr>
          <w:rFonts w:asciiTheme="majorHAnsi" w:eastAsiaTheme="majorEastAsia" w:hAnsiTheme="majorHAnsi" w:cstheme="majorHAnsi"/>
          <w:color w:val="2F5496" w:themeColor="accent1" w:themeShade="BF"/>
          <w:sz w:val="24"/>
          <w:szCs w:val="24"/>
        </w:rPr>
      </w:pPr>
      <w:bookmarkStart w:id="284" w:name="_Toc89763986"/>
      <w:bookmarkStart w:id="285" w:name="_Toc106697815"/>
      <w:r w:rsidRPr="000F7E56">
        <w:rPr>
          <w:rFonts w:asciiTheme="majorHAnsi" w:eastAsiaTheme="majorEastAsia" w:hAnsiTheme="majorHAnsi" w:cstheme="majorHAnsi"/>
          <w:color w:val="2F5496" w:themeColor="accent1" w:themeShade="BF"/>
          <w:sz w:val="24"/>
          <w:szCs w:val="24"/>
        </w:rPr>
        <w:t>Introduction</w:t>
      </w:r>
      <w:bookmarkEnd w:id="284"/>
      <w:bookmarkEnd w:id="285"/>
    </w:p>
    <w:p w14:paraId="3237FD38" w14:textId="1E38AD4D" w:rsidR="000F7E56" w:rsidRPr="000F7E56" w:rsidRDefault="000F7E56" w:rsidP="000F7E56">
      <w:pPr>
        <w:spacing w:after="120" w:line="360" w:lineRule="auto"/>
      </w:pPr>
      <w:r w:rsidRPr="000F7E56">
        <w:t xml:space="preserve">This chapter presents the findings from the Thinking Ahead study’s first two Work Streams, during which researchers sought insights from patients, FCGs, HCPs and bereaved FCGs regarding whether and how terminally ill patients from ethnic minority groups and their FCGs think ahead about deterioration and dying.  Data were derived from qualitative interviews with bereaved FCGs, as well as longitudinal patient centred case studies based on serial interviews with patients, family members and HCPs (see Chapter 2 for further details).  In particular, we sought insights into approaches to discussing the future and perceptions of patients’ and families’ receptiveness to considering future health deterioration and the treatment decisions arising from this. In the following extracts, pseudonyms beginning with ‘B’ denote Bereaved FCGs and those beginning with ‘C’ refer to patient cases. </w:t>
      </w:r>
    </w:p>
    <w:p w14:paraId="28FA126E" w14:textId="1E691F7A" w:rsidR="000F7E56" w:rsidRPr="000F7E56" w:rsidRDefault="000F7E56" w:rsidP="000F7E56">
      <w:pPr>
        <w:keepNext/>
        <w:keepLines/>
        <w:spacing w:after="120" w:line="360" w:lineRule="auto"/>
        <w:outlineLvl w:val="1"/>
        <w:rPr>
          <w:rFonts w:asciiTheme="majorHAnsi" w:eastAsiaTheme="majorEastAsia" w:hAnsiTheme="majorHAnsi" w:cstheme="majorBidi"/>
          <w:color w:val="2F5496" w:themeColor="accent1" w:themeShade="BF"/>
          <w:sz w:val="24"/>
          <w:szCs w:val="24"/>
        </w:rPr>
      </w:pPr>
      <w:bookmarkStart w:id="286" w:name="_Toc89763987"/>
      <w:bookmarkStart w:id="287" w:name="_Toc106697816"/>
      <w:bookmarkStart w:id="288" w:name="_Toc77863620"/>
      <w:bookmarkStart w:id="289" w:name="_Toc80775546"/>
      <w:r w:rsidRPr="000F7E56">
        <w:rPr>
          <w:rFonts w:asciiTheme="majorHAnsi" w:eastAsiaTheme="majorEastAsia" w:hAnsiTheme="majorHAnsi" w:cstheme="majorBidi"/>
          <w:color w:val="2F5496" w:themeColor="accent1" w:themeShade="BF"/>
          <w:sz w:val="24"/>
          <w:szCs w:val="24"/>
        </w:rPr>
        <w:t xml:space="preserve">Patient and </w:t>
      </w:r>
      <w:r w:rsidR="00DA32BF">
        <w:rPr>
          <w:rFonts w:asciiTheme="majorHAnsi" w:eastAsiaTheme="majorEastAsia" w:hAnsiTheme="majorHAnsi" w:cstheme="majorBidi"/>
          <w:color w:val="2F5496" w:themeColor="accent1" w:themeShade="BF"/>
          <w:sz w:val="24"/>
          <w:szCs w:val="24"/>
        </w:rPr>
        <w:t>family care givers’</w:t>
      </w:r>
      <w:r w:rsidRPr="000F7E56">
        <w:rPr>
          <w:rFonts w:asciiTheme="majorHAnsi" w:eastAsiaTheme="majorEastAsia" w:hAnsiTheme="majorHAnsi" w:cstheme="majorBidi"/>
          <w:color w:val="2F5496" w:themeColor="accent1" w:themeShade="BF"/>
          <w:sz w:val="24"/>
          <w:szCs w:val="24"/>
        </w:rPr>
        <w:t xml:space="preserve"> perspectives of </w:t>
      </w:r>
      <w:bookmarkEnd w:id="286"/>
      <w:r w:rsidR="00DA32BF">
        <w:rPr>
          <w:rFonts w:asciiTheme="majorHAnsi" w:eastAsiaTheme="majorEastAsia" w:hAnsiTheme="majorHAnsi" w:cstheme="majorBidi"/>
          <w:color w:val="2F5496" w:themeColor="accent1" w:themeShade="BF"/>
          <w:sz w:val="24"/>
          <w:szCs w:val="24"/>
        </w:rPr>
        <w:t>end-of-life care planning</w:t>
      </w:r>
      <w:bookmarkEnd w:id="287"/>
    </w:p>
    <w:p w14:paraId="1CA1CB92" w14:textId="77777777" w:rsidR="000F7E56" w:rsidRPr="000F7E56" w:rsidRDefault="000F7E56" w:rsidP="000F7E56">
      <w:pPr>
        <w:spacing w:after="120" w:line="360" w:lineRule="auto"/>
      </w:pPr>
      <w:r w:rsidRPr="000F7E56">
        <w:rPr>
          <w:iCs/>
        </w:rPr>
        <w:t xml:space="preserve">When talking about dying the accounts of patient and FCG participants in the case studies tended to orient to matters to do with funerals and wills, i.e. things that happened </w:t>
      </w:r>
      <w:r w:rsidRPr="000F7E56">
        <w:rPr>
          <w:i/>
        </w:rPr>
        <w:t>after</w:t>
      </w:r>
      <w:r w:rsidRPr="000F7E56">
        <w:rPr>
          <w:iCs/>
        </w:rPr>
        <w:t xml:space="preserve"> death, rather than what might be anticipated during the process of dying. These broader considerations were more likely to occur in the interviews with BFCGs who could reflect back on the entire process of the patient’s illness and experience of dying whilst the accounts of participants’ who were living with the experiences of advancing illness tended to focus on the present rather than an uncertain future, preferring to confront issues as and when they arose. </w:t>
      </w:r>
      <w:r w:rsidRPr="000F7E56">
        <w:t xml:space="preserve"> </w:t>
      </w:r>
    </w:p>
    <w:p w14:paraId="060B7011" w14:textId="364650FF" w:rsidR="000F7E56" w:rsidRPr="000F7E56" w:rsidRDefault="000F7E56" w:rsidP="000F7E56">
      <w:pPr>
        <w:spacing w:after="120" w:line="360" w:lineRule="auto"/>
        <w:ind w:left="720"/>
        <w:rPr>
          <w:i/>
        </w:rPr>
      </w:pPr>
      <w:r w:rsidRPr="000F7E56">
        <w:rPr>
          <w:i/>
        </w:rPr>
        <w:t>I don't think I need to talk to anybody right now when I need to at that time I will. (Mr Chahine, 3rd interview).</w:t>
      </w:r>
    </w:p>
    <w:p w14:paraId="7FD6EF59" w14:textId="429E0AE6" w:rsidR="000F7E56" w:rsidRPr="000F7E56" w:rsidRDefault="000F7E56" w:rsidP="000F7E56">
      <w:pPr>
        <w:spacing w:after="120" w:line="360" w:lineRule="auto"/>
        <w:ind w:left="720"/>
        <w:rPr>
          <w:i/>
        </w:rPr>
      </w:pPr>
      <w:r w:rsidRPr="000F7E56">
        <w:rPr>
          <w:i/>
        </w:rPr>
        <w:t xml:space="preserve">There are so many ifs, if, if, but for now I am not thinking of those ifs. I am thinking what has been done by the doctors now. </w:t>
      </w:r>
      <w:r w:rsidRPr="000F7E56">
        <w:t xml:space="preserve">(Mr </w:t>
      </w:r>
      <w:proofErr w:type="spellStart"/>
      <w:r w:rsidRPr="000F7E56">
        <w:t>Chifamba’s</w:t>
      </w:r>
      <w:proofErr w:type="spellEnd"/>
      <w:r w:rsidRPr="000F7E56">
        <w:t xml:space="preserve"> mother, 2</w:t>
      </w:r>
      <w:r w:rsidRPr="000F7E56">
        <w:rPr>
          <w:vertAlign w:val="superscript"/>
        </w:rPr>
        <w:t>nd</w:t>
      </w:r>
      <w:r w:rsidRPr="000F7E56">
        <w:t xml:space="preserve"> interview).</w:t>
      </w:r>
    </w:p>
    <w:p w14:paraId="73A92BDB" w14:textId="77777777" w:rsidR="000F7E56" w:rsidRPr="000F7E56" w:rsidRDefault="000F7E56" w:rsidP="000F7E56">
      <w:pPr>
        <w:spacing w:after="120" w:line="360" w:lineRule="auto"/>
      </w:pPr>
      <w:r w:rsidRPr="000F7E56">
        <w:t xml:space="preserve">In addition to the perceived pointlessness of trying to predict the future, participants also wished to preserve hope, particularly for the patient, which was felt to be incompatible with too much information or scrutiny of the likely course of the illness and deterioration. Maintaining a stance to protect hope, particularly for the patient, was felt to be a priority. </w:t>
      </w:r>
    </w:p>
    <w:p w14:paraId="3C045A95" w14:textId="77777777" w:rsidR="000F7E56" w:rsidRPr="000F7E56" w:rsidRDefault="000F7E56" w:rsidP="000F7E56">
      <w:pPr>
        <w:spacing w:after="120" w:line="360" w:lineRule="auto"/>
      </w:pPr>
    </w:p>
    <w:p w14:paraId="0E13E0DF" w14:textId="77777777" w:rsidR="000F7E56" w:rsidRPr="000F7E56" w:rsidRDefault="000F7E56" w:rsidP="000F7E56">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spacing w:after="120" w:line="360" w:lineRule="auto"/>
        <w:ind w:left="720"/>
        <w:rPr>
          <w:i/>
          <w:iCs/>
        </w:rPr>
      </w:pPr>
      <w:r w:rsidRPr="000F7E56">
        <w:rPr>
          <w:i/>
          <w:iCs/>
        </w:rPr>
        <w:t xml:space="preserve">I told the doctor as well, ‘OK don't discuss anything to any family member or to ... my wife that's going to happen sooner or later’, and they agreed as well. So, she [wife] was giving me the option to </w:t>
      </w:r>
      <w:r w:rsidRPr="000F7E56">
        <w:rPr>
          <w:i/>
          <w:iCs/>
        </w:rPr>
        <w:lastRenderedPageBreak/>
        <w:t xml:space="preserve">not to talk anything about that. She was keeping positive to the last minute: ‘No matter if you give me treatment or not, I might get better’. </w:t>
      </w:r>
      <w:r w:rsidRPr="000F7E56">
        <w:rPr>
          <w:iCs/>
        </w:rPr>
        <w:t xml:space="preserve">(Mrs </w:t>
      </w:r>
      <w:proofErr w:type="spellStart"/>
      <w:r w:rsidRPr="000F7E56">
        <w:rPr>
          <w:iCs/>
        </w:rPr>
        <w:t>Bhajwar’s</w:t>
      </w:r>
      <w:proofErr w:type="spellEnd"/>
      <w:r w:rsidRPr="000F7E56">
        <w:rPr>
          <w:iCs/>
        </w:rPr>
        <w:t xml:space="preserve"> husband).</w:t>
      </w:r>
    </w:p>
    <w:p w14:paraId="2BA67D37" w14:textId="77777777" w:rsidR="000F7E56" w:rsidRPr="000F7E56" w:rsidRDefault="000F7E56" w:rsidP="000F7E56">
      <w:pPr>
        <w:spacing w:after="120" w:line="360" w:lineRule="auto"/>
      </w:pPr>
      <w:r w:rsidRPr="000F7E56">
        <w:t xml:space="preserve">HCPs also observed there was a clear orientation by patients to live and focus on the present and deal with the future when it happened.  </w:t>
      </w:r>
    </w:p>
    <w:p w14:paraId="2D1E7548" w14:textId="77777777" w:rsidR="000F7E56" w:rsidRPr="000F7E56" w:rsidRDefault="000F7E56" w:rsidP="000F7E56">
      <w:pPr>
        <w:spacing w:after="120" w:line="360" w:lineRule="auto"/>
        <w:ind w:left="720"/>
        <w:rPr>
          <w:i/>
          <w:iCs/>
        </w:rPr>
      </w:pPr>
      <w:r w:rsidRPr="000F7E56">
        <w:rPr>
          <w:i/>
          <w:iCs/>
        </w:rPr>
        <w:t xml:space="preserve">The patient has not wanted to have end-of-life discussions because he wants to concentrate on the now. He said he will deal with that when it comes to it. </w:t>
      </w:r>
      <w:r w:rsidRPr="000F7E56">
        <w:rPr>
          <w:iCs/>
        </w:rPr>
        <w:t xml:space="preserve">(Mr </w:t>
      </w:r>
      <w:proofErr w:type="spellStart"/>
      <w:r w:rsidRPr="000F7E56">
        <w:rPr>
          <w:iCs/>
        </w:rPr>
        <w:t>Chaganti’s</w:t>
      </w:r>
      <w:proofErr w:type="spellEnd"/>
      <w:r w:rsidRPr="000F7E56">
        <w:rPr>
          <w:iCs/>
        </w:rPr>
        <w:t xml:space="preserve"> HCP).</w:t>
      </w:r>
    </w:p>
    <w:p w14:paraId="04861DE2" w14:textId="77777777" w:rsidR="000F7E56" w:rsidRPr="000F7E56" w:rsidRDefault="000F7E56" w:rsidP="000F7E56">
      <w:pPr>
        <w:spacing w:after="120" w:line="360" w:lineRule="auto"/>
      </w:pPr>
      <w:r w:rsidRPr="000F7E56">
        <w:t>Some patients and families maintained such a stance of therapeutic optimism, either because they did not know or accept how ill the patient was, or because this was a preferred coping strategy. The tendency towards optimism, to assuming that the illness was not too advanced, that treatment might contain its progression, that there was a lot of time left, made thinking ahead irrelevant for many. Indeed, for some, death (from their illness) was not necessarily considered inevitable.</w:t>
      </w:r>
    </w:p>
    <w:p w14:paraId="28350899" w14:textId="77777777" w:rsidR="000F7E56" w:rsidRPr="000F7E56" w:rsidRDefault="000F7E56" w:rsidP="000F7E56">
      <w:pPr>
        <w:spacing w:after="120" w:line="360" w:lineRule="auto"/>
        <w:ind w:left="720"/>
        <w:rPr>
          <w:i/>
        </w:rPr>
      </w:pPr>
      <w:r w:rsidRPr="000F7E56">
        <w:rPr>
          <w:i/>
        </w:rPr>
        <w:t xml:space="preserve">And the reason we have not had that conversation is because I believe we can have that conversation if the time comes when that's the case. But we have not really had that conversation we don't see, in a sense we don't see cancer as a threat we don't see cancer as it’s a threat and it’s a oh gosh it’s inevitable that she is going to die from cancer in that sense </w:t>
      </w:r>
      <w:r w:rsidRPr="000F7E56">
        <w:t>(Mrs Caprice’s husband, 3</w:t>
      </w:r>
      <w:r w:rsidRPr="000F7E56">
        <w:rPr>
          <w:vertAlign w:val="superscript"/>
        </w:rPr>
        <w:t>rd</w:t>
      </w:r>
      <w:r w:rsidRPr="000F7E56">
        <w:t xml:space="preserve"> interview).</w:t>
      </w:r>
    </w:p>
    <w:p w14:paraId="1597907B" w14:textId="20D1FA29" w:rsidR="000F7E56" w:rsidRPr="000F7E56" w:rsidRDefault="000F7E56" w:rsidP="000F7E56">
      <w:pPr>
        <w:spacing w:after="120" w:line="360" w:lineRule="auto"/>
      </w:pPr>
      <w:r w:rsidRPr="000F7E56">
        <w:t xml:space="preserve">HCPs gave accounts to support the idea that patients and families orient to </w:t>
      </w:r>
      <w:r w:rsidR="00C75976">
        <w:t xml:space="preserve">the </w:t>
      </w:r>
      <w:r w:rsidRPr="000F7E56">
        <w:t xml:space="preserve">now rather than the future. </w:t>
      </w:r>
    </w:p>
    <w:p w14:paraId="728E6951" w14:textId="77777777" w:rsidR="000F7E56" w:rsidRPr="000F7E56" w:rsidRDefault="000F7E56" w:rsidP="000F7E56">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spacing w:after="120" w:line="360" w:lineRule="auto"/>
        <w:ind w:left="720"/>
      </w:pPr>
      <w:r w:rsidRPr="000F7E56">
        <w:rPr>
          <w:i/>
        </w:rPr>
        <w:t xml:space="preserve">Sometimes ...I am talking about haematology as a whole here...sometimes, yes the patients perhaps say, ‘Well, I am still having treatment’, and it’s still there in the back of their minds, they are still having treatment. And in some ways that potentially, I suppose, can allow a degree of, it’s a strong word isn't it, a denial of what the outcome is going to be. Because as long as they keep coming to haematology for their blood products and their outpatient appointments the finality perhaps is pushed away </w:t>
      </w:r>
      <w:r w:rsidRPr="000F7E56">
        <w:t>(Mrs Campbell’s HCP).</w:t>
      </w:r>
    </w:p>
    <w:p w14:paraId="5C6B2FD3" w14:textId="77777777" w:rsidR="000F7E56" w:rsidRPr="000F7E56" w:rsidRDefault="000F7E56" w:rsidP="000F7E56">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spacing w:after="120" w:line="360" w:lineRule="auto"/>
      </w:pPr>
      <w:r w:rsidRPr="000F7E56">
        <w:t xml:space="preserve">Several respondents from both Work Streams could justify their therapeutic optimism in the light of past experience of the patient having pulled through acute crises apparently against all odds, and particularly where this outcome had confounded negative professional prognostication that death was imminent. </w:t>
      </w:r>
    </w:p>
    <w:p w14:paraId="1716A4F8" w14:textId="77777777" w:rsidR="000F7E56" w:rsidRPr="000F7E56" w:rsidRDefault="000F7E56" w:rsidP="000F7E56">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spacing w:after="120" w:line="360" w:lineRule="auto"/>
        <w:ind w:left="720"/>
        <w:rPr>
          <w:i/>
        </w:rPr>
      </w:pPr>
      <w:r w:rsidRPr="000F7E56">
        <w:rPr>
          <w:i/>
        </w:rPr>
        <w:t xml:space="preserve">.... given that we only had a couple of weeks to two months from her diagnosis and prognosis... we have had her ...it’s five months in now. </w:t>
      </w:r>
      <w:r w:rsidRPr="000F7E56">
        <w:t xml:space="preserve">(Mrs </w:t>
      </w:r>
      <w:proofErr w:type="spellStart"/>
      <w:r w:rsidRPr="000F7E56">
        <w:t>Chandyo’s</w:t>
      </w:r>
      <w:proofErr w:type="spellEnd"/>
      <w:r w:rsidRPr="000F7E56">
        <w:t xml:space="preserve"> daughter, 2nd interview).</w:t>
      </w:r>
    </w:p>
    <w:p w14:paraId="5AC38679" w14:textId="77777777" w:rsidR="000F7E56" w:rsidRPr="000F7E56" w:rsidRDefault="000F7E56" w:rsidP="000F7E56">
      <w:pPr>
        <w:widowControl w:val="0"/>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spacing w:after="120" w:line="360" w:lineRule="auto"/>
        <w:rPr>
          <w:rFonts w:ascii="Arial" w:hAnsi="Arial" w:cs="Arial"/>
          <w:color w:val="00000A"/>
          <w:sz w:val="24"/>
          <w:szCs w:val="24"/>
        </w:rPr>
      </w:pPr>
    </w:p>
    <w:p w14:paraId="1A0ABBA2" w14:textId="77777777" w:rsidR="000F7E56" w:rsidRPr="000F7E56" w:rsidRDefault="000F7E56" w:rsidP="000F7E56">
      <w:pPr>
        <w:spacing w:after="120" w:line="360" w:lineRule="auto"/>
      </w:pPr>
      <w:r w:rsidRPr="000F7E56">
        <w:lastRenderedPageBreak/>
        <w:t xml:space="preserve">In other cases, participants pointed to the effectiveness of treatment and the apparent stability of the patient’s condition. This gave grounds for optimism and discouraged anticipation of a negative and threatening future which was regarded as detrimental to the patient’s well-being.  </w:t>
      </w:r>
    </w:p>
    <w:p w14:paraId="28CCEA01" w14:textId="4414DF3D" w:rsidR="000F7E56" w:rsidRPr="000F7E56" w:rsidRDefault="000F7E56" w:rsidP="00966DB7">
      <w:pPr>
        <w:widowControl w:val="0"/>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spacing w:after="120" w:line="360" w:lineRule="auto"/>
        <w:ind w:left="720"/>
        <w:rPr>
          <w:rFonts w:cstheme="minorHAnsi"/>
          <w:i/>
          <w:color w:val="00000A"/>
        </w:rPr>
      </w:pPr>
      <w:r w:rsidRPr="000F7E56">
        <w:rPr>
          <w:rFonts w:cstheme="minorHAnsi"/>
          <w:i/>
          <w:color w:val="00000A"/>
        </w:rPr>
        <w:t xml:space="preserve">I am not quite sure when would be the best time for that. Because if her condition is stable and I don't think she needs to concentrate any more on the afterlife than she is now. </w:t>
      </w:r>
      <w:r w:rsidRPr="000F7E56">
        <w:rPr>
          <w:rFonts w:cstheme="minorHAnsi"/>
          <w:color w:val="00000A"/>
        </w:rPr>
        <w:t>(Mrs Cheng’s husband, 1</w:t>
      </w:r>
      <w:r w:rsidRPr="000F7E56">
        <w:rPr>
          <w:rFonts w:cstheme="minorHAnsi"/>
          <w:color w:val="00000A"/>
          <w:vertAlign w:val="superscript"/>
        </w:rPr>
        <w:t>st</w:t>
      </w:r>
      <w:r w:rsidRPr="000F7E56">
        <w:rPr>
          <w:rFonts w:cstheme="minorHAnsi"/>
          <w:color w:val="00000A"/>
        </w:rPr>
        <w:t xml:space="preserve"> interview).</w:t>
      </w:r>
    </w:p>
    <w:p w14:paraId="5839EC06" w14:textId="77777777" w:rsidR="000F7E56" w:rsidRPr="000F7E56" w:rsidRDefault="000F7E56" w:rsidP="000F7E56">
      <w:pPr>
        <w:spacing w:after="120" w:line="360" w:lineRule="auto"/>
      </w:pPr>
      <w:r w:rsidRPr="000F7E56">
        <w:t>Religious belief and culture played an important role in the lives and values of most families in the study and participants from different faiths held strong convictions regarding divine determination of the moment and manner of their death. From this perspective, it was pointless, as well as presumptuous, to anticipate, plan for, or attempt to determine how and when one’s life will end (Mrs Campbell):</w:t>
      </w:r>
    </w:p>
    <w:p w14:paraId="41207CD8" w14:textId="77777777" w:rsidR="000F7E56" w:rsidRPr="000F7E56" w:rsidRDefault="000F7E56" w:rsidP="000F7E56">
      <w:pPr>
        <w:tabs>
          <w:tab w:val="left" w:pos="709"/>
          <w:tab w:val="left" w:pos="1418"/>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120" w:line="360" w:lineRule="auto"/>
        <w:ind w:left="720"/>
      </w:pPr>
      <w:r w:rsidRPr="000F7E56">
        <w:rPr>
          <w:i/>
        </w:rPr>
        <w:t xml:space="preserve">I said, ‘Who I am to ask my God?’ That would be presumptuous. So, I said I don't ask God questions. He is my God, why should I question him? He is the one who made me, I shouldn't question him. </w:t>
      </w:r>
      <w:r w:rsidRPr="000F7E56">
        <w:t>(Mrs Campbell, 1st interview).</w:t>
      </w:r>
    </w:p>
    <w:p w14:paraId="16623C12" w14:textId="77777777" w:rsidR="000F7E56" w:rsidRPr="000F7E56" w:rsidRDefault="000F7E56" w:rsidP="000F7E56">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120" w:line="360" w:lineRule="auto"/>
        <w:rPr>
          <w:rFonts w:ascii="Calibri" w:hAnsi="Calibri" w:cs="Calibri"/>
          <w:b/>
          <w:bCs/>
          <w:i/>
        </w:rPr>
      </w:pPr>
      <w:r w:rsidRPr="000F7E56">
        <w:rPr>
          <w:rFonts w:ascii="Arial" w:hAnsi="Arial" w:cs="Arial"/>
          <w:color w:val="00000A"/>
          <w:sz w:val="24"/>
          <w:szCs w:val="24"/>
        </w:rPr>
        <w:tab/>
      </w:r>
      <w:r w:rsidRPr="000F7E56">
        <w:rPr>
          <w:rFonts w:ascii="Calibri" w:hAnsi="Calibri" w:cs="Calibri"/>
          <w:b/>
          <w:bCs/>
        </w:rPr>
        <w:t>Researcher</w:t>
      </w:r>
      <w:r w:rsidRPr="000F7E56">
        <w:rPr>
          <w:rFonts w:ascii="Calibri" w:hAnsi="Calibri" w:cs="Calibri"/>
          <w:b/>
          <w:bCs/>
          <w:i/>
        </w:rPr>
        <w:t>: So you are not thinking about the care you might get as time …?</w:t>
      </w:r>
    </w:p>
    <w:p w14:paraId="51A72A99" w14:textId="77777777" w:rsidR="000F7E56" w:rsidRPr="000F7E56" w:rsidRDefault="000F7E56" w:rsidP="000F7E56">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120" w:line="360" w:lineRule="auto"/>
        <w:rPr>
          <w:rFonts w:ascii="Calibri" w:hAnsi="Calibri" w:cs="Calibri"/>
          <w:i/>
          <w:sz w:val="24"/>
          <w:szCs w:val="24"/>
        </w:rPr>
      </w:pPr>
      <w:r w:rsidRPr="000F7E56">
        <w:rPr>
          <w:rFonts w:ascii="Calibri" w:hAnsi="Calibri" w:cs="Calibri"/>
          <w:i/>
          <w:sz w:val="24"/>
          <w:szCs w:val="24"/>
        </w:rPr>
        <w:tab/>
        <w:t>No, whatever happens it’s in God’s hands.</w:t>
      </w:r>
      <w:r w:rsidRPr="000F7E56">
        <w:rPr>
          <w:rFonts w:ascii="Calibri" w:hAnsi="Calibri" w:cs="Calibri"/>
          <w:sz w:val="24"/>
          <w:szCs w:val="24"/>
        </w:rPr>
        <w:t xml:space="preserve"> (Mrs </w:t>
      </w:r>
      <w:proofErr w:type="spellStart"/>
      <w:r w:rsidRPr="000F7E56">
        <w:rPr>
          <w:rFonts w:ascii="Calibri" w:hAnsi="Calibri" w:cs="Calibri"/>
          <w:sz w:val="24"/>
          <w:szCs w:val="24"/>
        </w:rPr>
        <w:t>Challa</w:t>
      </w:r>
      <w:proofErr w:type="spellEnd"/>
      <w:r w:rsidRPr="000F7E56">
        <w:rPr>
          <w:rFonts w:ascii="Calibri" w:hAnsi="Calibri" w:cs="Calibri"/>
          <w:sz w:val="24"/>
          <w:szCs w:val="24"/>
        </w:rPr>
        <w:t>, 1</w:t>
      </w:r>
      <w:r w:rsidRPr="000F7E56">
        <w:rPr>
          <w:rFonts w:ascii="Calibri" w:hAnsi="Calibri" w:cs="Calibri"/>
          <w:sz w:val="24"/>
          <w:szCs w:val="24"/>
          <w:vertAlign w:val="superscript"/>
        </w:rPr>
        <w:t>st</w:t>
      </w:r>
      <w:r w:rsidRPr="000F7E56">
        <w:rPr>
          <w:rFonts w:ascii="Calibri" w:hAnsi="Calibri" w:cs="Calibri"/>
          <w:sz w:val="24"/>
          <w:szCs w:val="24"/>
        </w:rPr>
        <w:t xml:space="preserve"> interview).</w:t>
      </w:r>
    </w:p>
    <w:p w14:paraId="151A01EE" w14:textId="77777777" w:rsidR="000F7E56" w:rsidRPr="000F7E56" w:rsidRDefault="000F7E56" w:rsidP="000F7E56">
      <w:pPr>
        <w:spacing w:after="120" w:line="360" w:lineRule="auto"/>
      </w:pPr>
      <w:r w:rsidRPr="000F7E56">
        <w:t xml:space="preserve">Religious belief in divine intervention was one reason for families to express a preference for active treatment to maintain the patient’s life at all costs, though this stance was not limited to those with a strong religious affiliation.  </w:t>
      </w:r>
    </w:p>
    <w:p w14:paraId="21C8D2D7" w14:textId="77777777" w:rsidR="000F7E56" w:rsidRPr="000F7E56" w:rsidRDefault="000F7E56" w:rsidP="000F7E56">
      <w:pPr>
        <w:spacing w:after="120" w:line="360" w:lineRule="auto"/>
        <w:ind w:left="720"/>
        <w:rPr>
          <w:b/>
          <w:bCs/>
          <w:i/>
        </w:rPr>
      </w:pPr>
      <w:r w:rsidRPr="000F7E56">
        <w:rPr>
          <w:b/>
          <w:bCs/>
        </w:rPr>
        <w:t>Researcher:</w:t>
      </w:r>
      <w:r w:rsidRPr="000F7E56">
        <w:rPr>
          <w:b/>
          <w:bCs/>
          <w:i/>
        </w:rPr>
        <w:t xml:space="preserve"> I guess what I want to know is, has anybody talked to you about end-of-life care planning?</w:t>
      </w:r>
    </w:p>
    <w:p w14:paraId="304D519B" w14:textId="77777777" w:rsidR="000F7E56" w:rsidRPr="000F7E56" w:rsidRDefault="000F7E56" w:rsidP="000F7E56">
      <w:pPr>
        <w:spacing w:after="120" w:line="360" w:lineRule="auto"/>
        <w:ind w:left="720"/>
        <w:rPr>
          <w:i/>
        </w:rPr>
      </w:pPr>
      <w:r w:rsidRPr="000F7E56">
        <w:t>(Via interpreter)</w:t>
      </w:r>
      <w:r w:rsidRPr="000F7E56">
        <w:rPr>
          <w:i/>
        </w:rPr>
        <w:t xml:space="preserve"> So, they believe, they have got faith in God so whatever comes, comes and has to be accepted and faced. No one has talked to them about this end-of-life care plan and the question about I don't want this to happen. So that question relating it to the chemotherapy he says ‘no they would like right to the very end for her to be having this treatment’.</w:t>
      </w:r>
      <w:r w:rsidRPr="000F7E56">
        <w:t xml:space="preserve"> (Mrs </w:t>
      </w:r>
      <w:proofErr w:type="spellStart"/>
      <w:r w:rsidRPr="000F7E56">
        <w:t>Challa’s</w:t>
      </w:r>
      <w:proofErr w:type="spellEnd"/>
      <w:r w:rsidRPr="000F7E56">
        <w:t xml:space="preserve"> husband, 1</w:t>
      </w:r>
      <w:r w:rsidRPr="000F7E56">
        <w:rPr>
          <w:vertAlign w:val="superscript"/>
        </w:rPr>
        <w:t>st</w:t>
      </w:r>
      <w:r w:rsidRPr="000F7E56">
        <w:t xml:space="preserve"> interview). </w:t>
      </w:r>
    </w:p>
    <w:p w14:paraId="2140766F" w14:textId="77777777" w:rsidR="000F7E56" w:rsidRPr="000F7E56" w:rsidRDefault="000F7E56" w:rsidP="000F7E56">
      <w:pPr>
        <w:spacing w:after="120" w:line="360" w:lineRule="auto"/>
        <w:ind w:left="720"/>
        <w:rPr>
          <w:i/>
        </w:rPr>
      </w:pPr>
      <w:r w:rsidRPr="000F7E56">
        <w:rPr>
          <w:i/>
        </w:rPr>
        <w:t>I think it’s hard to let go, that's what it is, it’s hard to let go. I just don't think, especially my sister, she was very close to my dad really, really close to him so it’s very difficult for her to let go. She was very adamant no, let him keep going let him keep going, keep him alive as long as possible sort of thing</w:t>
      </w:r>
      <w:r w:rsidRPr="000F7E56">
        <w:t xml:space="preserve">. (Mr </w:t>
      </w:r>
      <w:proofErr w:type="spellStart"/>
      <w:r w:rsidRPr="000F7E56">
        <w:t>Beshara’s</w:t>
      </w:r>
      <w:proofErr w:type="spellEnd"/>
      <w:r w:rsidRPr="000F7E56">
        <w:t xml:space="preserve"> son).</w:t>
      </w:r>
    </w:p>
    <w:p w14:paraId="410C52F8" w14:textId="77777777" w:rsidR="000F7E56" w:rsidRPr="000F7E56" w:rsidRDefault="000F7E56" w:rsidP="000F7E56">
      <w:pPr>
        <w:spacing w:after="120" w:line="360" w:lineRule="auto"/>
      </w:pPr>
    </w:p>
    <w:p w14:paraId="10D7DB59" w14:textId="77777777" w:rsidR="000F7E56" w:rsidRPr="000F7E56" w:rsidRDefault="000F7E56" w:rsidP="000F7E56">
      <w:pPr>
        <w:spacing w:after="120" w:line="360" w:lineRule="auto"/>
      </w:pPr>
      <w:r w:rsidRPr="000F7E56">
        <w:lastRenderedPageBreak/>
        <w:t xml:space="preserve">Although a tendency for therapeutic optimism was common, where the family had lacked awareness of how gravely ill the patient was, the occurrence of unexpected deterioration and death could be a devastating experience, following which participants could feel regret that they had been denied the chance to prepare and to make the best use of the time they had remaining. </w:t>
      </w:r>
    </w:p>
    <w:p w14:paraId="4406A459" w14:textId="77777777" w:rsidR="000F7E56" w:rsidRPr="000F7E56" w:rsidRDefault="000F7E56" w:rsidP="000F7E56">
      <w:pPr>
        <w:spacing w:after="120" w:line="360" w:lineRule="auto"/>
        <w:ind w:left="720"/>
        <w:contextualSpacing/>
        <w:rPr>
          <w:i/>
        </w:rPr>
      </w:pPr>
      <w:r w:rsidRPr="000F7E56">
        <w:rPr>
          <w:i/>
        </w:rPr>
        <w:t xml:space="preserve">Obviously, we used those last moments in the best way that you can. It wasn't always accurate though because you know she tended to go over the time limit that they gave. But at least it was mentally preparing everybody, it’s important for the family to be able to kind of reach the stage where they have acceptance and they are able to let go. ......Because if they are not told then they will just carry on with life as usual and then maybe in the last moments the people around them are not there and they need to be there... </w:t>
      </w:r>
      <w:r w:rsidRPr="000F7E56">
        <w:t xml:space="preserve">(Mrs </w:t>
      </w:r>
      <w:proofErr w:type="spellStart"/>
      <w:r w:rsidRPr="000F7E56">
        <w:t>Chandyo’s</w:t>
      </w:r>
      <w:proofErr w:type="spellEnd"/>
      <w:r w:rsidRPr="000F7E56">
        <w:t xml:space="preserve"> daughter, post-bereavement interview). </w:t>
      </w:r>
    </w:p>
    <w:p w14:paraId="4DDBBAF4" w14:textId="77777777" w:rsidR="000F7E56" w:rsidRPr="000F7E56" w:rsidRDefault="000F7E56" w:rsidP="000F7E56">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spacing w:after="120" w:line="360" w:lineRule="auto"/>
        <w:ind w:left="720"/>
        <w:rPr>
          <w:i/>
        </w:rPr>
      </w:pPr>
      <w:r w:rsidRPr="000F7E56">
        <w:rPr>
          <w:i/>
        </w:rPr>
        <w:t xml:space="preserve">I feel they didn't make it clear to me, they just needed to say clearly, ‘Your mum is at end-of-life and there is nothing we can do for her medically. We can make her comfortable and ease her pain but we can't make her better.’ If they had said that to me in those words I would know exactly where I would have been with mum. As a family we would have known what do to... </w:t>
      </w:r>
      <w:r w:rsidRPr="000F7E56">
        <w:t xml:space="preserve">(Mrs </w:t>
      </w:r>
      <w:proofErr w:type="spellStart"/>
      <w:r w:rsidRPr="000F7E56">
        <w:t>Bakshi’s</w:t>
      </w:r>
      <w:proofErr w:type="spellEnd"/>
      <w:r w:rsidRPr="000F7E56">
        <w:t xml:space="preserve"> daughter)</w:t>
      </w:r>
    </w:p>
    <w:p w14:paraId="01A00D91" w14:textId="77777777" w:rsidR="000F7E56" w:rsidRPr="000F7E56" w:rsidRDefault="000F7E56" w:rsidP="000F7E56">
      <w:pPr>
        <w:spacing w:after="120" w:line="360" w:lineRule="auto"/>
      </w:pPr>
      <w:r w:rsidRPr="000F7E56">
        <w:t xml:space="preserve">The pace of illness: slow, fast, variable, cyclical, uneven, shaped family expectations for the future.  Participants were sometimes taken by surprise at the speed with which the final decline and death occurred. Even when people were ‘aware’ that death was, or could be imminent, they were still shocked when it came. </w:t>
      </w:r>
    </w:p>
    <w:p w14:paraId="74352EDE" w14:textId="11DCC01F" w:rsidR="000F7E56" w:rsidRPr="000F7E56" w:rsidRDefault="000F7E56" w:rsidP="000F7E56">
      <w:pPr>
        <w:spacing w:after="120" w:line="360" w:lineRule="auto"/>
        <w:ind w:right="397"/>
      </w:pPr>
      <w:r w:rsidRPr="000F7E56">
        <w:t xml:space="preserve">It also appeared that there was quite a lot of vague language used in communication between patients, FCGs and HCPs. In some cases, HCPs described talking about treatment not being curative but apparently </w:t>
      </w:r>
      <w:r w:rsidR="00C75976">
        <w:t>l</w:t>
      </w:r>
      <w:r w:rsidRPr="000F7E56">
        <w:t xml:space="preserve">eft open the question of when and if, it might eventually fail. </w:t>
      </w:r>
    </w:p>
    <w:p w14:paraId="3753E785" w14:textId="77777777" w:rsidR="000F7E56" w:rsidRPr="000F7E56" w:rsidRDefault="000F7E56" w:rsidP="000F7E56">
      <w:pPr>
        <w:spacing w:after="120" w:line="360" w:lineRule="auto"/>
        <w:ind w:left="720" w:right="397"/>
        <w:rPr>
          <w:i/>
        </w:rPr>
      </w:pPr>
      <w:r w:rsidRPr="000F7E56">
        <w:rPr>
          <w:i/>
        </w:rPr>
        <w:t xml:space="preserve">So, we kind of had a lot of talks around you know this isn't something that we are going to be able to sort of cure and he knows he has got to live with it until such time as it isn't going to be manageable. </w:t>
      </w:r>
      <w:r w:rsidRPr="000F7E56">
        <w:t xml:space="preserve">(Mr </w:t>
      </w:r>
      <w:proofErr w:type="spellStart"/>
      <w:r w:rsidRPr="000F7E56">
        <w:t>Chitnis</w:t>
      </w:r>
      <w:proofErr w:type="spellEnd"/>
      <w:r w:rsidRPr="000F7E56">
        <w:t xml:space="preserve">’ HCP, 1st interview). </w:t>
      </w:r>
    </w:p>
    <w:p w14:paraId="28E5BBD9" w14:textId="77777777" w:rsidR="000F7E56" w:rsidRPr="000F7E56" w:rsidRDefault="000F7E56" w:rsidP="000F7E56">
      <w:pPr>
        <w:spacing w:after="120" w:line="360" w:lineRule="auto"/>
        <w:ind w:right="397"/>
      </w:pPr>
      <w:r w:rsidRPr="000F7E56">
        <w:t xml:space="preserve">Although vague and indeterminate language may have been the preferred mode of discourse for many families it made it difficult for individuals who did want guidance about what to anticipate in future to obtain this. Several patients and/or FCGs were critical of what they considered to be professional evasion or unwillingness to provide a definite prognosis or information about their future treatment options.  </w:t>
      </w:r>
    </w:p>
    <w:p w14:paraId="10644834" w14:textId="77777777" w:rsidR="000F7E56" w:rsidRPr="000F7E56" w:rsidRDefault="000F7E56" w:rsidP="000F7E56">
      <w:pPr>
        <w:spacing w:after="120" w:line="360" w:lineRule="auto"/>
        <w:ind w:left="720"/>
        <w:rPr>
          <w:i/>
        </w:rPr>
      </w:pPr>
      <w:r w:rsidRPr="000F7E56">
        <w:rPr>
          <w:i/>
          <w:iCs/>
        </w:rPr>
        <w:t xml:space="preserve">I saw him [hospital doctor] last week and my cancer is growing, I have got … aggressive cancer and its growing very rapidly now, it seems to be moving along. And I said to him, ‘Where is it then?’ No answer. And now they are saying .... there is a specialist scan and I said, ‘Is that going to show up </w:t>
      </w:r>
      <w:r w:rsidRPr="000F7E56">
        <w:rPr>
          <w:i/>
          <w:iCs/>
        </w:rPr>
        <w:lastRenderedPageBreak/>
        <w:t>where the cancer [is]?’, and he said, ‘Well, I don't know much about…’, He has to find out. And you know I said, ‘Why wasn't this done before we went through the radiotherapy so that we know exactly where it is so that we know when I have the radiotherapy it’s going to work?’ No answer.</w:t>
      </w:r>
      <w:r w:rsidRPr="000F7E56">
        <w:rPr>
          <w:i/>
          <w:iCs/>
        </w:rPr>
        <w:tab/>
        <w:t xml:space="preserve"> </w:t>
      </w:r>
      <w:r w:rsidRPr="000F7E56">
        <w:t xml:space="preserve">(Mr </w:t>
      </w:r>
      <w:proofErr w:type="spellStart"/>
      <w:r w:rsidRPr="000F7E56">
        <w:t>Cobbina</w:t>
      </w:r>
      <w:proofErr w:type="spellEnd"/>
      <w:r w:rsidRPr="000F7E56">
        <w:t xml:space="preserve"> 2nd interview).</w:t>
      </w:r>
    </w:p>
    <w:p w14:paraId="7232BA98" w14:textId="77777777" w:rsidR="000F7E56" w:rsidRPr="000F7E56" w:rsidRDefault="000F7E56" w:rsidP="000F7E56">
      <w:pPr>
        <w:spacing w:after="120" w:line="360" w:lineRule="auto"/>
        <w:ind w:right="397"/>
      </w:pPr>
      <w:r w:rsidRPr="000F7E56">
        <w:t xml:space="preserve">Patient and FCG accounts of professional vagueness and prevarication was corroborated in some HCP accounts. </w:t>
      </w:r>
    </w:p>
    <w:p w14:paraId="1F2D52E8" w14:textId="5B07A35B" w:rsidR="000F7E56" w:rsidRPr="000F7E56" w:rsidRDefault="000F7E56" w:rsidP="000F7E56">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spacing w:after="120" w:line="360" w:lineRule="auto"/>
        <w:ind w:left="709"/>
        <w:rPr>
          <w:rFonts w:cstheme="minorHAnsi"/>
          <w:bCs/>
          <w:i/>
        </w:rPr>
      </w:pPr>
      <w:r w:rsidRPr="000F7E56">
        <w:rPr>
          <w:rFonts w:cstheme="minorHAnsi"/>
        </w:rPr>
        <w:t xml:space="preserve">Mr </w:t>
      </w:r>
      <w:proofErr w:type="spellStart"/>
      <w:r w:rsidRPr="000F7E56">
        <w:rPr>
          <w:rFonts w:cstheme="minorHAnsi"/>
        </w:rPr>
        <w:t>Cobbina’s</w:t>
      </w:r>
      <w:proofErr w:type="spellEnd"/>
      <w:r w:rsidRPr="000F7E56">
        <w:rPr>
          <w:rFonts w:cstheme="minorHAnsi"/>
        </w:rPr>
        <w:t xml:space="preserve"> HCP:</w:t>
      </w:r>
      <w:r w:rsidRPr="000F7E56">
        <w:rPr>
          <w:rFonts w:cstheme="minorHAnsi"/>
          <w:i/>
        </w:rPr>
        <w:t xml:space="preserve"> ...the conversations ...with this patient have more been about planning for the future as opposed to thinking about when his future, when it’s going to end...we have talked about what if the cancer kills him....... But as far as I am aware at the moment we don't see that happening in the future, certainly not the near future.... he is quite pessimistic and so for me to go in and start talking about end-of-life care with a patient who isn't end-of-life</w:t>
      </w:r>
      <w:r w:rsidR="00835B60">
        <w:rPr>
          <w:rFonts w:cstheme="minorHAnsi"/>
          <w:i/>
        </w:rPr>
        <w:t xml:space="preserve"> </w:t>
      </w:r>
      <w:r w:rsidRPr="000F7E56">
        <w:rPr>
          <w:rFonts w:cstheme="minorHAnsi"/>
          <w:i/>
        </w:rPr>
        <w:t>yet would for him in particular would be awful, I feel, because you know he needs to try and be more positive...</w:t>
      </w:r>
    </w:p>
    <w:p w14:paraId="28D24129" w14:textId="77777777" w:rsidR="000F7E56" w:rsidRPr="000F7E56" w:rsidRDefault="000F7E56" w:rsidP="000F7E56">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spacing w:after="120" w:line="360" w:lineRule="auto"/>
        <w:ind w:left="709"/>
        <w:rPr>
          <w:rFonts w:cstheme="minorHAnsi"/>
          <w:bCs/>
          <w:i/>
        </w:rPr>
      </w:pPr>
      <w:r w:rsidRPr="000F7E56">
        <w:rPr>
          <w:rFonts w:cstheme="minorHAnsi"/>
          <w:b/>
          <w:bCs/>
        </w:rPr>
        <w:t>Researcher:</w:t>
      </w:r>
      <w:r w:rsidRPr="000F7E56">
        <w:rPr>
          <w:rFonts w:cstheme="minorHAnsi"/>
          <w:b/>
          <w:bCs/>
          <w:i/>
        </w:rPr>
        <w:t xml:space="preserve"> But you did say you have had some sort of planning discussions..</w:t>
      </w:r>
      <w:r w:rsidRPr="000F7E56">
        <w:rPr>
          <w:rFonts w:cstheme="minorHAnsi"/>
          <w:bCs/>
          <w:i/>
        </w:rPr>
        <w:t>.?</w:t>
      </w:r>
    </w:p>
    <w:p w14:paraId="251A822F" w14:textId="77777777" w:rsidR="000F7E56" w:rsidRPr="000F7E56" w:rsidRDefault="000F7E56" w:rsidP="000F7E56">
      <w:pPr>
        <w:spacing w:after="120" w:line="360" w:lineRule="auto"/>
        <w:ind w:left="709" w:right="397"/>
        <w:rPr>
          <w:rFonts w:cstheme="minorHAnsi"/>
          <w:i/>
        </w:rPr>
      </w:pPr>
      <w:r w:rsidRPr="000F7E56">
        <w:rPr>
          <w:rFonts w:cstheme="minorHAnsi"/>
        </w:rPr>
        <w:t xml:space="preserve">Mr </w:t>
      </w:r>
      <w:proofErr w:type="spellStart"/>
      <w:r w:rsidRPr="000F7E56">
        <w:rPr>
          <w:rFonts w:cstheme="minorHAnsi"/>
        </w:rPr>
        <w:t>Cobbina’s</w:t>
      </w:r>
      <w:proofErr w:type="spellEnd"/>
      <w:r w:rsidRPr="000F7E56">
        <w:rPr>
          <w:rFonts w:cstheme="minorHAnsi"/>
        </w:rPr>
        <w:t xml:space="preserve"> HCP</w:t>
      </w:r>
      <w:r w:rsidRPr="000F7E56" w:rsidDel="00640A46">
        <w:rPr>
          <w:rFonts w:cstheme="minorHAnsi"/>
        </w:rPr>
        <w:t>:</w:t>
      </w:r>
      <w:r w:rsidRPr="000F7E56">
        <w:rPr>
          <w:rFonts w:cstheme="minorHAnsi"/>
          <w:i/>
        </w:rPr>
        <w:t xml:space="preserve"> Yes, only because he has talked about it, he has said to me you know, ‘But what will happen in the future?’, and I said, ‘Well, we don't know that yet, we don't know what is going to happen in the future. But when that time comes or if that time comes then that's when we will need to talk about what needs to happen and where you want to be and that sort of thing.’ But, I haven't had, I can't, because he is not at that stage. I wouldn't talk to, I didn't discuss end-of-life with him because I am not aware that he is dying from his prostate cancer.</w:t>
      </w:r>
    </w:p>
    <w:p w14:paraId="05011913" w14:textId="77777777" w:rsidR="000F7E56" w:rsidRPr="000F7E56" w:rsidRDefault="000F7E56" w:rsidP="000F7E56">
      <w:pPr>
        <w:spacing w:after="120" w:line="360" w:lineRule="auto"/>
      </w:pPr>
      <w:r w:rsidRPr="000F7E56">
        <w:t xml:space="preserve">Thus, accounts from both patients and HCPs indicated that patients’ efforts to raise the topic of future deterioration could be evaded or rebuffed. Professional accounts often aligned with those of patients and FCGs who considered that it would be inappropriate, and possibly damaging, to engage in discussion of end-of-life care progression and options substantially in advance of their occurrence. </w:t>
      </w:r>
    </w:p>
    <w:p w14:paraId="162B92C5" w14:textId="77777777" w:rsidR="000F7E56" w:rsidRPr="000F7E56" w:rsidRDefault="000F7E56" w:rsidP="000F7E56">
      <w:pPr>
        <w:keepNext/>
        <w:keepLines/>
        <w:spacing w:before="40" w:after="0" w:line="360" w:lineRule="auto"/>
        <w:outlineLvl w:val="1"/>
        <w:rPr>
          <w:rFonts w:asciiTheme="majorHAnsi" w:eastAsiaTheme="majorEastAsia" w:hAnsiTheme="majorHAnsi" w:cstheme="majorBidi"/>
          <w:color w:val="2F5496" w:themeColor="accent1" w:themeShade="BF"/>
          <w:sz w:val="24"/>
          <w:szCs w:val="24"/>
        </w:rPr>
      </w:pPr>
      <w:bookmarkStart w:id="290" w:name="_Toc89763988"/>
      <w:bookmarkStart w:id="291" w:name="_Toc106697817"/>
      <w:bookmarkEnd w:id="288"/>
      <w:bookmarkEnd w:id="289"/>
      <w:r w:rsidRPr="000F7E56">
        <w:rPr>
          <w:rFonts w:asciiTheme="majorHAnsi" w:eastAsiaTheme="majorEastAsia" w:hAnsiTheme="majorHAnsi" w:cstheme="majorBidi"/>
          <w:color w:val="2F5496" w:themeColor="accent1" w:themeShade="BF"/>
          <w:sz w:val="24"/>
          <w:szCs w:val="24"/>
        </w:rPr>
        <w:t>Health care professional perspectives</w:t>
      </w:r>
      <w:bookmarkEnd w:id="290"/>
      <w:bookmarkEnd w:id="291"/>
    </w:p>
    <w:p w14:paraId="20AA5122" w14:textId="77777777" w:rsidR="000F7E56" w:rsidRPr="000F7E56" w:rsidRDefault="000F7E56" w:rsidP="000F7E56">
      <w:pPr>
        <w:spacing w:after="120" w:line="360" w:lineRule="auto"/>
      </w:pPr>
      <w:r w:rsidRPr="000F7E56">
        <w:t xml:space="preserve">Most of the HCPs nominated by our patient participants to take part in the case studies were nurses from a range of acute specialist or community roles. They varied in the extent to which they knew the patient or details of their personal and family circumstances. Some HCPs were surprised to have been nominated by patients to participate in the study due to what they considered to be a brief or low-level involvement with the patient. Many did not see EOLCP discussions as falling within their remit. Specialist nurses, for example, engaged with patients, potentially for a long time, in providing active treatment which was the focus of their interaction.  When treatment options ran out, the patient was discharged and referred on to palliative or community care services, who were considered responsible for having such conversations. Thus, even those HCPS who had a long- term relationship with patients did not necessarily consider that it was </w:t>
      </w:r>
      <w:r w:rsidRPr="000F7E56">
        <w:lastRenderedPageBreak/>
        <w:t xml:space="preserve">appropriate for them to raise the topic of future deterioration and care. This could depend on the configuration of services around specific illnesses. HCPs caring for patients receiving long-term treatment did not consider that it was relevant or appropriate to raise end-of-life care topics when the patient was still receiving active treatment and was not close to death. They felt this would cause needless alarm and undermine the patient’s hope. They were also concerned that such a change of tack would damage their relationship with the patient and her family. </w:t>
      </w:r>
    </w:p>
    <w:p w14:paraId="40F7365B" w14:textId="77777777" w:rsidR="000F7E56" w:rsidRPr="000F7E56" w:rsidRDefault="000F7E56" w:rsidP="000F7E56">
      <w:pPr>
        <w:spacing w:after="120" w:line="360" w:lineRule="auto"/>
      </w:pPr>
      <w:r w:rsidRPr="000F7E56">
        <w:t xml:space="preserve">In these contexts, thinking ahead only became relevant when the end-of-life was close. In the preceding extracts, such discussions were not perceived to be staff responsibility. However, it appeared that the nature of the illness (e.g. MND and myeloma) and how different services were organised to provide treatment could shape the duration and quality of relationships between patients and staff, and whether HCPs considered discussion of end-of-life care to fall within their remit. One specialist MND nurse described how patients remained within the care of the service from diagnosis right through to the end-of-life. In this context, she and her colleagues considered initiation of future planning discussions to be part of their role. </w:t>
      </w:r>
    </w:p>
    <w:p w14:paraId="66ED12F4" w14:textId="77777777" w:rsidR="000F7E56" w:rsidRPr="000F7E56" w:rsidRDefault="000F7E56" w:rsidP="000F7E56">
      <w:pPr>
        <w:spacing w:after="120" w:line="360" w:lineRule="auto"/>
        <w:ind w:left="720"/>
      </w:pPr>
      <w:r w:rsidRPr="000F7E56">
        <w:rPr>
          <w:i/>
        </w:rPr>
        <w:t>I act like a key worker for them so I can refer people to other health care professionals that they may need to see.... We can refer them to any of the aspects of care that [hospice name] offer right from diagnosis.... then they are followed up .... supporting them in any way we can .... whether its emotionally, physically, psychologically, practically. For both the person with the MND and their family. And we will see them right to the end of their journey, until they die</w:t>
      </w:r>
      <w:r w:rsidRPr="000F7E56">
        <w:t>....</w:t>
      </w:r>
      <w:r w:rsidRPr="000F7E56">
        <w:rPr>
          <w:i/>
        </w:rPr>
        <w:t xml:space="preserve"> If I felt it was important to talk to him [case patient] about it [EOL] I would.  And ... if something cropped up in conversation you know and I had that moment....to open up discussions I would</w:t>
      </w:r>
      <w:r w:rsidRPr="000F7E56">
        <w:t>...</w:t>
      </w:r>
      <w:r w:rsidRPr="000F7E56" w:rsidDel="004E111D">
        <w:t xml:space="preserve"> </w:t>
      </w:r>
      <w:r w:rsidRPr="000F7E56">
        <w:t>(Mr Chakraborty’s HCP).</w:t>
      </w:r>
    </w:p>
    <w:p w14:paraId="2FFD08F0" w14:textId="77777777" w:rsidR="000F7E56" w:rsidRPr="000F7E56" w:rsidRDefault="000F7E56" w:rsidP="000F7E56">
      <w:pPr>
        <w:spacing w:after="120" w:line="360" w:lineRule="auto"/>
      </w:pPr>
      <w:r w:rsidRPr="000F7E56">
        <w:t xml:space="preserve">In cases where the patient suffered complex morbidities and/or treatment and had been referred to many different services, it was difficult for individual HCPs to know if and when future planning had been discussed.  </w:t>
      </w:r>
    </w:p>
    <w:p w14:paraId="194CA10D" w14:textId="77777777" w:rsidR="000F7E56" w:rsidRPr="000F7E56" w:rsidRDefault="000F7E56" w:rsidP="000F7E56">
      <w:pPr>
        <w:spacing w:after="120" w:line="360" w:lineRule="auto"/>
        <w:ind w:left="720" w:right="397"/>
        <w:contextualSpacing/>
        <w:rPr>
          <w:i/>
        </w:rPr>
      </w:pPr>
      <w:r w:rsidRPr="000F7E56">
        <w:rPr>
          <w:i/>
        </w:rPr>
        <w:t xml:space="preserve">So, I think particularly in the acute setting if you come in with ... an immediate illness .... you deal with that because that's the emergency part. And then, you know, it might be that the teams swap over or they go to a different ward and when the patient is...medically fit ...they go home. But then if they come back into hospital they are not going to be under the same team. So, it’s almost seen as another acute episode rather than a progression of the previous problem. </w:t>
      </w:r>
      <w:r w:rsidRPr="000F7E56">
        <w:t>(Mrs Chadha’s HCP).</w:t>
      </w:r>
    </w:p>
    <w:p w14:paraId="2BCB3C9A" w14:textId="77777777" w:rsidR="000F7E56" w:rsidRPr="000F7E56" w:rsidRDefault="000F7E56" w:rsidP="000F7E56">
      <w:pPr>
        <w:spacing w:after="120" w:line="360" w:lineRule="auto"/>
        <w:ind w:left="720" w:right="397"/>
        <w:contextualSpacing/>
        <w:rPr>
          <w:i/>
        </w:rPr>
      </w:pPr>
    </w:p>
    <w:p w14:paraId="2EE0A15C" w14:textId="77777777" w:rsidR="000F7E56" w:rsidRPr="000F7E56" w:rsidRDefault="000F7E56" w:rsidP="000F7E56">
      <w:pPr>
        <w:spacing w:after="120" w:line="360" w:lineRule="auto"/>
      </w:pPr>
      <w:r w:rsidRPr="000F7E56">
        <w:t xml:space="preserve">There was a congruence between professional and lay perspectives about discussion of thinking ahead, and in many cases professional (non)responses may have been well tuned to patient preferences. However, for </w:t>
      </w:r>
      <w:r w:rsidRPr="000F7E56">
        <w:lastRenderedPageBreak/>
        <w:t xml:space="preserve">those individuals – a minority in our study – who did want to know a clear prognosis and to discuss their future options, the lack of professional awareness and responsiveness could be deeply frustrating and damaging. </w:t>
      </w:r>
    </w:p>
    <w:p w14:paraId="7A9B0FD9" w14:textId="77777777" w:rsidR="000F7E56" w:rsidRPr="000F7E56" w:rsidRDefault="000F7E56" w:rsidP="000F7E56">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spacing w:after="120" w:line="360" w:lineRule="auto"/>
        <w:ind w:left="709" w:right="397"/>
        <w:rPr>
          <w:rFonts w:cstheme="minorHAnsi"/>
          <w:i/>
          <w:color w:val="00000A"/>
        </w:rPr>
      </w:pPr>
      <w:r w:rsidRPr="000F7E56">
        <w:t xml:space="preserve">... </w:t>
      </w:r>
      <w:r w:rsidRPr="000F7E56">
        <w:rPr>
          <w:rFonts w:cstheme="minorHAnsi"/>
          <w:i/>
          <w:color w:val="00000A"/>
        </w:rPr>
        <w:t>you know I found it very strange when he [doctor] is saying, oh he doesn't know what to do and oh they have found something on the scan but he doesn't know what it is. And I found it very strange because he is supposed to be a consultant he is supposed to be the top man and they should know these things because they come across it day in and day out. I started doing my research online and I said could it be this or could it be that then he snapped at me to say, ‘Oh, we are the experts, you should listen to us, there is no need for you to do research.’</w:t>
      </w:r>
      <w:r w:rsidRPr="000F7E56">
        <w:rPr>
          <w:rFonts w:cstheme="minorHAnsi"/>
          <w:i/>
          <w:color w:val="00000A"/>
        </w:rPr>
        <w:tab/>
      </w:r>
    </w:p>
    <w:p w14:paraId="29BBF856" w14:textId="77777777" w:rsidR="000F7E56" w:rsidRPr="000F7E56" w:rsidRDefault="000F7E56" w:rsidP="000F7E56">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spacing w:after="120" w:line="360" w:lineRule="auto"/>
        <w:ind w:left="709" w:right="397"/>
        <w:rPr>
          <w:rFonts w:cstheme="minorHAnsi"/>
          <w:color w:val="00000A"/>
        </w:rPr>
      </w:pPr>
      <w:r w:rsidRPr="000F7E56">
        <w:rPr>
          <w:rFonts w:cstheme="minorHAnsi"/>
          <w:color w:val="00000A"/>
        </w:rPr>
        <w:t xml:space="preserve">(Mr </w:t>
      </w:r>
      <w:proofErr w:type="spellStart"/>
      <w:r w:rsidRPr="000F7E56">
        <w:rPr>
          <w:rFonts w:cstheme="minorHAnsi"/>
          <w:color w:val="00000A"/>
        </w:rPr>
        <w:t>Cobbina</w:t>
      </w:r>
      <w:proofErr w:type="spellEnd"/>
      <w:r w:rsidRPr="000F7E56">
        <w:rPr>
          <w:rFonts w:cstheme="minorHAnsi"/>
          <w:color w:val="00000A"/>
        </w:rPr>
        <w:t>, 3rd interview).</w:t>
      </w:r>
    </w:p>
    <w:p w14:paraId="2B32C280" w14:textId="77777777" w:rsidR="000F7E56" w:rsidRPr="000F7E56" w:rsidRDefault="000F7E56" w:rsidP="000F7E56">
      <w:pPr>
        <w:spacing w:after="120" w:line="360" w:lineRule="auto"/>
        <w:ind w:left="720"/>
        <w:rPr>
          <w:rFonts w:cstheme="minorHAnsi"/>
          <w:i/>
          <w:color w:val="00000A"/>
        </w:rPr>
      </w:pPr>
      <w:r w:rsidRPr="000F7E56">
        <w:rPr>
          <w:i/>
          <w:iCs/>
          <w:sz w:val="24"/>
          <w:szCs w:val="24"/>
        </w:rPr>
        <w:t xml:space="preserve"> </w:t>
      </w:r>
      <w:r w:rsidRPr="000F7E56">
        <w:rPr>
          <w:rFonts w:cstheme="minorHAnsi"/>
          <w:i/>
          <w:color w:val="00000A"/>
        </w:rPr>
        <w:t xml:space="preserve">And the doctors are not being, they are not giving me a, how can I put it, a prognosis. It’s a wait and see approach so they are not sure, it’s just monitoring… And the doctors are unwilling to say you have got X amount of I don't know, a year or five years to live or, so I don't know.                 </w:t>
      </w:r>
    </w:p>
    <w:p w14:paraId="555C785F" w14:textId="77777777" w:rsidR="000F7E56" w:rsidRPr="000F7E56" w:rsidRDefault="000F7E56" w:rsidP="000F7E56">
      <w:pPr>
        <w:spacing w:after="120" w:line="360" w:lineRule="auto"/>
        <w:ind w:left="720"/>
        <w:rPr>
          <w:iCs/>
          <w:sz w:val="24"/>
          <w:szCs w:val="24"/>
        </w:rPr>
      </w:pPr>
      <w:r w:rsidRPr="000F7E56">
        <w:rPr>
          <w:rFonts w:cstheme="minorHAnsi"/>
          <w:color w:val="00000A"/>
        </w:rPr>
        <w:t xml:space="preserve">(Mr </w:t>
      </w:r>
      <w:proofErr w:type="spellStart"/>
      <w:r w:rsidRPr="000F7E56">
        <w:rPr>
          <w:rFonts w:cstheme="minorHAnsi"/>
          <w:color w:val="00000A"/>
        </w:rPr>
        <w:t>Chifamba</w:t>
      </w:r>
      <w:proofErr w:type="spellEnd"/>
      <w:r w:rsidRPr="000F7E56">
        <w:rPr>
          <w:rFonts w:cstheme="minorHAnsi"/>
          <w:color w:val="00000A"/>
        </w:rPr>
        <w:t>, 2nd interview).</w:t>
      </w:r>
      <w:r w:rsidRPr="000F7E56" w:rsidDel="00CA37FB">
        <w:rPr>
          <w:iCs/>
          <w:sz w:val="24"/>
          <w:szCs w:val="24"/>
        </w:rPr>
        <w:t xml:space="preserve"> </w:t>
      </w:r>
    </w:p>
    <w:p w14:paraId="5782C67A" w14:textId="77777777" w:rsidR="000F7E56" w:rsidRPr="000F7E56" w:rsidRDefault="000F7E56" w:rsidP="000F7E56">
      <w:pPr>
        <w:spacing w:after="120" w:line="360" w:lineRule="auto"/>
      </w:pPr>
      <w:r w:rsidRPr="000F7E56">
        <w:t xml:space="preserve">Professionals may convey mixed messages about prognosis, which may be intrinsically uncertain, and also inadvertently mislead by not being explicit, in which case the family may persist with unrealistic aspirations – for example, that the patient may even recover (which is not entirely unreasonable where the patient has made heroic recoveries from illness episodes in the past). </w:t>
      </w:r>
    </w:p>
    <w:p w14:paraId="4F051AB9" w14:textId="1AAD0924" w:rsidR="000F7E56" w:rsidRPr="000F7E56" w:rsidRDefault="000F7E56" w:rsidP="000F7E56">
      <w:pPr>
        <w:keepNext/>
        <w:keepLines/>
        <w:spacing w:before="40" w:after="0" w:line="360" w:lineRule="auto"/>
        <w:outlineLvl w:val="1"/>
        <w:rPr>
          <w:rFonts w:asciiTheme="majorHAnsi" w:eastAsiaTheme="majorEastAsia" w:hAnsiTheme="majorHAnsi" w:cstheme="majorBidi"/>
          <w:color w:val="2F5496" w:themeColor="accent1" w:themeShade="BF"/>
          <w:sz w:val="24"/>
          <w:szCs w:val="24"/>
        </w:rPr>
      </w:pPr>
      <w:bookmarkStart w:id="292" w:name="_Toc89763989"/>
      <w:bookmarkStart w:id="293" w:name="_Toc106697818"/>
      <w:r w:rsidRPr="000F7E56">
        <w:rPr>
          <w:rFonts w:asciiTheme="majorHAnsi" w:eastAsiaTheme="majorEastAsia" w:hAnsiTheme="majorHAnsi" w:cstheme="majorBidi"/>
          <w:color w:val="2F5496" w:themeColor="accent1" w:themeShade="BF"/>
          <w:sz w:val="24"/>
          <w:szCs w:val="24"/>
        </w:rPr>
        <w:t xml:space="preserve">Initiation of </w:t>
      </w:r>
      <w:r w:rsidR="00A53BDE">
        <w:rPr>
          <w:rFonts w:asciiTheme="majorHAnsi" w:eastAsiaTheme="majorEastAsia" w:hAnsiTheme="majorHAnsi" w:cstheme="majorBidi"/>
          <w:color w:val="2F5496" w:themeColor="accent1" w:themeShade="BF"/>
          <w:sz w:val="24"/>
          <w:szCs w:val="24"/>
        </w:rPr>
        <w:t>end-of-life care planning</w:t>
      </w:r>
      <w:r w:rsidRPr="000F7E56">
        <w:rPr>
          <w:rFonts w:asciiTheme="majorHAnsi" w:eastAsiaTheme="majorEastAsia" w:hAnsiTheme="majorHAnsi" w:cstheme="majorBidi"/>
          <w:color w:val="2F5496" w:themeColor="accent1" w:themeShade="BF"/>
          <w:sz w:val="24"/>
          <w:szCs w:val="24"/>
        </w:rPr>
        <w:t xml:space="preserve"> discussions</w:t>
      </w:r>
      <w:bookmarkEnd w:id="292"/>
      <w:bookmarkEnd w:id="293"/>
    </w:p>
    <w:p w14:paraId="11DF1456" w14:textId="77777777" w:rsidR="000F7E56" w:rsidRPr="000F7E56" w:rsidRDefault="000F7E56" w:rsidP="000F7E56">
      <w:pPr>
        <w:spacing w:line="360" w:lineRule="auto"/>
      </w:pPr>
      <w:r w:rsidRPr="000F7E56">
        <w:t xml:space="preserve">Regardless of role and experience, HCPs felt that it was important that end-of-life discussions should not be initiated before the patient was ‘ready’. They tended to wait for patient cues that this was the case, and capitalised on opportunities as they arose, rather than initiate discussion pre-emptively. If the topic was raised, HCPs were prepared to withdraw quickly if they encountered resistance. It was important to respect the patient’s agenda, rather than risk causing distress and damaging relationships with patients and families which may have taken considerable time to establish. </w:t>
      </w:r>
    </w:p>
    <w:p w14:paraId="361BD4A6" w14:textId="77777777" w:rsidR="000F7E56" w:rsidRPr="000F7E56" w:rsidRDefault="000F7E56" w:rsidP="000F7E56">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spacing w:after="0" w:line="360" w:lineRule="auto"/>
        <w:ind w:left="720"/>
        <w:contextualSpacing/>
        <w:rPr>
          <w:rFonts w:cstheme="minorHAnsi"/>
          <w:i/>
          <w:color w:val="00000A"/>
        </w:rPr>
      </w:pPr>
      <w:r w:rsidRPr="000F7E56">
        <w:rPr>
          <w:rFonts w:cstheme="minorHAnsi"/>
          <w:i/>
          <w:color w:val="00000A"/>
        </w:rPr>
        <w:t xml:space="preserve">Some patients are very open about wanting to talk about the future and you know give you many cues and you can sort of, you know, have conversations very easily. Certainly, when I first met him [Mr </w:t>
      </w:r>
      <w:proofErr w:type="spellStart"/>
      <w:r w:rsidRPr="000F7E56">
        <w:rPr>
          <w:rFonts w:cstheme="minorHAnsi"/>
          <w:i/>
          <w:color w:val="00000A"/>
        </w:rPr>
        <w:t>Chitnis</w:t>
      </w:r>
      <w:proofErr w:type="spellEnd"/>
      <w:r w:rsidRPr="000F7E56">
        <w:rPr>
          <w:rFonts w:cstheme="minorHAnsi"/>
          <w:i/>
          <w:color w:val="00000A"/>
        </w:rPr>
        <w:t>] he was definitely not that patient, he did not want to discuss, he was very fearful ....getting better that was his absolute priority.</w:t>
      </w:r>
      <w:r w:rsidRPr="000F7E56">
        <w:rPr>
          <w:rFonts w:cstheme="minorHAnsi"/>
          <w:i/>
          <w:color w:val="00000A"/>
        </w:rPr>
        <w:tab/>
      </w:r>
      <w:r w:rsidRPr="000F7E56">
        <w:rPr>
          <w:rFonts w:cstheme="minorHAnsi"/>
          <w:color w:val="00000A"/>
        </w:rPr>
        <w:t xml:space="preserve">(Mr </w:t>
      </w:r>
      <w:proofErr w:type="spellStart"/>
      <w:r w:rsidRPr="000F7E56">
        <w:rPr>
          <w:rFonts w:cstheme="minorHAnsi"/>
          <w:color w:val="00000A"/>
        </w:rPr>
        <w:t>Chitnis</w:t>
      </w:r>
      <w:proofErr w:type="spellEnd"/>
      <w:r w:rsidRPr="000F7E56">
        <w:rPr>
          <w:rFonts w:cstheme="minorHAnsi"/>
          <w:color w:val="00000A"/>
        </w:rPr>
        <w:t>’ HCP).</w:t>
      </w:r>
    </w:p>
    <w:p w14:paraId="64B9C0FD" w14:textId="77777777" w:rsidR="000F7E56" w:rsidRPr="000F7E56" w:rsidRDefault="000F7E56" w:rsidP="000F7E56">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spacing w:after="0" w:line="360" w:lineRule="auto"/>
        <w:ind w:left="720"/>
        <w:contextualSpacing/>
        <w:rPr>
          <w:rFonts w:cstheme="minorHAnsi"/>
          <w:i/>
          <w:iCs/>
          <w:color w:val="00000A"/>
          <w:sz w:val="24"/>
          <w:szCs w:val="24"/>
        </w:rPr>
      </w:pPr>
    </w:p>
    <w:p w14:paraId="452D9E33" w14:textId="77777777" w:rsidR="000F7E56" w:rsidRPr="000F7E56" w:rsidRDefault="000F7E56" w:rsidP="000F7E56">
      <w:pPr>
        <w:spacing w:after="120" w:line="360" w:lineRule="auto"/>
      </w:pPr>
      <w:r w:rsidRPr="000F7E56">
        <w:t xml:space="preserve">Even where community and palliative care staff acknowledged discussion of EOLCP as part of their role, they too were cautious about introducing the topic before the patient was ‘ready’. Around two-thirds of </w:t>
      </w:r>
      <w:r w:rsidRPr="000F7E56">
        <w:lastRenderedPageBreak/>
        <w:t xml:space="preserve">HCPs nominated by patients in the case studies had not (yet) explicitly raised the topic of death and dying with the patients or their families. HCPs considered that it was important to elicit and address patient concerns and fears at any point but this did not necessarily end up in a discussion of death and dying. Alongside this was an indication that some patients did express fears and concerns for the future, something they found hard to articulate, and that HCPs may not have been recognising. Patient concerns and preferences can be shifting and volatile. Several HCPs observed that while they generally try to avoid a direct approach if patients are not inviting discussion, sometimes situations arise (e.g. rapid deterioration) where the subject of EOLC has to be broached, regardless of patient readiness or ‘good’ relationships being in place. </w:t>
      </w:r>
    </w:p>
    <w:p w14:paraId="021AE0C6" w14:textId="77777777" w:rsidR="000F7E56" w:rsidRPr="000F7E56" w:rsidRDefault="000F7E56" w:rsidP="000F7E56">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spacing w:after="120" w:line="360" w:lineRule="auto"/>
        <w:ind w:left="720"/>
        <w:contextualSpacing/>
        <w:jc w:val="both"/>
        <w:rPr>
          <w:rFonts w:cstheme="minorHAnsi"/>
          <w:color w:val="00000A"/>
        </w:rPr>
      </w:pPr>
      <w:r w:rsidRPr="000F7E56">
        <w:rPr>
          <w:rFonts w:cstheme="minorHAnsi"/>
          <w:i/>
          <w:iCs/>
          <w:color w:val="00000A"/>
        </w:rPr>
        <w:t xml:space="preserve">…you get people who don't want to talk about it at all, people who want to talk </w:t>
      </w:r>
      <w:r w:rsidRPr="000F7E56">
        <w:rPr>
          <w:rFonts w:cstheme="minorHAnsi"/>
        </w:rPr>
        <w:t>about</w:t>
      </w:r>
      <w:r w:rsidRPr="000F7E56">
        <w:rPr>
          <w:rFonts w:cstheme="minorHAnsi"/>
          <w:i/>
          <w:iCs/>
          <w:color w:val="00000A"/>
        </w:rPr>
        <w:t xml:space="preserve"> it every time you see them and then there are people in the middle</w:t>
      </w:r>
      <w:r w:rsidRPr="000F7E56">
        <w:rPr>
          <w:rFonts w:cstheme="minorHAnsi"/>
          <w:color w:val="00000A"/>
        </w:rPr>
        <w:t>. (Mr Chakraborty’s HCP</w:t>
      </w:r>
      <w:r w:rsidRPr="000F7E56">
        <w:rPr>
          <w:rFonts w:cstheme="minorHAnsi"/>
          <w:iCs/>
        </w:rPr>
        <w:t>).</w:t>
      </w:r>
    </w:p>
    <w:p w14:paraId="5C2DC207" w14:textId="77777777" w:rsidR="000F7E56" w:rsidRPr="000F7E56" w:rsidRDefault="000F7E56" w:rsidP="000F7E56">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spacing w:after="120" w:line="360" w:lineRule="auto"/>
        <w:ind w:left="720"/>
        <w:contextualSpacing/>
        <w:jc w:val="both"/>
        <w:rPr>
          <w:rFonts w:cstheme="minorHAnsi"/>
          <w:color w:val="00000A"/>
        </w:rPr>
      </w:pPr>
    </w:p>
    <w:p w14:paraId="627965ED" w14:textId="77777777" w:rsidR="000F7E56" w:rsidRPr="000F7E56" w:rsidRDefault="000F7E56" w:rsidP="000F7E56">
      <w:pPr>
        <w:spacing w:after="120" w:line="360" w:lineRule="auto"/>
        <w:ind w:left="720"/>
        <w:rPr>
          <w:rFonts w:cstheme="minorHAnsi"/>
        </w:rPr>
      </w:pPr>
      <w:r w:rsidRPr="000F7E56">
        <w:rPr>
          <w:rFonts w:cstheme="minorHAnsi"/>
        </w:rPr>
        <w:t>...</w:t>
      </w:r>
      <w:r w:rsidRPr="000F7E56">
        <w:rPr>
          <w:rFonts w:cstheme="minorHAnsi"/>
          <w:i/>
        </w:rPr>
        <w:t xml:space="preserve">quite often I will sort of say if people are absolutely, they do not want to talk about it then I will say, ‘That's absolutely fine, you know just bear in mind that you know I am here to have those conversations should you change your mind. And I may come back to you again in a few months’ time and bring it up again. But you know if you don't want to talk about it that's fine.’ </w:t>
      </w:r>
      <w:r w:rsidRPr="000F7E56">
        <w:rPr>
          <w:rFonts w:cstheme="minorHAnsi"/>
        </w:rPr>
        <w:t xml:space="preserve">(Mr </w:t>
      </w:r>
      <w:proofErr w:type="spellStart"/>
      <w:r w:rsidRPr="000F7E56">
        <w:rPr>
          <w:rFonts w:cstheme="minorHAnsi"/>
        </w:rPr>
        <w:t>Chitnis</w:t>
      </w:r>
      <w:proofErr w:type="spellEnd"/>
      <w:r w:rsidRPr="000F7E56">
        <w:rPr>
          <w:rFonts w:cstheme="minorHAnsi"/>
        </w:rPr>
        <w:t>’ HCP).</w:t>
      </w:r>
    </w:p>
    <w:p w14:paraId="66482EB4" w14:textId="7209FE0D" w:rsidR="000F7E56" w:rsidRPr="000F7E56" w:rsidRDefault="000F7E56" w:rsidP="000F7E56">
      <w:pPr>
        <w:keepNext/>
        <w:keepLines/>
        <w:spacing w:before="40" w:after="0" w:line="360" w:lineRule="auto"/>
        <w:outlineLvl w:val="1"/>
        <w:rPr>
          <w:rFonts w:asciiTheme="majorHAnsi" w:eastAsiaTheme="majorEastAsia" w:hAnsiTheme="majorHAnsi" w:cstheme="majorBidi"/>
          <w:color w:val="2F5496" w:themeColor="accent1" w:themeShade="BF"/>
          <w:sz w:val="24"/>
          <w:szCs w:val="24"/>
        </w:rPr>
      </w:pPr>
      <w:bookmarkStart w:id="294" w:name="_Toc89763990"/>
      <w:bookmarkStart w:id="295" w:name="_Toc106697819"/>
      <w:r w:rsidRPr="000F7E56">
        <w:rPr>
          <w:rFonts w:asciiTheme="majorHAnsi" w:eastAsiaTheme="majorEastAsia" w:hAnsiTheme="majorHAnsi" w:cstheme="majorBidi"/>
          <w:color w:val="2F5496" w:themeColor="accent1" w:themeShade="BF"/>
          <w:sz w:val="24"/>
          <w:szCs w:val="24"/>
        </w:rPr>
        <w:t xml:space="preserve">Setting for </w:t>
      </w:r>
      <w:r w:rsidR="00DA32BF">
        <w:rPr>
          <w:rFonts w:asciiTheme="majorHAnsi" w:eastAsiaTheme="majorEastAsia" w:hAnsiTheme="majorHAnsi" w:cstheme="majorBidi"/>
          <w:color w:val="2F5496" w:themeColor="accent1" w:themeShade="BF"/>
          <w:sz w:val="24"/>
          <w:szCs w:val="24"/>
        </w:rPr>
        <w:t>end-of-life care</w:t>
      </w:r>
      <w:r w:rsidRPr="000F7E56">
        <w:rPr>
          <w:rFonts w:asciiTheme="majorHAnsi" w:eastAsiaTheme="majorEastAsia" w:hAnsiTheme="majorHAnsi" w:cstheme="majorBidi"/>
          <w:color w:val="2F5496" w:themeColor="accent1" w:themeShade="BF"/>
          <w:sz w:val="24"/>
          <w:szCs w:val="24"/>
        </w:rPr>
        <w:t xml:space="preserve"> discussions</w:t>
      </w:r>
      <w:bookmarkEnd w:id="294"/>
      <w:bookmarkEnd w:id="295"/>
      <w:r w:rsidRPr="000F7E56">
        <w:rPr>
          <w:rFonts w:asciiTheme="majorHAnsi" w:eastAsiaTheme="majorEastAsia" w:hAnsiTheme="majorHAnsi" w:cstheme="majorBidi"/>
          <w:color w:val="2F5496" w:themeColor="accent1" w:themeShade="BF"/>
          <w:sz w:val="24"/>
          <w:szCs w:val="24"/>
        </w:rPr>
        <w:t xml:space="preserve"> </w:t>
      </w:r>
    </w:p>
    <w:p w14:paraId="7A34A806" w14:textId="77777777" w:rsidR="000F7E56" w:rsidRPr="000F7E56" w:rsidRDefault="000F7E56" w:rsidP="000F7E56">
      <w:pPr>
        <w:spacing w:after="120" w:line="360" w:lineRule="auto"/>
      </w:pPr>
      <w:r w:rsidRPr="000F7E56">
        <w:t xml:space="preserve">The location or setting in which end-of-life care discussions occurred was an important factor determining family experience and response. One of the key ‘sites’ for such discussions was in the acute setting following the patient’s admission for a health crisis when staff routinely raised the issue of resuscitation.  Exchanges were often described as fraught in these settings. Relatives described being suddenly confronted by the gravity of the patient’s illness and being put under pressure to make momentous decisions about resuscitation and other treatments by staff working under pressure who lacked empathy and time to communicate with care and consideration. </w:t>
      </w:r>
    </w:p>
    <w:p w14:paraId="511ED8F4" w14:textId="77777777" w:rsidR="000F7E56" w:rsidRPr="000F7E56" w:rsidRDefault="000F7E56" w:rsidP="000F7E56">
      <w:pPr>
        <w:spacing w:line="360" w:lineRule="auto"/>
        <w:ind w:left="720"/>
      </w:pPr>
      <w:r w:rsidRPr="000F7E56">
        <w:rPr>
          <w:i/>
        </w:rPr>
        <w:t xml:space="preserve">...he was quite dismissive in his manner, he was quite harsh. And my sister at one time had to say to him. ‘I am not discussing this anymore because you are upsetting me.’ He was quite brutal. He wasn't saying what was involved, he was, ‘Well what is your decision going to be? what is your decision going to be?’ Repeating the same thing...in the hospital he seemed to think we had got the medical knowledge and we knew exactly what was involved...just having been told that your mother has now got a mass of cancer...and you are expected within seconds to be able to attempt to instruct them on what then needs to happen I just think was completely unrealistic. </w:t>
      </w:r>
      <w:r w:rsidRPr="000F7E56">
        <w:t xml:space="preserve">(Mrs </w:t>
      </w:r>
      <w:proofErr w:type="spellStart"/>
      <w:r w:rsidRPr="000F7E56">
        <w:t>Curkovic’s</w:t>
      </w:r>
      <w:proofErr w:type="spellEnd"/>
      <w:r w:rsidRPr="000F7E56">
        <w:t xml:space="preserve"> daughter-consultee, 1st interview).</w:t>
      </w:r>
    </w:p>
    <w:p w14:paraId="2775DC56" w14:textId="77777777" w:rsidR="000F7E56" w:rsidRPr="000F7E56" w:rsidRDefault="000F7E56" w:rsidP="000F7E56">
      <w:pPr>
        <w:spacing w:after="120" w:line="360" w:lineRule="auto"/>
      </w:pPr>
      <w:r w:rsidRPr="000F7E56">
        <w:lastRenderedPageBreak/>
        <w:t xml:space="preserve">Much more positive experiences were described when EOLCP was discussed in the patient’s home or community health care setting. Several patients and HCPs described having been invited by their GP to make an appointment to complete an advance care plan, and there were some accounts of specialist community and hospice nurses raising EOLC issues in the patient’s home for families to consider and discuss over time, before reaching their decision. </w:t>
      </w:r>
    </w:p>
    <w:p w14:paraId="6F92A4F5" w14:textId="77777777" w:rsidR="000F7E56" w:rsidRPr="000F7E56" w:rsidRDefault="000F7E56" w:rsidP="000F7E56">
      <w:pPr>
        <w:spacing w:after="120" w:line="360" w:lineRule="auto"/>
        <w:ind w:left="720"/>
        <w:rPr>
          <w:i/>
        </w:rPr>
      </w:pPr>
      <w:r w:rsidRPr="000F7E56">
        <w:rPr>
          <w:i/>
        </w:rPr>
        <w:t>...it was very painful, but yes, we had her [patient’s] daughters and my daughter and everybody round and then she explained but it was really, really helpful.  Without that I think we would still be guessing what would happen next, what medication would she have or what would she do.... they have a lot of time to support...and yeah to reassure...(Mrs Bansal’s daughter in law).</w:t>
      </w:r>
    </w:p>
    <w:p w14:paraId="67CF4369" w14:textId="77777777" w:rsidR="000F7E56" w:rsidRPr="000F7E56" w:rsidRDefault="000F7E56" w:rsidP="000F7E56">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spacing w:after="120" w:line="360" w:lineRule="auto"/>
        <w:rPr>
          <w:rFonts w:ascii="Arial" w:hAnsi="Arial" w:cs="Arial"/>
          <w:color w:val="00000A"/>
          <w:sz w:val="24"/>
          <w:szCs w:val="24"/>
        </w:rPr>
      </w:pPr>
      <w:r w:rsidRPr="000F7E56">
        <w:t xml:space="preserve">It was reportedly common for family members to be present when professionals raised the topic of EOLC with patients. Indeed, in some cases the patient never spoke to an HCP alone, especially where translators were required. Professionals sometimes spoke to family members first, before discussing issues with the patient.  </w:t>
      </w:r>
    </w:p>
    <w:p w14:paraId="155A0F74" w14:textId="77777777" w:rsidR="000F7E56" w:rsidRPr="000F7E56" w:rsidRDefault="000F7E56" w:rsidP="000F7E56">
      <w:pPr>
        <w:spacing w:after="120" w:line="360" w:lineRule="auto"/>
        <w:ind w:left="720"/>
        <w:rPr>
          <w:i/>
          <w:iCs/>
        </w:rPr>
      </w:pPr>
      <w:r w:rsidRPr="000F7E56">
        <w:rPr>
          <w:i/>
          <w:iCs/>
        </w:rPr>
        <w:t xml:space="preserve">When the GP wanted to do ... an end-of-life care plan he called me in first and he is like, ‘Right, you need to talk to your dad about this’, and I was like, ‘How am I supposed to tell my dad about this?’  </w:t>
      </w:r>
      <w:r w:rsidRPr="000F7E56">
        <w:rPr>
          <w:iCs/>
        </w:rPr>
        <w:t xml:space="preserve">(Mr </w:t>
      </w:r>
      <w:proofErr w:type="spellStart"/>
      <w:r w:rsidRPr="000F7E56">
        <w:rPr>
          <w:iCs/>
        </w:rPr>
        <w:t>Chandhary’s</w:t>
      </w:r>
      <w:proofErr w:type="spellEnd"/>
      <w:r w:rsidRPr="000F7E56">
        <w:rPr>
          <w:iCs/>
        </w:rPr>
        <w:t xml:space="preserve"> daughter, 2nd interview</w:t>
      </w:r>
      <w:r w:rsidRPr="000F7E56">
        <w:rPr>
          <w:i/>
          <w:iCs/>
        </w:rPr>
        <w:t>).</w:t>
      </w:r>
    </w:p>
    <w:p w14:paraId="3B0F95BB" w14:textId="77777777" w:rsidR="000F7E56" w:rsidRPr="000F7E56" w:rsidRDefault="000F7E56" w:rsidP="000F7E56">
      <w:pPr>
        <w:spacing w:after="120" w:line="360" w:lineRule="auto"/>
      </w:pPr>
      <w:r w:rsidRPr="000F7E56">
        <w:t xml:space="preserve">Discussion between family members and professionals could happen because the patient was acutely ill or unconscious, e.g. during an acute admission, or because they lacked cognitive capacity, but was also described in situations where the family had become the established interlocutor in the case, rather than the patient. Some patients seemed to be content for their relatives to lead in discussion and decision-making with HCPs, and in liaising with services. However, especially where there was a need for professional or family translators, there was a significant risk that the patient’s voice was overridden or not heard. </w:t>
      </w:r>
    </w:p>
    <w:p w14:paraId="5FEFF070" w14:textId="77777777" w:rsidR="000F7E56" w:rsidRPr="000F7E56" w:rsidRDefault="000F7E56" w:rsidP="000F7E56">
      <w:pPr>
        <w:keepNext/>
        <w:keepLines/>
        <w:spacing w:before="40" w:after="0" w:line="360" w:lineRule="auto"/>
        <w:outlineLvl w:val="1"/>
        <w:rPr>
          <w:rFonts w:asciiTheme="majorHAnsi" w:eastAsiaTheme="majorEastAsia" w:hAnsiTheme="majorHAnsi" w:cstheme="majorBidi"/>
          <w:color w:val="2F5496" w:themeColor="accent1" w:themeShade="BF"/>
          <w:sz w:val="24"/>
          <w:szCs w:val="24"/>
        </w:rPr>
      </w:pPr>
      <w:bookmarkStart w:id="296" w:name="_Toc89763991"/>
      <w:bookmarkStart w:id="297" w:name="_Toc106697820"/>
      <w:r w:rsidRPr="000F7E56">
        <w:rPr>
          <w:rFonts w:asciiTheme="majorHAnsi" w:eastAsiaTheme="majorEastAsia" w:hAnsiTheme="majorHAnsi" w:cstheme="majorBidi"/>
          <w:color w:val="2F5496" w:themeColor="accent1" w:themeShade="BF"/>
          <w:sz w:val="24"/>
          <w:szCs w:val="24"/>
        </w:rPr>
        <w:t>End-of-life care topics</w:t>
      </w:r>
      <w:bookmarkEnd w:id="296"/>
      <w:bookmarkEnd w:id="297"/>
      <w:r w:rsidRPr="000F7E56">
        <w:rPr>
          <w:rFonts w:asciiTheme="majorHAnsi" w:eastAsiaTheme="majorEastAsia" w:hAnsiTheme="majorHAnsi" w:cstheme="majorBidi"/>
          <w:color w:val="2F5496" w:themeColor="accent1" w:themeShade="BF"/>
          <w:sz w:val="24"/>
          <w:szCs w:val="24"/>
        </w:rPr>
        <w:t xml:space="preserve"> </w:t>
      </w:r>
    </w:p>
    <w:p w14:paraId="12E7D9CC" w14:textId="77777777" w:rsidR="000F7E56" w:rsidRPr="000F7E56" w:rsidRDefault="000F7E56" w:rsidP="000F7E56">
      <w:pPr>
        <w:spacing w:after="120" w:line="360" w:lineRule="auto"/>
      </w:pPr>
      <w:r w:rsidRPr="000F7E56">
        <w:t xml:space="preserve">One issue that arose in interviews with all participants, professionals as well as patients and FCGs, was the indeterminacy of what constituted discussion of ‘EOLCP’. A few participants described being prompted to make an appointment with a GP or nurse to discuss and document the patient’s care plan. However, in most cases, professionals did not articulate a specific agenda to ‘have an EOLCP discussion’ and patients and family care givers were not familiar with this term or what it involved. Indeed, the criteria for determining what should be included, whether an EOLCP discussion had taken place, or what needed to be considered to establish that it had taken place, were unclear. Consequently, some patients and FCGs reported not having engaged in EOLCP but later described episodes in which aspects of this, e.g. decisions about DNACPR or preferred place of death, had been considered. Regardless of whether patients and </w:t>
      </w:r>
      <w:r w:rsidRPr="000F7E56">
        <w:lastRenderedPageBreak/>
        <w:t xml:space="preserve">families identified specific topics as relating to thinking ahead, a number of key topics recurred in their accounts. </w:t>
      </w:r>
    </w:p>
    <w:p w14:paraId="639B2A2B" w14:textId="7C13BC6A" w:rsidR="000F7E56" w:rsidRPr="000F7E56" w:rsidRDefault="00AE3D59" w:rsidP="000F7E56">
      <w:pPr>
        <w:keepNext/>
        <w:keepLines/>
        <w:spacing w:before="40" w:after="0" w:line="276" w:lineRule="auto"/>
        <w:outlineLvl w:val="2"/>
        <w:rPr>
          <w:rFonts w:asciiTheme="majorHAnsi" w:eastAsiaTheme="majorEastAsia" w:hAnsiTheme="majorHAnsi" w:cstheme="majorBidi"/>
          <w:color w:val="1F3763" w:themeColor="accent1" w:themeShade="7F"/>
          <w:sz w:val="24"/>
          <w:szCs w:val="24"/>
        </w:rPr>
      </w:pPr>
      <w:bookmarkStart w:id="298" w:name="_Toc106697821"/>
      <w:r>
        <w:rPr>
          <w:rFonts w:asciiTheme="majorHAnsi" w:eastAsiaTheme="majorEastAsia" w:hAnsiTheme="majorHAnsi" w:cstheme="majorBidi"/>
          <w:color w:val="1F3763" w:themeColor="accent1" w:themeShade="7F"/>
          <w:sz w:val="24"/>
          <w:szCs w:val="24"/>
        </w:rPr>
        <w:t>DNACPR</w:t>
      </w:r>
      <w:bookmarkEnd w:id="298"/>
    </w:p>
    <w:p w14:paraId="52ADA343" w14:textId="77777777" w:rsidR="000F7E56" w:rsidRPr="000F7E56" w:rsidRDefault="000F7E56" w:rsidP="000F7E56">
      <w:pPr>
        <w:spacing w:after="120" w:line="360" w:lineRule="auto"/>
      </w:pPr>
      <w:r w:rsidRPr="000F7E56">
        <w:t>In a majority of case studies and half of the bereaved FCG interviews, DNACPR was the most frequently and extensively referenced issue. It was often described as a very difficult and sometimes protracted decision for the patient and, commonly, their family. Patients and families tended to be more willing to continue active treatment at all costs than HCPs thought was appropriate. For some families, agreeing to a DNACPR instruction, was described as tantamount to ‘</w:t>
      </w:r>
      <w:r w:rsidRPr="000F7E56">
        <w:rPr>
          <w:i/>
        </w:rPr>
        <w:t>signing a death warrant</w:t>
      </w:r>
      <w:r w:rsidRPr="000F7E56">
        <w:t xml:space="preserve">” and </w:t>
      </w:r>
      <w:r w:rsidRPr="000F7E56">
        <w:rPr>
          <w:rFonts w:cstheme="minorHAnsi"/>
          <w:i/>
        </w:rPr>
        <w:t xml:space="preserve">‘saying, ‘Right, mum your life is finished now.’ </w:t>
      </w:r>
      <w:r w:rsidRPr="000F7E56">
        <w:rPr>
          <w:rFonts w:cstheme="minorHAnsi"/>
        </w:rPr>
        <w:t xml:space="preserve">(Mrs </w:t>
      </w:r>
      <w:proofErr w:type="spellStart"/>
      <w:r w:rsidRPr="000F7E56">
        <w:rPr>
          <w:rFonts w:cstheme="minorHAnsi"/>
        </w:rPr>
        <w:t>Curkovic’s</w:t>
      </w:r>
      <w:proofErr w:type="spellEnd"/>
      <w:r w:rsidRPr="000F7E56">
        <w:rPr>
          <w:rFonts w:cstheme="minorHAnsi"/>
        </w:rPr>
        <w:t xml:space="preserve"> daughter, 1</w:t>
      </w:r>
      <w:r w:rsidRPr="000F7E56">
        <w:rPr>
          <w:rFonts w:cstheme="minorHAnsi"/>
          <w:vertAlign w:val="superscript"/>
        </w:rPr>
        <w:t>st</w:t>
      </w:r>
      <w:r w:rsidRPr="000F7E56">
        <w:rPr>
          <w:rFonts w:cstheme="minorHAnsi"/>
        </w:rPr>
        <w:t xml:space="preserve"> interview)</w:t>
      </w:r>
      <w:r w:rsidRPr="000F7E56">
        <w:t xml:space="preserve">. </w:t>
      </w:r>
    </w:p>
    <w:p w14:paraId="6A5D33E7" w14:textId="77777777" w:rsidR="000F7E56" w:rsidRPr="000F7E56" w:rsidRDefault="000F7E56" w:rsidP="000F7E56">
      <w:pPr>
        <w:spacing w:after="120" w:line="360" w:lineRule="auto"/>
      </w:pPr>
      <w:r w:rsidRPr="000F7E56">
        <w:t xml:space="preserve">Some participants had been misinformed or misunderstood the nature of resuscitation and what DNACPR meant. One concern was that once an order was in place, the patient would not receive any further active treatment. </w:t>
      </w:r>
    </w:p>
    <w:p w14:paraId="149D1AB5" w14:textId="62C80A65" w:rsidR="000F7E56" w:rsidRPr="000F7E56" w:rsidRDefault="000F7E56" w:rsidP="000F7E56">
      <w:pPr>
        <w:spacing w:after="120" w:line="360" w:lineRule="auto"/>
        <w:ind w:left="720"/>
      </w:pPr>
      <w:r w:rsidRPr="000F7E56">
        <w:rPr>
          <w:i/>
        </w:rPr>
        <w:t xml:space="preserve">We have agreed to the form where it says do not resuscitate, when [HCP] came out to see us again she explained again clearly that it’s not a case of if mum got a chest infection they would say, ‘Oh, we are not doing anything.’  Or heaven forbid, she was choking at home on a piece of food that they will turn round and say no do not resuscitate - it wasn't that. </w:t>
      </w:r>
      <w:r w:rsidRPr="000F7E56">
        <w:t xml:space="preserve">(Mrs </w:t>
      </w:r>
      <w:proofErr w:type="spellStart"/>
      <w:r w:rsidRPr="000F7E56">
        <w:t>Curkovic’s</w:t>
      </w:r>
      <w:proofErr w:type="spellEnd"/>
      <w:r w:rsidRPr="000F7E56">
        <w:t xml:space="preserve"> daughter-consultee, 2nd interview).</w:t>
      </w:r>
    </w:p>
    <w:p w14:paraId="6A1659E8" w14:textId="77777777" w:rsidR="000F7E56" w:rsidRPr="000F7E56" w:rsidRDefault="000F7E56" w:rsidP="000F7E56">
      <w:pPr>
        <w:spacing w:after="120" w:line="360" w:lineRule="auto"/>
      </w:pPr>
      <w:r w:rsidRPr="000F7E56">
        <w:t xml:space="preserve">In such cases the role of the HCP in taking time to understand and discuss the family’s concerns and provide accurate information about DNACPR, was critical in supporting patients and, especially, relatives, to accept eventually, however painful, the decision that resuscitation would not work if the person had died or was not appropriate as the patient would be damaged  by the treatment and would, at best, not recover to a meaningful quality of life. This was not always the case, however, and some families held out, even in the face of professional opinion. Where families had experienced the patient recovering after a severe health crisis in the past, this became a strong reason for rejecting such an instruction. </w:t>
      </w:r>
    </w:p>
    <w:p w14:paraId="76841669" w14:textId="77777777" w:rsidR="000F7E56" w:rsidRPr="000F7E56" w:rsidRDefault="000F7E56" w:rsidP="000F7E56">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spacing w:after="120" w:line="360" w:lineRule="auto"/>
        <w:ind w:left="720"/>
      </w:pPr>
      <w:r w:rsidRPr="000F7E56">
        <w:rPr>
          <w:rFonts w:ascii="Calibri" w:hAnsi="Calibri" w:cs="Calibri"/>
          <w:i/>
          <w:iCs/>
        </w:rPr>
        <w:t>I would say no straight away [to DNACPR] because like I said … when she went into a coma and they literally wrote her off with the sepsis, she pulled through.</w:t>
      </w:r>
      <w:r w:rsidRPr="000F7E56">
        <w:t xml:space="preserve"> (Mrs Chawla’s daughter, 1st interview).  </w:t>
      </w:r>
    </w:p>
    <w:p w14:paraId="445CA105" w14:textId="77777777" w:rsidR="000F7E56" w:rsidRPr="000F7E56" w:rsidRDefault="000F7E56" w:rsidP="000F7E56">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spacing w:after="120" w:line="360" w:lineRule="auto"/>
      </w:pPr>
      <w:r w:rsidRPr="000F7E56">
        <w:t>Several FCGs described having sought advice from a faith leader regarding the acceptability of refusing resuscitation. In each case it was confirmed that there was no religious objection. Discussion within families was sometimes protracted, and the locus of decision-making was quite varied. In some cases, the patient was described as the sole or main decision maker.  In others, although the matter might be discussed collectively, one or two family members were recognised to have responsibility for the decision. An additional pattern involved core family members seeking to reach consensus.</w:t>
      </w:r>
    </w:p>
    <w:p w14:paraId="309A25CB" w14:textId="77777777" w:rsidR="000F7E56" w:rsidRPr="000F7E56" w:rsidRDefault="000F7E56" w:rsidP="000F7E56">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spacing w:after="120" w:line="360" w:lineRule="auto"/>
        <w:ind w:left="720"/>
        <w:rPr>
          <w:i/>
          <w:iCs/>
        </w:rPr>
      </w:pPr>
      <w:r w:rsidRPr="000F7E56">
        <w:rPr>
          <w:i/>
          <w:iCs/>
        </w:rPr>
        <w:lastRenderedPageBreak/>
        <w:t xml:space="preserve">I am the eldest, but I don't like to make any decisions on my own. I don't want the other brothers thinking I am taking over and doing what I think is right for me and keeping them out of the situation. I wouldn't do anything without having a discussion between us. So we all agree on something and we are all happy with what is to be done... So, we would, all of us would be aware of everything that is going to go on. </w:t>
      </w:r>
      <w:r w:rsidRPr="000F7E56">
        <w:rPr>
          <w:iCs/>
        </w:rPr>
        <w:t>(Mr Chahine’s son, 2nd interview).</w:t>
      </w:r>
    </w:p>
    <w:p w14:paraId="24A8A295" w14:textId="77777777" w:rsidR="000F7E56" w:rsidRPr="000F7E56" w:rsidRDefault="000F7E56" w:rsidP="000F7E56">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spacing w:after="120" w:line="360" w:lineRule="auto"/>
      </w:pPr>
      <w:r w:rsidRPr="000F7E56">
        <w:t>In several case studies participants described the patient’s initial agreement to accept DNACPR being overturned following a period of reflection and, particularly, discussion with family members. This seemed more likely in the case of older patients who required a translator to communicate with HCPs. The extent to which the patient’s change of mind had resulted from genuine reflection and discussion within the family or had been determined by family preferences was unclear. These cases also illustrate the significant role that HCPs played, albeit inadvertently, to seek to secure an agreement to DNACPR. Participants’ accounts of such discussions highlight the importance of insightful professional recognition of ‘readiness’ to broach the topic, as well as a good knowledge of family dynamics. It also raises concerns about the risk of the patient voice being unduly influenced by HCP and FCG influence, especially in cases where an interpreter is required to mediate communication.</w:t>
      </w:r>
    </w:p>
    <w:p w14:paraId="7471ECB1" w14:textId="77777777" w:rsidR="000F7E56" w:rsidRPr="000F7E56" w:rsidRDefault="000F7E56" w:rsidP="000F7E56">
      <w:pPr>
        <w:keepNext/>
        <w:keepLines/>
        <w:spacing w:before="40" w:after="0" w:line="276" w:lineRule="auto"/>
        <w:outlineLvl w:val="2"/>
        <w:rPr>
          <w:rFonts w:asciiTheme="majorHAnsi" w:eastAsiaTheme="majorEastAsia" w:hAnsiTheme="majorHAnsi" w:cstheme="majorBidi"/>
          <w:color w:val="1F3763" w:themeColor="accent1" w:themeShade="7F"/>
          <w:sz w:val="24"/>
          <w:szCs w:val="24"/>
        </w:rPr>
      </w:pPr>
      <w:bookmarkStart w:id="299" w:name="_Toc89763993"/>
      <w:bookmarkStart w:id="300" w:name="_Toc106697822"/>
      <w:r w:rsidRPr="000F7E56">
        <w:rPr>
          <w:rFonts w:asciiTheme="majorHAnsi" w:eastAsiaTheme="majorEastAsia" w:hAnsiTheme="majorHAnsi" w:cstheme="majorBidi"/>
          <w:color w:val="1F3763" w:themeColor="accent1" w:themeShade="7F"/>
          <w:sz w:val="24"/>
          <w:szCs w:val="24"/>
        </w:rPr>
        <w:t>Preferred place of care/death (PPOC/D)</w:t>
      </w:r>
      <w:bookmarkEnd w:id="299"/>
      <w:bookmarkEnd w:id="300"/>
      <w:r w:rsidRPr="000F7E56">
        <w:rPr>
          <w:rFonts w:asciiTheme="majorHAnsi" w:eastAsiaTheme="majorEastAsia" w:hAnsiTheme="majorHAnsi" w:cstheme="majorBidi"/>
          <w:color w:val="1F3763" w:themeColor="accent1" w:themeShade="7F"/>
          <w:sz w:val="24"/>
          <w:szCs w:val="24"/>
        </w:rPr>
        <w:t xml:space="preserve"> </w:t>
      </w:r>
    </w:p>
    <w:p w14:paraId="519235D7" w14:textId="77777777" w:rsidR="000F7E56" w:rsidRPr="000F7E56" w:rsidRDefault="000F7E56" w:rsidP="000F7E56">
      <w:pPr>
        <w:spacing w:after="120" w:line="360" w:lineRule="auto"/>
      </w:pPr>
      <w:r w:rsidRPr="000F7E56">
        <w:t xml:space="preserve">Of those who reported a conversation about preferences for place of care or death (PPOC/D), around a third of patients in the case studies expressed a wish to receive care and die at home. Over half of bereaved FCGs reported having preferences for home as a PPOC/D. In two cases, patients acknowledged that although their currently desired place of care and death would be home, their illness might dictate a hospital admission and they would reconsider or accept that. Individuals were often pragmatic in their appraisal, being prepared to accept an alternative such as hospice or hospital if this should become necessary, particularly if their family care givers became unable to cope with looking after them at home. Some patients were also content to delegate this decision to family members. </w:t>
      </w:r>
    </w:p>
    <w:p w14:paraId="7128568A" w14:textId="77777777" w:rsidR="000F7E56" w:rsidRPr="000F7E56" w:rsidRDefault="000F7E56" w:rsidP="000F7E56">
      <w:pPr>
        <w:spacing w:after="120" w:line="360" w:lineRule="auto"/>
        <w:ind w:left="720"/>
        <w:rPr>
          <w:i/>
        </w:rPr>
      </w:pPr>
      <w:r w:rsidRPr="000F7E56">
        <w:rPr>
          <w:i/>
        </w:rPr>
        <w:t xml:space="preserve">Yes, they did ask me .... I said maybe in hospital if I am not very well. But I don't know how long, you ask me maybe I change my mind, maybe I want to be at home...When I am not feeling well, if I am not feeling well normally I will go to hospital, probably end up going to hospital, I don't know. Or go to hospice home but I don't know what the hospice home is like so I don't know. </w:t>
      </w:r>
      <w:r w:rsidRPr="000F7E56">
        <w:t>(Mrs Cheng, 2nd interview).</w:t>
      </w:r>
      <w:r w:rsidRPr="000F7E56">
        <w:rPr>
          <w:i/>
        </w:rPr>
        <w:t xml:space="preserve"> </w:t>
      </w:r>
    </w:p>
    <w:p w14:paraId="338CD961" w14:textId="77777777" w:rsidR="000F7E56" w:rsidRPr="000F7E56" w:rsidRDefault="000F7E56" w:rsidP="000F7E56">
      <w:pPr>
        <w:spacing w:after="120" w:line="360" w:lineRule="auto"/>
        <w:ind w:left="720"/>
        <w:rPr>
          <w:i/>
        </w:rPr>
      </w:pPr>
      <w:r w:rsidRPr="000F7E56">
        <w:rPr>
          <w:i/>
        </w:rPr>
        <w:t xml:space="preserve">She did ask us about that, and I said ‘No.’, I said, ‘I want to keep him at home for as long as possible as long as I could look after him.’ If I couldn't do it any more, [if] I was completely ill then he would have to go to hospital. </w:t>
      </w:r>
      <w:r w:rsidRPr="000F7E56">
        <w:t>(Mr Bal’s wife).</w:t>
      </w:r>
    </w:p>
    <w:p w14:paraId="3D7C31C9" w14:textId="77777777" w:rsidR="000F7E56" w:rsidRPr="000F7E56" w:rsidRDefault="000F7E56" w:rsidP="000F7E56">
      <w:pPr>
        <w:spacing w:after="120" w:line="360" w:lineRule="auto"/>
        <w:ind w:left="720"/>
        <w:rPr>
          <w:i/>
        </w:rPr>
      </w:pPr>
      <w:r w:rsidRPr="000F7E56">
        <w:rPr>
          <w:i/>
        </w:rPr>
        <w:lastRenderedPageBreak/>
        <w:t>So, I was just trying to care for her at home but it was quite, it is difficult. You don't realise how difficult it is because you don't have all the necessary tools to be able to do that yourself.</w:t>
      </w:r>
      <w:r w:rsidRPr="000F7E56">
        <w:rPr>
          <w:i/>
        </w:rPr>
        <w:tab/>
      </w:r>
      <w:r w:rsidRPr="000F7E56">
        <w:rPr>
          <w:i/>
        </w:rPr>
        <w:tab/>
        <w:t xml:space="preserve"> </w:t>
      </w:r>
      <w:r w:rsidRPr="000F7E56">
        <w:t>(Mrs Bhagat’s daughter)</w:t>
      </w:r>
    </w:p>
    <w:p w14:paraId="14FCA16F" w14:textId="3AC9CD55" w:rsidR="00DA32BF" w:rsidRPr="000F7E56" w:rsidRDefault="000F7E56" w:rsidP="000F7E56">
      <w:pPr>
        <w:keepNext/>
        <w:keepLines/>
        <w:spacing w:before="40" w:after="0" w:line="276" w:lineRule="auto"/>
        <w:outlineLvl w:val="2"/>
        <w:rPr>
          <w:rFonts w:asciiTheme="majorHAnsi" w:eastAsiaTheme="majorEastAsia" w:hAnsiTheme="majorHAnsi" w:cstheme="majorBidi"/>
          <w:color w:val="1F3763" w:themeColor="accent1" w:themeShade="7F"/>
          <w:sz w:val="24"/>
          <w:szCs w:val="24"/>
        </w:rPr>
      </w:pPr>
      <w:bookmarkStart w:id="301" w:name="_Toc89763994"/>
      <w:bookmarkStart w:id="302" w:name="_Toc106697823"/>
      <w:r w:rsidRPr="000F7E56">
        <w:rPr>
          <w:rFonts w:asciiTheme="majorHAnsi" w:eastAsiaTheme="majorEastAsia" w:hAnsiTheme="majorHAnsi" w:cstheme="majorBidi"/>
          <w:color w:val="1F3763" w:themeColor="accent1" w:themeShade="7F"/>
          <w:sz w:val="24"/>
          <w:szCs w:val="24"/>
        </w:rPr>
        <w:t>Ceiling of care</w:t>
      </w:r>
      <w:bookmarkEnd w:id="301"/>
      <w:bookmarkEnd w:id="302"/>
    </w:p>
    <w:p w14:paraId="5D9499C3" w14:textId="77777777" w:rsidR="000F7E56" w:rsidRPr="000F7E56" w:rsidRDefault="000F7E56" w:rsidP="000F7E56">
      <w:pPr>
        <w:spacing w:line="360" w:lineRule="auto"/>
      </w:pPr>
      <w:r w:rsidRPr="000F7E56">
        <w:t xml:space="preserve">Some patients and their families had set limits to future care, including cessation or rejection of treatment, such as dialysis or pain relief. Others were clear that they wished to receive all available treatment for as long as possible, and for professionals to make every effort to prolong life. Participants’ responses were strongly influenced by past experience and observation of others. Mrs Chadha expressed her resistance to being given morphine following the distressing death of her sister. She felt that morphine had caused some serious and undesired side effects and suspected that it might also have hastened her sister’s death. Some patients were selective in the treatments they were prepared to accept or reject. Mrs </w:t>
      </w:r>
      <w:proofErr w:type="spellStart"/>
      <w:r w:rsidRPr="000F7E56">
        <w:t>Cachalia</w:t>
      </w:r>
      <w:proofErr w:type="spellEnd"/>
      <w:r w:rsidRPr="000F7E56">
        <w:t xml:space="preserve"> had declined dialysis, having witnessed the great pain a relative had endured, which was attributed to this intervention.  She was prepared to accept oral medication. Mrs Cheng had rejected any further intravenous chemotherapy, but was willing to take anti-hormone treatment for cancer. In a few cases, a patient had declared that they wanted no further, or at least any additional, treatment or efforts made to prolong their life.  </w:t>
      </w:r>
    </w:p>
    <w:p w14:paraId="28DBA2F6" w14:textId="77777777" w:rsidR="000F7E56" w:rsidRPr="000F7E56" w:rsidRDefault="000F7E56" w:rsidP="000F7E56">
      <w:pPr>
        <w:spacing w:line="360" w:lineRule="auto"/>
        <w:ind w:left="720"/>
      </w:pPr>
      <w:r w:rsidRPr="000F7E56">
        <w:rPr>
          <w:i/>
          <w:iCs/>
        </w:rPr>
        <w:t xml:space="preserve">He says, ‘I don't want to extend my life span.’ in that sense he goes, ‘I want to be able to do things. I want to be able to just live my life. I don't want to try …’ Because one of the things they said was that there could be a possibility that they could do a small surgery and he said, No, if it’s a case of a surgery I don't want a single incision in my body.’ He goes, ‘I just want it left the way, I don't want any more surgery.’ </w:t>
      </w:r>
      <w:r w:rsidRPr="000F7E56">
        <w:rPr>
          <w:iCs/>
        </w:rPr>
        <w:t xml:space="preserve">(Mr </w:t>
      </w:r>
      <w:proofErr w:type="spellStart"/>
      <w:r w:rsidRPr="000F7E56">
        <w:rPr>
          <w:iCs/>
        </w:rPr>
        <w:t>Chandhary’s</w:t>
      </w:r>
      <w:proofErr w:type="spellEnd"/>
      <w:r w:rsidRPr="000F7E56">
        <w:rPr>
          <w:iCs/>
        </w:rPr>
        <w:t xml:space="preserve"> daughter, 1st interview).</w:t>
      </w:r>
    </w:p>
    <w:p w14:paraId="0D077809" w14:textId="77777777" w:rsidR="000F7E56" w:rsidRPr="000F7E56" w:rsidRDefault="000F7E56" w:rsidP="000F7E56">
      <w:pPr>
        <w:spacing w:line="360" w:lineRule="auto"/>
      </w:pPr>
      <w:r w:rsidRPr="000F7E56">
        <w:t>Several older patients felt they had lived a full and completed life and accepted that this was coming to an end,</w:t>
      </w:r>
    </w:p>
    <w:p w14:paraId="72949B60" w14:textId="77777777" w:rsidR="000F7E56" w:rsidRPr="000F7E56" w:rsidRDefault="000F7E56" w:rsidP="000F7E56">
      <w:pPr>
        <w:spacing w:after="120" w:line="360" w:lineRule="auto"/>
        <w:ind w:left="720"/>
        <w:rPr>
          <w:i/>
        </w:rPr>
      </w:pPr>
      <w:r w:rsidRPr="000F7E56">
        <w:rPr>
          <w:i/>
        </w:rPr>
        <w:t>Yes, we did ask our Mum as well whether, we did ask her, ‘This [is] what the doctors are saying, and they are saying you are on the last stage whether you want treatment it will not be effective.’ Mum says, ‘No, I don't want to suffer more.’ So we just left it at that point.</w:t>
      </w:r>
      <w:r w:rsidRPr="000F7E56">
        <w:t xml:space="preserve"> (Mrs Banerjee’s son).</w:t>
      </w:r>
    </w:p>
    <w:p w14:paraId="4A19B539" w14:textId="77777777" w:rsidR="000F7E56" w:rsidRPr="000F7E56" w:rsidRDefault="000F7E56" w:rsidP="000F7E56">
      <w:pPr>
        <w:spacing w:line="360" w:lineRule="auto"/>
        <w:rPr>
          <w:i/>
        </w:rPr>
      </w:pPr>
      <w:r w:rsidRPr="000F7E56">
        <w:t xml:space="preserve"> In other cases, regardless of age and poor state of health, patients and FCGs persisted in the desire to maintain life at all costs.</w:t>
      </w:r>
    </w:p>
    <w:p w14:paraId="574A3594" w14:textId="77777777" w:rsidR="000F7E56" w:rsidRPr="000F7E56" w:rsidRDefault="000F7E56" w:rsidP="000F7E56">
      <w:pPr>
        <w:spacing w:line="360" w:lineRule="auto"/>
        <w:ind w:left="720"/>
        <w:rPr>
          <w:i/>
        </w:rPr>
      </w:pPr>
      <w:r w:rsidRPr="000F7E56">
        <w:rPr>
          <w:i/>
        </w:rPr>
        <w:t xml:space="preserve">Personal choice of my mum, ‘I want you to do all that you can.’ </w:t>
      </w:r>
      <w:r w:rsidRPr="000F7E56">
        <w:t>(Mrs Chawla’s daughter, 2</w:t>
      </w:r>
      <w:r w:rsidRPr="000F7E56">
        <w:rPr>
          <w:vertAlign w:val="superscript"/>
        </w:rPr>
        <w:t>nd</w:t>
      </w:r>
      <w:r w:rsidRPr="000F7E56">
        <w:t xml:space="preserve"> interview).</w:t>
      </w:r>
      <w:r w:rsidRPr="000F7E56">
        <w:rPr>
          <w:i/>
        </w:rPr>
        <w:t xml:space="preserve"> </w:t>
      </w:r>
    </w:p>
    <w:p w14:paraId="54F661DB" w14:textId="77777777" w:rsidR="000F7E56" w:rsidRPr="000F7E56" w:rsidRDefault="000F7E56" w:rsidP="000F7E56">
      <w:pPr>
        <w:spacing w:line="360" w:lineRule="auto"/>
      </w:pPr>
      <w:r w:rsidRPr="000F7E56">
        <w:t xml:space="preserve">Several participants expressed a concern that certain treatments would be either administered or withheld in a deliberate attempt to shorten life. </w:t>
      </w:r>
    </w:p>
    <w:p w14:paraId="0B14E867" w14:textId="77777777" w:rsidR="000F7E56" w:rsidRPr="000F7E56" w:rsidRDefault="000F7E56" w:rsidP="000F7E56">
      <w:pPr>
        <w:spacing w:after="120" w:line="360" w:lineRule="auto"/>
        <w:ind w:left="720"/>
        <w:rPr>
          <w:i/>
          <w:iCs/>
        </w:rPr>
      </w:pPr>
      <w:r w:rsidRPr="000F7E56">
        <w:rPr>
          <w:i/>
          <w:iCs/>
        </w:rPr>
        <w:lastRenderedPageBreak/>
        <w:t xml:space="preserve">I believe that when you go in a hospice or certain places, they tend to feed you, give you more medication, to the point where you are drowsy you don't know what’s happening. And the medication slowly, slowly I think makes you worse and ends your life. </w:t>
      </w:r>
      <w:r w:rsidRPr="000F7E56">
        <w:rPr>
          <w:iCs/>
        </w:rPr>
        <w:t>(Mrs Chawla, 1st interview).</w:t>
      </w:r>
    </w:p>
    <w:p w14:paraId="3C2462BA" w14:textId="77777777" w:rsidR="000F7E56" w:rsidRPr="000F7E56" w:rsidRDefault="000F7E56" w:rsidP="000F7E56">
      <w:pPr>
        <w:spacing w:after="120" w:line="360" w:lineRule="auto"/>
      </w:pPr>
      <w:r w:rsidRPr="000F7E56">
        <w:t>The desire for active treatment was attributed in some cases to religious beliefs about divine intervention but was also expressed by patients who had no religious convictions. It seemed that one reason for continuing active treatment was that the patient and family lacked awareness of how ill the patient was.  Another was the hope that it might be possible to extend the patient’s life long enough for new and more effective treatments to become available.</w:t>
      </w:r>
    </w:p>
    <w:p w14:paraId="5AEC52F5" w14:textId="77777777" w:rsidR="000F7E56" w:rsidRPr="000F7E56" w:rsidRDefault="000F7E56" w:rsidP="000F7E56">
      <w:pPr>
        <w:spacing w:after="120" w:line="360" w:lineRule="auto"/>
        <w:ind w:left="720"/>
        <w:rPr>
          <w:i/>
        </w:rPr>
      </w:pPr>
      <w:r w:rsidRPr="000F7E56">
        <w:t>(Translated by professional interpreter) .</w:t>
      </w:r>
      <w:r w:rsidRPr="000F7E56">
        <w:rPr>
          <w:i/>
        </w:rPr>
        <w:t>.. the world is constantly evolving science is constantly finding out new stuff and new things, so why does it have to stop here, why can't they discover something more effective to treat this.</w:t>
      </w:r>
      <w:r w:rsidRPr="000F7E56">
        <w:t xml:space="preserve"> (Mrs </w:t>
      </w:r>
      <w:proofErr w:type="spellStart"/>
      <w:r w:rsidRPr="000F7E56">
        <w:t>Challa’s</w:t>
      </w:r>
      <w:proofErr w:type="spellEnd"/>
      <w:r w:rsidRPr="000F7E56">
        <w:t xml:space="preserve"> husband, 2nd interview).</w:t>
      </w:r>
    </w:p>
    <w:p w14:paraId="37377598" w14:textId="77777777" w:rsidR="000F7E56" w:rsidRPr="000F7E56" w:rsidRDefault="000F7E56" w:rsidP="000F7E56">
      <w:pPr>
        <w:spacing w:after="120" w:line="360" w:lineRule="auto"/>
        <w:rPr>
          <w:color w:val="000000" w:themeColor="text1"/>
        </w:rPr>
      </w:pPr>
      <w:r w:rsidRPr="000F7E56">
        <w:rPr>
          <w:color w:val="000000" w:themeColor="text1"/>
        </w:rPr>
        <w:t>Several patients and FCG participants considered that advance discussion or decisions about treatment or end-of-life care were irrelevant and even inappropriate because they believed that the timing and manner of their death would be determined by God.</w:t>
      </w:r>
    </w:p>
    <w:p w14:paraId="65A713F8" w14:textId="77777777" w:rsidR="000F7E56" w:rsidRPr="000F7E56" w:rsidRDefault="000F7E56" w:rsidP="000F7E56">
      <w:pPr>
        <w:spacing w:after="120" w:line="360" w:lineRule="auto"/>
        <w:ind w:left="720"/>
        <w:rPr>
          <w:rFonts w:cstheme="minorHAnsi"/>
          <w:i/>
        </w:rPr>
      </w:pPr>
      <w:r w:rsidRPr="000F7E56">
        <w:rPr>
          <w:rFonts w:cstheme="minorHAnsi"/>
          <w:i/>
        </w:rPr>
        <w:t>...when they said end-of-life palliative care a lot of people think, ‘Oh, they are giving my mum such and such a time.’  But then the only thing that went in my head is they are not God, that's the only thing that went in my head, they are not God, they don't know when anyone is going to die.</w:t>
      </w:r>
    </w:p>
    <w:p w14:paraId="55B6036F" w14:textId="77777777" w:rsidR="000F7E56" w:rsidRPr="000F7E56" w:rsidRDefault="000F7E56" w:rsidP="000F7E56">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spacing w:after="120" w:line="360" w:lineRule="auto"/>
        <w:ind w:left="720"/>
        <w:rPr>
          <w:rFonts w:cstheme="minorHAnsi"/>
          <w:i/>
          <w:iCs/>
        </w:rPr>
      </w:pPr>
      <w:r w:rsidRPr="000F7E56">
        <w:rPr>
          <w:rFonts w:cstheme="minorHAnsi"/>
          <w:b/>
          <w:bCs/>
          <w:iCs/>
        </w:rPr>
        <w:t>Researcher:</w:t>
      </w:r>
      <w:r w:rsidRPr="000F7E56">
        <w:rPr>
          <w:rFonts w:cstheme="minorHAnsi"/>
          <w:b/>
          <w:bCs/>
          <w:i/>
          <w:iCs/>
        </w:rPr>
        <w:t xml:space="preserve"> So you think she still has hope of living?</w:t>
      </w:r>
    </w:p>
    <w:p w14:paraId="42AE9A35" w14:textId="77777777" w:rsidR="000F7E56" w:rsidRPr="000F7E56" w:rsidRDefault="000F7E56" w:rsidP="000F7E56">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spacing w:after="120" w:line="360" w:lineRule="auto"/>
        <w:ind w:left="720"/>
        <w:rPr>
          <w:rFonts w:cstheme="minorHAnsi"/>
          <w:i/>
          <w:iCs/>
        </w:rPr>
      </w:pPr>
      <w:r w:rsidRPr="000F7E56">
        <w:rPr>
          <w:rFonts w:cstheme="minorHAnsi"/>
          <w:i/>
          <w:iCs/>
        </w:rPr>
        <w:t>Yes, because obviously in January she was told she only had two months so its July now so, our faith we feel that she, it’s not in the hands of medics or what people tell you, your life is in the hands of God so we are living on hope.</w:t>
      </w:r>
      <w:r w:rsidRPr="000F7E56">
        <w:rPr>
          <w:rFonts w:cstheme="minorHAnsi"/>
          <w:i/>
        </w:rPr>
        <w:t xml:space="preserve"> </w:t>
      </w:r>
      <w:r w:rsidRPr="000F7E56">
        <w:rPr>
          <w:rFonts w:cstheme="minorHAnsi"/>
        </w:rPr>
        <w:t>(Mrs Campbell’s daughter, 1st interview).</w:t>
      </w:r>
      <w:r w:rsidRPr="000F7E56">
        <w:rPr>
          <w:rFonts w:cstheme="minorHAnsi"/>
          <w:iCs/>
        </w:rPr>
        <w:tab/>
      </w:r>
      <w:r w:rsidRPr="000F7E56">
        <w:rPr>
          <w:rFonts w:cstheme="minorHAnsi"/>
          <w:i/>
          <w:iCs/>
        </w:rPr>
        <w:tab/>
      </w:r>
      <w:r w:rsidRPr="000F7E56">
        <w:rPr>
          <w:rFonts w:cstheme="minorHAnsi"/>
          <w:i/>
          <w:iCs/>
        </w:rPr>
        <w:tab/>
        <w:t xml:space="preserve"> </w:t>
      </w:r>
    </w:p>
    <w:p w14:paraId="3F5EB7C6" w14:textId="77777777" w:rsidR="000F7E56" w:rsidRPr="000F7E56" w:rsidRDefault="000F7E56" w:rsidP="000F7E56">
      <w:pPr>
        <w:spacing w:after="120" w:line="360" w:lineRule="auto"/>
      </w:pPr>
      <w:r w:rsidRPr="000F7E56">
        <w:rPr>
          <w:color w:val="000000" w:themeColor="text1"/>
        </w:rPr>
        <w:t>Most HCP accounts indicated that they did not employ greatly different approaches to communication and care of patients on the basis of their religious or cultural beliefs.</w:t>
      </w:r>
      <w:r w:rsidRPr="000F7E56">
        <w:rPr>
          <w:i/>
        </w:rPr>
        <w:t xml:space="preserve"> </w:t>
      </w:r>
      <w:r w:rsidRPr="000F7E56">
        <w:t>Several professionals noted that there could be a discrepancy between the stated commitment to accept or reject treatment on the grounds of religious belief and the subsequent decisions made by the patient and family.</w:t>
      </w:r>
    </w:p>
    <w:p w14:paraId="2FBCFC93" w14:textId="5FD3B29A" w:rsidR="000F7E56" w:rsidRPr="000F7E56" w:rsidRDefault="000F7E56" w:rsidP="000F7E56">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spacing w:after="120" w:line="360" w:lineRule="auto"/>
        <w:ind w:left="720"/>
        <w:rPr>
          <w:rFonts w:cstheme="minorHAnsi"/>
          <w:i/>
          <w:color w:val="00000A"/>
        </w:rPr>
      </w:pPr>
      <w:r w:rsidRPr="000F7E56">
        <w:rPr>
          <w:rFonts w:cstheme="minorHAnsi"/>
          <w:i/>
          <w:color w:val="00000A"/>
        </w:rPr>
        <w:t>And you can talk to them about how their breathing will just fade and fade until they can't breathe anymore and then they will die. And there is nothing.... resuscitation isn't a treatment that will work. So, it will be really nice for him or her to stay at home surrounded by his family. And sometimes they understand that. Sometimes they surprise you and say even though they have been saying, ‘leave it to Allah</w:t>
      </w:r>
      <w:r w:rsidR="0040316A">
        <w:rPr>
          <w:rFonts w:cstheme="minorHAnsi"/>
          <w:i/>
          <w:color w:val="00000A"/>
        </w:rPr>
        <w:t>’</w:t>
      </w:r>
      <w:r w:rsidRPr="000F7E56">
        <w:rPr>
          <w:rFonts w:cstheme="minorHAnsi"/>
          <w:i/>
          <w:color w:val="00000A"/>
        </w:rPr>
        <w:t xml:space="preserve">, they will then have interventions. </w:t>
      </w:r>
      <w:r w:rsidRPr="000F7E56">
        <w:rPr>
          <w:rFonts w:cstheme="minorHAnsi"/>
          <w:color w:val="00000A"/>
        </w:rPr>
        <w:t>(Mr Chahine’s HCP).</w:t>
      </w:r>
    </w:p>
    <w:p w14:paraId="00325E7C" w14:textId="77777777" w:rsidR="000F7E56" w:rsidRPr="000F7E56" w:rsidRDefault="000F7E56" w:rsidP="000F7E56">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spacing w:after="120" w:line="360" w:lineRule="auto"/>
        <w:rPr>
          <w:rFonts w:cstheme="minorHAnsi"/>
          <w:iCs/>
          <w:color w:val="00000A"/>
        </w:rPr>
      </w:pPr>
      <w:r w:rsidRPr="000F7E56">
        <w:rPr>
          <w:rFonts w:cstheme="minorHAnsi"/>
          <w:iCs/>
          <w:color w:val="00000A"/>
        </w:rPr>
        <w:t xml:space="preserve">Indeed, a strong faith in divine determination was not necessarily incompatible with acceptance of prolonged and active treatment. Patients accepted all efforts to prolong their lives alongside a calm </w:t>
      </w:r>
      <w:r w:rsidRPr="000F7E56">
        <w:rPr>
          <w:rFonts w:cstheme="minorHAnsi"/>
          <w:iCs/>
          <w:color w:val="00000A"/>
        </w:rPr>
        <w:lastRenderedPageBreak/>
        <w:t xml:space="preserve">acceptance that the duration was entirely a matter of divine will. Given that life was a gift from God, it was incumbent on the individual to live this to the full. </w:t>
      </w:r>
    </w:p>
    <w:p w14:paraId="275F6EAD" w14:textId="77777777" w:rsidR="000F7E56" w:rsidRPr="000F7E56" w:rsidRDefault="000F7E56" w:rsidP="000F7E56">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spacing w:after="120" w:line="360" w:lineRule="auto"/>
        <w:ind w:left="720"/>
        <w:rPr>
          <w:rFonts w:cstheme="minorHAnsi"/>
          <w:color w:val="00000A"/>
        </w:rPr>
      </w:pPr>
      <w:bookmarkStart w:id="303" w:name="_Hlk89751016"/>
      <w:r w:rsidRPr="000F7E56">
        <w:rPr>
          <w:rFonts w:cstheme="minorHAnsi"/>
          <w:i/>
          <w:color w:val="00000A"/>
        </w:rPr>
        <w:t xml:space="preserve">You know treatment, I am so happy with the treatment, they are really, really good to me. But whatever happens to me in the future I left it to the Gods hands. …. No I don't think about what may happen. </w:t>
      </w:r>
      <w:r w:rsidRPr="000F7E56">
        <w:rPr>
          <w:rFonts w:cstheme="minorHAnsi"/>
          <w:color w:val="00000A"/>
        </w:rPr>
        <w:t xml:space="preserve">(Mrs </w:t>
      </w:r>
      <w:proofErr w:type="spellStart"/>
      <w:r w:rsidRPr="000F7E56">
        <w:rPr>
          <w:rFonts w:cstheme="minorHAnsi"/>
          <w:color w:val="00000A"/>
        </w:rPr>
        <w:t>Challa’s</w:t>
      </w:r>
      <w:proofErr w:type="spellEnd"/>
      <w:r w:rsidRPr="000F7E56">
        <w:rPr>
          <w:rFonts w:cstheme="minorHAnsi"/>
          <w:color w:val="00000A"/>
        </w:rPr>
        <w:t xml:space="preserve"> husband).</w:t>
      </w:r>
    </w:p>
    <w:p w14:paraId="13259C19" w14:textId="77777777" w:rsidR="000F7E56" w:rsidRPr="000F7E56" w:rsidRDefault="000F7E56" w:rsidP="000F7E56">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spacing w:after="120" w:line="360" w:lineRule="auto"/>
        <w:ind w:left="720"/>
        <w:rPr>
          <w:rFonts w:cstheme="minorHAnsi"/>
          <w:i/>
          <w:color w:val="00000A"/>
        </w:rPr>
      </w:pPr>
      <w:r w:rsidRPr="000F7E56">
        <w:rPr>
          <w:rFonts w:cstheme="minorHAnsi"/>
          <w:i/>
          <w:color w:val="00000A"/>
        </w:rPr>
        <w:t xml:space="preserve">I just leave it to God and see what happens. But I say to myself, ‘Oh, God will sort it out you know’ …. You just say, ‘Oh, I will leave it to God. He will decide what to do for us.’. But really and truly ...you have got to do it as well. </w:t>
      </w:r>
      <w:r w:rsidRPr="000F7E56">
        <w:rPr>
          <w:rFonts w:cstheme="minorHAnsi"/>
          <w:color w:val="00000A"/>
        </w:rPr>
        <w:t xml:space="preserve">(Mr </w:t>
      </w:r>
      <w:proofErr w:type="spellStart"/>
      <w:r w:rsidRPr="000F7E56">
        <w:rPr>
          <w:rFonts w:cstheme="minorHAnsi"/>
          <w:color w:val="00000A"/>
        </w:rPr>
        <w:t>Chakraboty’s</w:t>
      </w:r>
      <w:proofErr w:type="spellEnd"/>
      <w:r w:rsidRPr="000F7E56">
        <w:rPr>
          <w:rFonts w:cstheme="minorHAnsi"/>
          <w:color w:val="00000A"/>
        </w:rPr>
        <w:t xml:space="preserve"> wife).</w:t>
      </w:r>
      <w:r w:rsidRPr="000F7E56">
        <w:rPr>
          <w:rFonts w:cstheme="minorHAnsi"/>
          <w:i/>
          <w:color w:val="00000A"/>
        </w:rPr>
        <w:t xml:space="preserve"> </w:t>
      </w:r>
      <w:bookmarkStart w:id="304" w:name="_Hlk89751067"/>
      <w:bookmarkEnd w:id="303"/>
      <w:r w:rsidRPr="000F7E56">
        <w:rPr>
          <w:rFonts w:cstheme="minorHAnsi"/>
          <w:i/>
          <w:color w:val="00000A"/>
        </w:rPr>
        <w:t xml:space="preserve"> </w:t>
      </w:r>
      <w:bookmarkEnd w:id="304"/>
    </w:p>
    <w:p w14:paraId="24E22441" w14:textId="77777777" w:rsidR="000F7E56" w:rsidRPr="000F7E56" w:rsidRDefault="000F7E56" w:rsidP="000F7E56">
      <w:pPr>
        <w:spacing w:after="120" w:line="360" w:lineRule="auto"/>
        <w:rPr>
          <w:i/>
          <w:color w:val="000000" w:themeColor="text1"/>
        </w:rPr>
      </w:pPr>
      <w:r w:rsidRPr="000F7E56">
        <w:rPr>
          <w:color w:val="000000" w:themeColor="text1"/>
        </w:rPr>
        <w:t xml:space="preserve">There were concerns about death in hospital in relation to the need to manage dying in accordance with religious observances. FCGs reported that attendance of a </w:t>
      </w:r>
      <w:r w:rsidRPr="000F7E56">
        <w:t>large numbers of visitors was extremely important in some faiths in ensuring a ‘good passage’ when someone was close to death. Positioning of the bed towards Mecca was cited as a further example of practical steps that may be needed to support Islamic religious affiliation. Diet, as mentioned previously, was also a source of some concern.  L</w:t>
      </w:r>
      <w:r w:rsidRPr="000F7E56">
        <w:rPr>
          <w:color w:val="000000" w:themeColor="text1"/>
        </w:rPr>
        <w:t xml:space="preserve">ittle or no mention of these issues came from HCPs.  </w:t>
      </w:r>
    </w:p>
    <w:p w14:paraId="12959BCC" w14:textId="77777777" w:rsidR="000F7E56" w:rsidRPr="000F7E56" w:rsidRDefault="000F7E56" w:rsidP="000F7E56">
      <w:pPr>
        <w:widowControl w:val="0"/>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spacing w:after="120" w:line="360" w:lineRule="auto"/>
        <w:rPr>
          <w:rFonts w:cstheme="minorHAnsi"/>
          <w:color w:val="00000A"/>
          <w:sz w:val="24"/>
          <w:szCs w:val="24"/>
        </w:rPr>
      </w:pPr>
      <w:r w:rsidRPr="000F7E56">
        <w:rPr>
          <w:color w:val="000000" w:themeColor="text1"/>
        </w:rPr>
        <w:t>One area of concern for Muslim families was the need for a death certificate to be issued very quickly to enable burial to take place within 24 hours</w:t>
      </w:r>
      <w:r w:rsidRPr="000F7E56">
        <w:rPr>
          <w:rFonts w:cstheme="minorHAnsi"/>
          <w:color w:val="00000A"/>
          <w:sz w:val="24"/>
          <w:szCs w:val="24"/>
        </w:rPr>
        <w:t xml:space="preserve">.  </w:t>
      </w:r>
    </w:p>
    <w:p w14:paraId="10868DD8" w14:textId="77777777" w:rsidR="000F7E56" w:rsidRPr="000F7E56" w:rsidRDefault="000F7E56" w:rsidP="000F7E56">
      <w:pPr>
        <w:spacing w:after="120" w:line="360" w:lineRule="auto"/>
        <w:ind w:left="720"/>
        <w:contextualSpacing/>
        <w:rPr>
          <w:color w:val="000000" w:themeColor="text1"/>
        </w:rPr>
      </w:pPr>
      <w:r w:rsidRPr="000F7E56" w:rsidDel="00EC2F2E">
        <w:t xml:space="preserve"> </w:t>
      </w:r>
      <w:r w:rsidRPr="000F7E56">
        <w:rPr>
          <w:i/>
          <w:color w:val="000000" w:themeColor="text1"/>
        </w:rPr>
        <w:t xml:space="preserve">As soon as we understood that this was my dad’s last time we had, we basically got everything in place before he passed away. Because with Muslim funerals they are so fast, but we did our own research we found out that if our GP wasn't around to sign off his death certificate that a Macmillan nurse could do that or somebody from Macmillan could do that. But that wasn't made clear to us, we had to find out, we had to say to the doctors, ‘Right what happens? </w:t>
      </w:r>
      <w:r w:rsidRPr="000F7E56">
        <w:rPr>
          <w:color w:val="000000" w:themeColor="text1"/>
        </w:rPr>
        <w:t>(Mr Bashir’s daughter).</w:t>
      </w:r>
    </w:p>
    <w:p w14:paraId="14FC5BCE" w14:textId="77777777" w:rsidR="000F7E56" w:rsidRPr="000F7E56" w:rsidRDefault="000F7E56" w:rsidP="000F7E56">
      <w:pPr>
        <w:spacing w:after="120" w:line="360" w:lineRule="auto"/>
        <w:ind w:right="397"/>
        <w:rPr>
          <w:iCs/>
          <w:color w:val="000000" w:themeColor="text1"/>
        </w:rPr>
      </w:pPr>
      <w:r w:rsidRPr="000F7E56">
        <w:rPr>
          <w:iCs/>
          <w:color w:val="000000" w:themeColor="text1"/>
        </w:rPr>
        <w:t xml:space="preserve">This is another illustration of the family’s concern to be vigilant about professional care for their relative and their need to be proactive in enabling religious observances to be achieved. </w:t>
      </w:r>
    </w:p>
    <w:p w14:paraId="305ABA7D" w14:textId="77777777" w:rsidR="000F7E56" w:rsidRPr="000F7E56" w:rsidRDefault="000F7E56" w:rsidP="000F7E56">
      <w:pPr>
        <w:keepNext/>
        <w:keepLines/>
        <w:spacing w:before="40" w:after="0" w:line="276" w:lineRule="auto"/>
        <w:outlineLvl w:val="2"/>
        <w:rPr>
          <w:rFonts w:asciiTheme="majorHAnsi" w:eastAsiaTheme="majorEastAsia" w:hAnsiTheme="majorHAnsi" w:cstheme="majorBidi"/>
          <w:color w:val="1F3763" w:themeColor="accent1" w:themeShade="7F"/>
          <w:sz w:val="24"/>
          <w:szCs w:val="24"/>
        </w:rPr>
      </w:pPr>
      <w:bookmarkStart w:id="305" w:name="_Toc89763995"/>
      <w:bookmarkStart w:id="306" w:name="_Toc106697824"/>
      <w:r w:rsidRPr="000F7E56">
        <w:rPr>
          <w:rFonts w:asciiTheme="majorHAnsi" w:eastAsiaTheme="majorEastAsia" w:hAnsiTheme="majorHAnsi" w:cstheme="majorBidi"/>
          <w:color w:val="1F3763" w:themeColor="accent1" w:themeShade="7F"/>
          <w:sz w:val="24"/>
          <w:szCs w:val="24"/>
        </w:rPr>
        <w:t>Documented care plans</w:t>
      </w:r>
      <w:bookmarkEnd w:id="305"/>
      <w:bookmarkEnd w:id="306"/>
    </w:p>
    <w:p w14:paraId="23B12048" w14:textId="77777777" w:rsidR="000F7E56" w:rsidRPr="000F7E56" w:rsidRDefault="000F7E56" w:rsidP="000F7E56">
      <w:pPr>
        <w:spacing w:after="120" w:line="360" w:lineRule="auto"/>
      </w:pPr>
      <w:r w:rsidRPr="000F7E56">
        <w:t xml:space="preserve">Only a handful of patients and families clearly reported having documented care plans, with a copy kept in the patient’s house to be shown to attending HCPs and paramedics. A similar number made some mention of a plan being made, but not taken up and the rest did not refer to a plan having been discussed, at least with HCPs. Discussion of plans with the patient and family members, including for care of the patient prior to and after death were described by a few participants. For some families, it was the religious and cultural preparation for death which was of significance, rather than professional agendas regarding end-of-life care. Indeed, several patients and FCGs commented that planning for end-of-life was not something to be discussed with professionals. This was a family matter, not the business of strangers. </w:t>
      </w:r>
    </w:p>
    <w:p w14:paraId="5D303FF3" w14:textId="77777777" w:rsidR="000F7E56" w:rsidRPr="000F7E56" w:rsidRDefault="000F7E56" w:rsidP="000F7E56">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spacing w:after="120" w:line="360" w:lineRule="auto"/>
        <w:ind w:left="720"/>
        <w:rPr>
          <w:rFonts w:cstheme="minorHAnsi"/>
          <w:i/>
          <w:iCs/>
          <w:color w:val="00000A"/>
        </w:rPr>
      </w:pPr>
      <w:r w:rsidRPr="000F7E56">
        <w:rPr>
          <w:rFonts w:cstheme="minorHAnsi"/>
          <w:b/>
          <w:bCs/>
          <w:iCs/>
          <w:color w:val="00000A"/>
        </w:rPr>
        <w:lastRenderedPageBreak/>
        <w:t>Researcher:</w:t>
      </w:r>
      <w:r w:rsidRPr="000F7E56">
        <w:rPr>
          <w:rFonts w:cstheme="minorHAnsi"/>
          <w:b/>
          <w:bCs/>
          <w:i/>
          <w:iCs/>
          <w:color w:val="00000A"/>
        </w:rPr>
        <w:t xml:space="preserve"> Right now, when you look at your mum and her condition do you think what is going to happen to her in the next however long?</w:t>
      </w:r>
    </w:p>
    <w:p w14:paraId="1F12264B" w14:textId="26DAD415" w:rsidR="000F7E56" w:rsidRPr="000F7E56" w:rsidRDefault="000F7E56" w:rsidP="000F7E56">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spacing w:after="120" w:line="360" w:lineRule="auto"/>
        <w:ind w:left="720"/>
        <w:rPr>
          <w:rFonts w:cstheme="minorHAnsi"/>
          <w:i/>
          <w:iCs/>
          <w:color w:val="00000A"/>
        </w:rPr>
      </w:pPr>
      <w:bookmarkStart w:id="307" w:name="_Hlk89873222"/>
      <w:r w:rsidRPr="000F7E56">
        <w:rPr>
          <w:rFonts w:cstheme="minorHAnsi"/>
          <w:iCs/>
          <w:color w:val="00000A"/>
        </w:rPr>
        <w:t xml:space="preserve">Mrs </w:t>
      </w:r>
      <w:proofErr w:type="spellStart"/>
      <w:r w:rsidRPr="000F7E56">
        <w:rPr>
          <w:rFonts w:cstheme="minorHAnsi"/>
          <w:iCs/>
          <w:color w:val="00000A"/>
        </w:rPr>
        <w:t>Chandyo’s</w:t>
      </w:r>
      <w:proofErr w:type="spellEnd"/>
      <w:r w:rsidRPr="000F7E56">
        <w:rPr>
          <w:rFonts w:cstheme="minorHAnsi"/>
          <w:iCs/>
          <w:color w:val="00000A"/>
        </w:rPr>
        <w:t xml:space="preserve"> daughter</w:t>
      </w:r>
      <w:bookmarkEnd w:id="307"/>
      <w:r w:rsidRPr="000F7E56">
        <w:rPr>
          <w:rFonts w:cstheme="minorHAnsi"/>
          <w:iCs/>
          <w:color w:val="00000A"/>
        </w:rPr>
        <w:t>:</w:t>
      </w:r>
      <w:r w:rsidRPr="000F7E56">
        <w:rPr>
          <w:rFonts w:cstheme="minorHAnsi"/>
          <w:i/>
          <w:iCs/>
          <w:color w:val="00000A"/>
        </w:rPr>
        <w:t xml:space="preserve"> Ye</w:t>
      </w:r>
      <w:r w:rsidR="0040316A">
        <w:rPr>
          <w:rFonts w:cstheme="minorHAnsi"/>
          <w:i/>
          <w:iCs/>
          <w:color w:val="00000A"/>
        </w:rPr>
        <w:t>ah</w:t>
      </w:r>
      <w:r w:rsidRPr="000F7E56">
        <w:rPr>
          <w:rFonts w:cstheme="minorHAnsi"/>
          <w:i/>
          <w:iCs/>
          <w:color w:val="00000A"/>
        </w:rPr>
        <w:t>, it’s a thought that crosses our mind that we need to be prepared to be able to look after her in her final moments and making sure that the ending is good, that she has a good funeral. That we are able to cater for things to come after.</w:t>
      </w:r>
    </w:p>
    <w:p w14:paraId="1653DCFF" w14:textId="77777777" w:rsidR="000F7E56" w:rsidRPr="000F7E56" w:rsidRDefault="000F7E56" w:rsidP="000F7E56">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spacing w:after="120" w:line="360" w:lineRule="auto"/>
        <w:ind w:left="720"/>
        <w:rPr>
          <w:rFonts w:cstheme="minorHAnsi"/>
          <w:i/>
          <w:iCs/>
          <w:color w:val="00000A"/>
        </w:rPr>
      </w:pPr>
      <w:r w:rsidRPr="000F7E56">
        <w:rPr>
          <w:rFonts w:cstheme="minorHAnsi"/>
          <w:b/>
          <w:bCs/>
          <w:iCs/>
          <w:color w:val="00000A"/>
        </w:rPr>
        <w:t>Researcher:</w:t>
      </w:r>
      <w:r w:rsidRPr="000F7E56">
        <w:rPr>
          <w:rFonts w:cstheme="minorHAnsi"/>
          <w:b/>
          <w:bCs/>
          <w:i/>
          <w:iCs/>
          <w:color w:val="00000A"/>
        </w:rPr>
        <w:t xml:space="preserve"> When you say the ending is good, what does that look like?</w:t>
      </w:r>
    </w:p>
    <w:p w14:paraId="2A51DCA2" w14:textId="77777777" w:rsidR="000F7E56" w:rsidRPr="000F7E56" w:rsidRDefault="000F7E56" w:rsidP="000F7E56">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spacing w:after="120" w:line="360" w:lineRule="auto"/>
        <w:ind w:left="720"/>
        <w:rPr>
          <w:rFonts w:cstheme="minorHAnsi"/>
          <w:i/>
          <w:iCs/>
          <w:color w:val="00000A"/>
        </w:rPr>
      </w:pPr>
      <w:r w:rsidRPr="000F7E56">
        <w:rPr>
          <w:rFonts w:cstheme="minorHAnsi"/>
          <w:iCs/>
          <w:color w:val="00000A"/>
        </w:rPr>
        <w:t xml:space="preserve">Mrs </w:t>
      </w:r>
      <w:proofErr w:type="spellStart"/>
      <w:r w:rsidRPr="000F7E56">
        <w:rPr>
          <w:rFonts w:cstheme="minorHAnsi"/>
          <w:iCs/>
          <w:color w:val="00000A"/>
        </w:rPr>
        <w:t>Chandyo’s</w:t>
      </w:r>
      <w:proofErr w:type="spellEnd"/>
      <w:r w:rsidRPr="000F7E56">
        <w:rPr>
          <w:rFonts w:cstheme="minorHAnsi"/>
          <w:iCs/>
          <w:color w:val="00000A"/>
        </w:rPr>
        <w:t xml:space="preserve"> daughter</w:t>
      </w:r>
      <w:r w:rsidRPr="000F7E56">
        <w:rPr>
          <w:rFonts w:cstheme="minorHAnsi"/>
          <w:i/>
          <w:iCs/>
          <w:color w:val="00000A"/>
        </w:rPr>
        <w:t>: Like for example she is spiritually connected to her creator is the most important one for us. That she is comfortable in herself that she is not suffering. And she is happy with the people that are supporting her and helping her and the ones that are around her.</w:t>
      </w:r>
    </w:p>
    <w:p w14:paraId="2189FCF5" w14:textId="77777777" w:rsidR="000F7E56" w:rsidRPr="000F7E56" w:rsidRDefault="000F7E56" w:rsidP="000F7E56">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spacing w:after="120" w:line="360" w:lineRule="auto"/>
        <w:ind w:left="720"/>
        <w:rPr>
          <w:rFonts w:cstheme="minorHAnsi"/>
          <w:i/>
          <w:iCs/>
          <w:color w:val="00000A"/>
        </w:rPr>
      </w:pPr>
      <w:r w:rsidRPr="000F7E56">
        <w:rPr>
          <w:rFonts w:cstheme="minorHAnsi"/>
          <w:b/>
          <w:bCs/>
          <w:iCs/>
          <w:color w:val="00000A"/>
        </w:rPr>
        <w:t>Researcher:</w:t>
      </w:r>
      <w:r w:rsidRPr="000F7E56">
        <w:rPr>
          <w:rFonts w:cstheme="minorHAnsi"/>
          <w:b/>
          <w:bCs/>
          <w:i/>
          <w:iCs/>
          <w:color w:val="00000A"/>
        </w:rPr>
        <w:t xml:space="preserve"> And in terms of operationalising that towards her last moments what would that involve?</w:t>
      </w:r>
    </w:p>
    <w:p w14:paraId="45BA0F22" w14:textId="77777777" w:rsidR="000F7E56" w:rsidRPr="000F7E56" w:rsidRDefault="000F7E56" w:rsidP="000F7E56">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spacing w:after="120" w:line="360" w:lineRule="auto"/>
        <w:ind w:left="720"/>
        <w:rPr>
          <w:rFonts w:cstheme="minorHAnsi"/>
          <w:i/>
          <w:iCs/>
          <w:color w:val="00000A"/>
        </w:rPr>
      </w:pPr>
      <w:r w:rsidRPr="000F7E56">
        <w:rPr>
          <w:rFonts w:cstheme="minorHAnsi"/>
          <w:iCs/>
          <w:color w:val="00000A"/>
        </w:rPr>
        <w:t xml:space="preserve">Mrs </w:t>
      </w:r>
      <w:proofErr w:type="spellStart"/>
      <w:r w:rsidRPr="000F7E56">
        <w:rPr>
          <w:rFonts w:cstheme="minorHAnsi"/>
          <w:iCs/>
          <w:color w:val="00000A"/>
        </w:rPr>
        <w:t>Chandyo’s</w:t>
      </w:r>
      <w:proofErr w:type="spellEnd"/>
      <w:r w:rsidRPr="000F7E56">
        <w:rPr>
          <w:rFonts w:cstheme="minorHAnsi"/>
          <w:iCs/>
          <w:color w:val="00000A"/>
        </w:rPr>
        <w:t xml:space="preserve"> daughter:</w:t>
      </w:r>
      <w:r w:rsidRPr="000F7E56">
        <w:rPr>
          <w:rFonts w:cstheme="minorHAnsi"/>
          <w:i/>
          <w:iCs/>
          <w:color w:val="00000A"/>
        </w:rPr>
        <w:t xml:space="preserve"> Yeah so if she was in her last stages I think it would be a requirement that she has the, we have similar to the bible but it’s a scripture that she can listen to. So, it’s very calming its … so we would have that playing in the background. She would have to be ritually cleaned and everything, the sheets have to </w:t>
      </w:r>
      <w:proofErr w:type="spellStart"/>
      <w:r w:rsidRPr="000F7E56">
        <w:rPr>
          <w:rFonts w:cstheme="minorHAnsi"/>
          <w:i/>
          <w:iCs/>
          <w:color w:val="00000A"/>
        </w:rPr>
        <w:t>to</w:t>
      </w:r>
      <w:proofErr w:type="spellEnd"/>
      <w:r w:rsidRPr="000F7E56">
        <w:rPr>
          <w:rFonts w:cstheme="minorHAnsi"/>
          <w:i/>
          <w:iCs/>
          <w:color w:val="00000A"/>
        </w:rPr>
        <w:t xml:space="preserve"> be clean, be in a clean state, and just have people reminding her of her goal of where she is heading. Just reminding her, because she passes away it’s a requirement for us that she says then we call it the testification of faith which is to say that she believes in one god and the Prophet Muhammed is the last messenger. And now that is fundamental to end-of-life care so having people around that can encourage her to be reminded of that and to be able to say it or reflect and ponder if it’s really important.  </w:t>
      </w:r>
    </w:p>
    <w:p w14:paraId="0DE353D0" w14:textId="11C51855" w:rsidR="000F7E56" w:rsidRPr="000F7E56" w:rsidRDefault="000F7E56" w:rsidP="000F7E56">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spacing w:after="120" w:line="360" w:lineRule="auto"/>
        <w:rPr>
          <w:rFonts w:cstheme="minorHAnsi"/>
          <w:color w:val="00000A"/>
        </w:rPr>
      </w:pPr>
      <w:r w:rsidRPr="000F7E56">
        <w:rPr>
          <w:rFonts w:cstheme="minorHAnsi"/>
          <w:color w:val="00000A"/>
        </w:rPr>
        <w:t xml:space="preserve">Even so, and despite a strong desire for the family to provide her mother’s end-of-life care, and an aversion to this being handed over to ‘strangers’, Mrs </w:t>
      </w:r>
      <w:proofErr w:type="spellStart"/>
      <w:r w:rsidRPr="000F7E56">
        <w:rPr>
          <w:rFonts w:cstheme="minorHAnsi"/>
          <w:color w:val="00000A"/>
        </w:rPr>
        <w:t>Chandyo’s</w:t>
      </w:r>
      <w:proofErr w:type="spellEnd"/>
      <w:r w:rsidRPr="000F7E56">
        <w:rPr>
          <w:rFonts w:cstheme="minorHAnsi"/>
          <w:color w:val="00000A"/>
        </w:rPr>
        <w:t xml:space="preserve"> daughter- consultee</w:t>
      </w:r>
      <w:r w:rsidR="00A11180">
        <w:rPr>
          <w:rFonts w:cstheme="minorHAnsi"/>
          <w:color w:val="00000A"/>
        </w:rPr>
        <w:t xml:space="preserve">, </w:t>
      </w:r>
      <w:r w:rsidRPr="000F7E56">
        <w:rPr>
          <w:rFonts w:cstheme="minorHAnsi"/>
          <w:color w:val="00000A"/>
        </w:rPr>
        <w:t xml:space="preserve">accepted that if became no longer possible to achieve her comfort at home, then the family would consider her admission to hospice. </w:t>
      </w:r>
    </w:p>
    <w:p w14:paraId="6512F879" w14:textId="77777777" w:rsidR="000F7E56" w:rsidRPr="000F7E56" w:rsidRDefault="000F7E56" w:rsidP="000F7E56">
      <w:pPr>
        <w:spacing w:after="120" w:line="360" w:lineRule="auto"/>
      </w:pPr>
      <w:r w:rsidRPr="000F7E56">
        <w:t xml:space="preserve">In other cases, participants indicated that they had concerns which had not been discussed with HCPs because they fell outside the limited agenda of professional EOLC planning. Mrs </w:t>
      </w:r>
      <w:proofErr w:type="spellStart"/>
      <w:r w:rsidRPr="000F7E56">
        <w:t>Challa’s</w:t>
      </w:r>
      <w:proofErr w:type="spellEnd"/>
      <w:r w:rsidRPr="000F7E56">
        <w:t xml:space="preserve"> husband described how someone had come from the GP surgery to speak to the family about the patient’s future wishes. It was not clear if this had been documented, but they had made it clear that in addition to dying at home, the family wished P to be resuscitated in the event her heart stopped and to have all possible treatment to prolong her life, the determination of which they believed to be in God’s hands. However, a critical issue for Mrs </w:t>
      </w:r>
      <w:proofErr w:type="spellStart"/>
      <w:r w:rsidRPr="000F7E56">
        <w:t>Challa’s</w:t>
      </w:r>
      <w:proofErr w:type="spellEnd"/>
      <w:r w:rsidRPr="000F7E56">
        <w:t xml:space="preserve"> husband was how to arrange for his wife’s funeral to be held in India rather than the UK. He had not so far felt able to talk to the GP about this, but following a discussion in the interview, he resolved to do so in the near future. </w:t>
      </w:r>
    </w:p>
    <w:p w14:paraId="23D336B7" w14:textId="77777777" w:rsidR="000F7E56" w:rsidRPr="000F7E56" w:rsidRDefault="000F7E56" w:rsidP="000F7E56">
      <w:pPr>
        <w:spacing w:after="120" w:line="360" w:lineRule="auto"/>
      </w:pPr>
      <w:r w:rsidRPr="000F7E56">
        <w:lastRenderedPageBreak/>
        <w:t xml:space="preserve">Several bereaved carers recalled situations where speedy deterioration had made plans redundant. They described being in a rather responsive mode of planning, although, in retrospect, they appreciated the value of such planning had they had the chance to do so. </w:t>
      </w:r>
    </w:p>
    <w:p w14:paraId="78E6CE83" w14:textId="77777777" w:rsidR="000F7E56" w:rsidRPr="000F7E56" w:rsidRDefault="000F7E56" w:rsidP="000F7E56">
      <w:pPr>
        <w:spacing w:after="120" w:line="360" w:lineRule="auto"/>
        <w:ind w:left="720"/>
      </w:pPr>
      <w:r w:rsidRPr="000F7E56">
        <w:rPr>
          <w:i/>
        </w:rPr>
        <w:t xml:space="preserve">I mean I think had the situation been different I think, yes she could have been a lot more involved in that decision-making process itself. But also …. what’s potentially ahead of them if someone does broach the subject to say, ‘Well, OK you know we are at a stage where at some point in the future we are going to be end-of-life, and we need to try and think about how that would work best for you as a family and for her as a patient.   And if, you know, if those discussions happen earlier on I think it helps the family prepare in a better way. </w:t>
      </w:r>
      <w:r w:rsidRPr="000F7E56">
        <w:t xml:space="preserve">(Mrs Bhagat’s daughter). </w:t>
      </w:r>
    </w:p>
    <w:p w14:paraId="498D7518" w14:textId="77777777" w:rsidR="000F7E56" w:rsidRPr="000F7E56" w:rsidRDefault="000F7E56" w:rsidP="000F7E56">
      <w:pPr>
        <w:spacing w:after="120" w:line="360" w:lineRule="auto"/>
      </w:pPr>
      <w:r w:rsidRPr="000F7E56">
        <w:t>One BFCG described how useful having a care plan in place had been in ‘standing their ground’ when their relative deteriorated and the initial professional reaction was to admit them to hospital. The availability of the plan enabled her to question whether this was indeed the right option.  In the event, the patient was admitted to hospital where he subsequently died.  However, the BFCG felt that the documented plan had enabled her voice to be heard and contributed to a soundly decided outcome. She perceived great benefit in having thought ahead and felt empowered by having a documented plan:</w:t>
      </w:r>
    </w:p>
    <w:p w14:paraId="52D1FD26" w14:textId="77777777" w:rsidR="000F7E56" w:rsidRPr="000F7E56" w:rsidRDefault="000F7E56" w:rsidP="000F7E56">
      <w:pPr>
        <w:spacing w:after="120" w:line="360" w:lineRule="auto"/>
        <w:ind w:left="720"/>
        <w:rPr>
          <w:i/>
        </w:rPr>
      </w:pPr>
      <w:r w:rsidRPr="000F7E56">
        <w:rPr>
          <w:i/>
        </w:rPr>
        <w:t>Yes, I would say to people that... plan ahead, if you know there is progressive illness in the family plan ahead. Go to your GP, make a plan as to what you want to do, how you want it done. Rather than the professionals pushing to say you have to do this, you have to do that. It’s your and your person’s decisions as to how they want to die and where they want to die... And to be looked after by family at the end which we did. Which is what [patient] would have liked...So I was very fortunate that you know all this thing was in place.</w:t>
      </w:r>
      <w:r w:rsidRPr="000F7E56">
        <w:t xml:space="preserve"> (Mr Bagri’s wife).</w:t>
      </w:r>
    </w:p>
    <w:p w14:paraId="5CE97611" w14:textId="77777777" w:rsidR="000F7E56" w:rsidRPr="000F7E56" w:rsidRDefault="000F7E56" w:rsidP="000F7E56">
      <w:pPr>
        <w:spacing w:after="120" w:line="360" w:lineRule="auto"/>
        <w:rPr>
          <w:iCs/>
        </w:rPr>
      </w:pPr>
      <w:r w:rsidRPr="000F7E56">
        <w:rPr>
          <w:iCs/>
        </w:rPr>
        <w:t xml:space="preserve">Documented plans, or even informal discussion, of future care decisions were described as occurring in the community, during a scheduled visit to the GP or a domiciliary visit from a nurse. Hospital was a difficult setting in which to engage in extended talk. Participants described hospital admissions as being the site of stressful and upsetting encounters, often centring on single issues such as decisions about DNACPR or ceilings of care.  These also seem to have been occasions when patients and family members were given information about a limited prognosis in rather brusque and insensitive terms. The distressing nature of this information was compounded when it was also the family’s confrontation with the severity of the patient’s illness and how close they were to the end-of-life. </w:t>
      </w:r>
    </w:p>
    <w:p w14:paraId="03634D29" w14:textId="77777777" w:rsidR="000F7E56" w:rsidRPr="000F7E56" w:rsidRDefault="000F7E56" w:rsidP="000F7E56">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spacing w:after="120" w:line="360" w:lineRule="auto"/>
        <w:ind w:left="720"/>
        <w:rPr>
          <w:b/>
          <w:bCs/>
          <w:i/>
        </w:rPr>
      </w:pPr>
      <w:r w:rsidRPr="000F7E56">
        <w:rPr>
          <w:b/>
          <w:bCs/>
        </w:rPr>
        <w:t>Researcher:</w:t>
      </w:r>
      <w:r w:rsidRPr="000F7E56">
        <w:rPr>
          <w:b/>
          <w:bCs/>
          <w:i/>
        </w:rPr>
        <w:t xml:space="preserve"> There has been no communication about .. so they had the end-of-life care plan they had that discussion with you when your mum had sepsis in the hospital?</w:t>
      </w:r>
    </w:p>
    <w:p w14:paraId="1393CF5A" w14:textId="77777777" w:rsidR="000F7E56" w:rsidRPr="000F7E56" w:rsidRDefault="000F7E56" w:rsidP="000F7E56">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spacing w:after="120" w:line="360" w:lineRule="auto"/>
        <w:ind w:left="720"/>
      </w:pPr>
      <w:r w:rsidRPr="000F7E56">
        <w:rPr>
          <w:i/>
        </w:rPr>
        <w:lastRenderedPageBreak/>
        <w:t>Yes they had the do not resuscitate and everything like that, they had that discussion with us and they had the prepare for the worst and you need to get a funeral plan. But there was no real end-of-life care discussion no</w:t>
      </w:r>
      <w:r w:rsidRPr="000F7E56">
        <w:t>. (Mrs Chawla’s daughter).</w:t>
      </w:r>
    </w:p>
    <w:p w14:paraId="28865EAD" w14:textId="77777777" w:rsidR="000F7E56" w:rsidRPr="000F7E56" w:rsidRDefault="000F7E56" w:rsidP="000F7E56">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spacing w:after="120" w:line="360" w:lineRule="auto"/>
        <w:rPr>
          <w:iCs/>
        </w:rPr>
      </w:pPr>
      <w:r w:rsidRPr="000F7E56">
        <w:rPr>
          <w:iCs/>
        </w:rPr>
        <w:t xml:space="preserve">Aspects of advance planning were quite common in relation to preparation for future events which while they were inevitable but distant, for example, making wills, completing LPA, arranging and paying for funerals and collecting items for ritual ceremonies such as funeral shrouds. Discussion of such matters was easier to have far in advance of need. Mrs </w:t>
      </w:r>
      <w:proofErr w:type="spellStart"/>
      <w:r w:rsidRPr="000F7E56">
        <w:rPr>
          <w:iCs/>
        </w:rPr>
        <w:t>Chandyo’s</w:t>
      </w:r>
      <w:proofErr w:type="spellEnd"/>
      <w:r w:rsidRPr="000F7E56">
        <w:rPr>
          <w:iCs/>
        </w:rPr>
        <w:t xml:space="preserve"> daughter described having talked with her mother about the formalities to be observed before and after her death, including the shroud that the family had bought for her while she was still relatively well. However, in her mother’s present stage of fragile health it would be inappropriate to raise such matters and indeed, might be actively harmful, in prompting loss of hope which would cause her body to ‘shut down’. </w:t>
      </w:r>
    </w:p>
    <w:p w14:paraId="45EAE86A" w14:textId="77777777" w:rsidR="000F7E56" w:rsidRPr="000F7E56" w:rsidRDefault="000F7E56" w:rsidP="000F7E56">
      <w:pPr>
        <w:keepNext/>
        <w:keepLines/>
        <w:spacing w:before="40" w:after="0" w:line="276" w:lineRule="auto"/>
        <w:outlineLvl w:val="2"/>
        <w:rPr>
          <w:rFonts w:asciiTheme="majorHAnsi" w:eastAsiaTheme="majorEastAsia" w:hAnsiTheme="majorHAnsi" w:cstheme="majorBidi"/>
          <w:color w:val="1F3763" w:themeColor="accent1" w:themeShade="7F"/>
          <w:sz w:val="24"/>
          <w:szCs w:val="24"/>
        </w:rPr>
      </w:pPr>
      <w:bookmarkStart w:id="308" w:name="_Toc89763996"/>
      <w:bookmarkStart w:id="309" w:name="_Toc106697825"/>
      <w:r w:rsidRPr="000F7E56">
        <w:rPr>
          <w:rFonts w:asciiTheme="majorHAnsi" w:eastAsiaTheme="majorEastAsia" w:hAnsiTheme="majorHAnsi" w:cstheme="majorBidi"/>
          <w:color w:val="1F3763" w:themeColor="accent1" w:themeShade="7F"/>
          <w:sz w:val="24"/>
          <w:szCs w:val="24"/>
        </w:rPr>
        <w:t>The difficulty of prognostication</w:t>
      </w:r>
      <w:bookmarkEnd w:id="308"/>
      <w:bookmarkEnd w:id="309"/>
    </w:p>
    <w:p w14:paraId="5FE314FB" w14:textId="77777777" w:rsidR="000F7E56" w:rsidRPr="000F7E56" w:rsidRDefault="000F7E56" w:rsidP="000F7E56">
      <w:pPr>
        <w:spacing w:after="120" w:line="360" w:lineRule="auto"/>
      </w:pPr>
      <w:r w:rsidRPr="000F7E56">
        <w:t xml:space="preserve">For families who had engaged in discussion of EOLCP, prognosis was often described as a difficult issue. Accounts of professional estimation of the patient’s life expectancy were common, as also was the experience of their inaccuracy.  </w:t>
      </w:r>
    </w:p>
    <w:p w14:paraId="25A8BF4C" w14:textId="77777777" w:rsidR="000F7E56" w:rsidRPr="000F7E56" w:rsidRDefault="000F7E56" w:rsidP="000F7E56">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spacing w:after="120" w:line="360" w:lineRule="auto"/>
        <w:ind w:left="720"/>
        <w:rPr>
          <w:rFonts w:ascii="Calibri" w:hAnsi="Calibri" w:cs="Calibri"/>
          <w:i/>
          <w:iCs/>
          <w:color w:val="00000A"/>
        </w:rPr>
      </w:pPr>
      <w:r w:rsidRPr="000F7E56">
        <w:rPr>
          <w:rFonts w:ascii="Calibri" w:hAnsi="Calibri" w:cs="Calibri"/>
          <w:i/>
          <w:iCs/>
          <w:color w:val="00000A"/>
        </w:rPr>
        <w:t xml:space="preserve">I think a lot of people feel, maybe they are trying to cover their backs I don't know why they say that. Maybe they just want you to have realistic expectations, a minimum of how long your parent is alive. But we didn't actually take it, it is upsetting but as a family we have had an experience like this with my dad where they said he only had 24 hours to live, and he lived another 12 years. </w:t>
      </w:r>
      <w:r w:rsidRPr="000F7E56">
        <w:rPr>
          <w:rFonts w:ascii="Calibri" w:hAnsi="Calibri" w:cs="Calibri"/>
          <w:iCs/>
          <w:color w:val="00000A"/>
        </w:rPr>
        <w:t>(</w:t>
      </w:r>
      <w:r w:rsidRPr="000F7E56">
        <w:rPr>
          <w:rFonts w:cstheme="minorHAnsi"/>
          <w:iCs/>
          <w:color w:val="00000A"/>
        </w:rPr>
        <w:t xml:space="preserve">Mrs </w:t>
      </w:r>
      <w:proofErr w:type="spellStart"/>
      <w:r w:rsidRPr="000F7E56">
        <w:rPr>
          <w:rFonts w:cstheme="minorHAnsi"/>
          <w:iCs/>
          <w:color w:val="00000A"/>
        </w:rPr>
        <w:t>Chandyo’s</w:t>
      </w:r>
      <w:proofErr w:type="spellEnd"/>
      <w:r w:rsidRPr="000F7E56">
        <w:rPr>
          <w:rFonts w:cstheme="minorHAnsi"/>
          <w:iCs/>
          <w:color w:val="00000A"/>
        </w:rPr>
        <w:t xml:space="preserve"> daughter).</w:t>
      </w:r>
    </w:p>
    <w:p w14:paraId="55BF7F7B" w14:textId="77777777" w:rsidR="000F7E56" w:rsidRPr="000F7E56" w:rsidRDefault="000F7E56" w:rsidP="000F7E56">
      <w:pPr>
        <w:spacing w:after="120" w:line="360" w:lineRule="auto"/>
      </w:pPr>
      <w:r w:rsidRPr="000F7E56">
        <w:t xml:space="preserve">Where there was a discrepancy, most patients were reported to have outlived the prognosis, sometimes by a considerable period. This provided a robust justification for relatives to ignore professional invitations to engage in subsequent discussion of EOLC planning.  In some cases, however, participants expressed regret.  Just as not realising how close the patient was to the end-of-life could deny family members the chance to savour the last days or weeks remaining, so the false anticipation of imminent death could prompt decisions that relatives later came to question or regret. Mrs </w:t>
      </w:r>
      <w:proofErr w:type="spellStart"/>
      <w:r w:rsidRPr="000F7E56">
        <w:t>Chandyo’s</w:t>
      </w:r>
      <w:proofErr w:type="spellEnd"/>
      <w:r w:rsidRPr="000F7E56">
        <w:t xml:space="preserve"> daughter – consultee described how the family had accepted a professional decision to cease active treatment and aim simply to make her mother comfortable, because she was judged to be close to death. Consequently, the family refused the offer of a blood transfusion which it was suggested might make her mother feel better, apparently on the suggestion of a nurse. </w:t>
      </w:r>
    </w:p>
    <w:p w14:paraId="2E8A665B" w14:textId="77777777" w:rsidR="000F7E56" w:rsidRPr="000F7E56" w:rsidRDefault="000F7E56" w:rsidP="000F7E56">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spacing w:after="120" w:line="360" w:lineRule="auto"/>
        <w:ind w:left="720"/>
        <w:contextualSpacing/>
        <w:rPr>
          <w:rFonts w:cstheme="minorHAnsi"/>
          <w:i/>
          <w:iCs/>
          <w:color w:val="00000A"/>
        </w:rPr>
      </w:pPr>
      <w:bookmarkStart w:id="310" w:name="_Hlk89940287"/>
      <w:r w:rsidRPr="000F7E56">
        <w:rPr>
          <w:rFonts w:cstheme="minorHAnsi"/>
          <w:iCs/>
          <w:color w:val="00000A"/>
        </w:rPr>
        <w:t xml:space="preserve">Mrs </w:t>
      </w:r>
      <w:proofErr w:type="spellStart"/>
      <w:r w:rsidRPr="000F7E56">
        <w:rPr>
          <w:rFonts w:cstheme="minorHAnsi"/>
          <w:iCs/>
          <w:color w:val="00000A"/>
        </w:rPr>
        <w:t>Chandyo’s</w:t>
      </w:r>
      <w:proofErr w:type="spellEnd"/>
      <w:r w:rsidRPr="000F7E56">
        <w:rPr>
          <w:rFonts w:cstheme="minorHAnsi"/>
          <w:iCs/>
          <w:color w:val="00000A"/>
        </w:rPr>
        <w:t xml:space="preserve"> daughter - consultee:</w:t>
      </w:r>
      <w:r w:rsidRPr="000F7E56">
        <w:rPr>
          <w:rFonts w:cstheme="minorHAnsi"/>
          <w:i/>
          <w:iCs/>
          <w:color w:val="00000A"/>
        </w:rPr>
        <w:t xml:space="preserve"> </w:t>
      </w:r>
      <w:bookmarkEnd w:id="310"/>
      <w:r w:rsidRPr="000F7E56">
        <w:rPr>
          <w:rFonts w:cstheme="minorHAnsi"/>
          <w:i/>
          <w:iCs/>
          <w:color w:val="00000A"/>
        </w:rPr>
        <w:t>It is a different pathway, because they are not treating her any more. We are just trying to make her comfortable.</w:t>
      </w:r>
    </w:p>
    <w:p w14:paraId="0E856E47" w14:textId="77777777" w:rsidR="000F7E56" w:rsidRPr="000F7E56" w:rsidRDefault="000F7E56" w:rsidP="000F7E56">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spacing w:after="120" w:line="360" w:lineRule="auto"/>
        <w:ind w:left="720"/>
        <w:contextualSpacing/>
        <w:rPr>
          <w:rFonts w:cstheme="minorHAnsi"/>
          <w:i/>
          <w:iCs/>
          <w:color w:val="00000A"/>
        </w:rPr>
      </w:pPr>
    </w:p>
    <w:p w14:paraId="2FE45CA1" w14:textId="77777777" w:rsidR="000F7E56" w:rsidRPr="000F7E56" w:rsidRDefault="000F7E56" w:rsidP="000F7E56">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spacing w:after="120" w:line="360" w:lineRule="auto"/>
        <w:ind w:left="709"/>
        <w:contextualSpacing/>
        <w:rPr>
          <w:rFonts w:cstheme="minorHAnsi"/>
          <w:b/>
          <w:bCs/>
          <w:i/>
          <w:iCs/>
          <w:color w:val="00000A"/>
        </w:rPr>
      </w:pPr>
      <w:r w:rsidRPr="000F7E56">
        <w:rPr>
          <w:rFonts w:cstheme="minorHAnsi"/>
          <w:b/>
          <w:bCs/>
          <w:iCs/>
          <w:color w:val="00000A"/>
        </w:rPr>
        <w:lastRenderedPageBreak/>
        <w:t>Researcher:</w:t>
      </w:r>
      <w:r w:rsidRPr="000F7E56">
        <w:rPr>
          <w:rFonts w:cstheme="minorHAnsi"/>
          <w:b/>
          <w:bCs/>
          <w:i/>
          <w:iCs/>
          <w:color w:val="00000A"/>
        </w:rPr>
        <w:t xml:space="preserve"> What does that mean to you, they are not treating her any more, they are trying to keep her comfortable?</w:t>
      </w:r>
    </w:p>
    <w:p w14:paraId="66C26739" w14:textId="77777777" w:rsidR="000F7E56" w:rsidRPr="000F7E56" w:rsidRDefault="000F7E56" w:rsidP="000F7E56">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spacing w:after="120" w:line="360" w:lineRule="auto"/>
        <w:contextualSpacing/>
        <w:rPr>
          <w:rFonts w:cstheme="minorHAnsi"/>
          <w:b/>
          <w:bCs/>
          <w:i/>
          <w:iCs/>
          <w:color w:val="00000A"/>
        </w:rPr>
      </w:pPr>
    </w:p>
    <w:p w14:paraId="4AFEF4A3" w14:textId="77777777" w:rsidR="000F7E56" w:rsidRPr="000F7E56" w:rsidRDefault="000F7E56" w:rsidP="000F7E56">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spacing w:after="120" w:line="360" w:lineRule="auto"/>
        <w:ind w:left="720"/>
        <w:rPr>
          <w:rFonts w:cstheme="minorHAnsi"/>
          <w:i/>
          <w:iCs/>
          <w:color w:val="00000A"/>
        </w:rPr>
      </w:pPr>
      <w:r w:rsidRPr="000F7E56">
        <w:rPr>
          <w:rFonts w:cstheme="minorHAnsi"/>
          <w:iCs/>
          <w:color w:val="00000A"/>
        </w:rPr>
        <w:t xml:space="preserve">Mrs </w:t>
      </w:r>
      <w:proofErr w:type="spellStart"/>
      <w:r w:rsidRPr="000F7E56">
        <w:rPr>
          <w:rFonts w:cstheme="minorHAnsi"/>
          <w:iCs/>
          <w:color w:val="00000A"/>
        </w:rPr>
        <w:t>Chandyo’s</w:t>
      </w:r>
      <w:proofErr w:type="spellEnd"/>
      <w:r w:rsidRPr="000F7E56">
        <w:rPr>
          <w:rFonts w:cstheme="minorHAnsi"/>
          <w:iCs/>
          <w:color w:val="00000A"/>
        </w:rPr>
        <w:t xml:space="preserve"> daughter - consultee:</w:t>
      </w:r>
      <w:r w:rsidRPr="000F7E56">
        <w:rPr>
          <w:rFonts w:cstheme="minorHAnsi"/>
          <w:i/>
          <w:iCs/>
          <w:color w:val="00000A"/>
        </w:rPr>
        <w:t xml:space="preserve"> It means they have, in terms of, for example, we didn't expect her to live so long, we were expecting her maybe a couple of months and I think that was the expectation from the health care professionals as well. At the time she was … they said if the family agreed Mum could have another transfusion because that would perk her up it would help her a lot. But because of the timescale we were looking at end-of-life, looking at her it might benefit her. And now I think that, and I think I had made that decision to go ahead with it, because that was four months ago.</w:t>
      </w:r>
    </w:p>
    <w:p w14:paraId="31FBDF84" w14:textId="77777777" w:rsidR="000F7E56" w:rsidRPr="000F7E56" w:rsidRDefault="000F7E56" w:rsidP="000F7E56">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spacing w:after="120" w:line="360" w:lineRule="auto"/>
        <w:ind w:left="720"/>
        <w:rPr>
          <w:rFonts w:cstheme="minorHAnsi"/>
          <w:i/>
          <w:iCs/>
          <w:color w:val="00000A"/>
        </w:rPr>
      </w:pPr>
      <w:r w:rsidRPr="000F7E56">
        <w:rPr>
          <w:rFonts w:cstheme="minorHAnsi"/>
          <w:b/>
          <w:bCs/>
          <w:iCs/>
          <w:color w:val="00000A"/>
        </w:rPr>
        <w:t>Researcher:</w:t>
      </w:r>
      <w:r w:rsidRPr="000F7E56">
        <w:rPr>
          <w:rFonts w:cstheme="minorHAnsi"/>
          <w:b/>
          <w:bCs/>
          <w:i/>
          <w:iCs/>
          <w:color w:val="00000A"/>
        </w:rPr>
        <w:t xml:space="preserve"> You think that would have helped her?</w:t>
      </w:r>
    </w:p>
    <w:p w14:paraId="26BA9DAD" w14:textId="77777777" w:rsidR="000F7E56" w:rsidRPr="000F7E56" w:rsidRDefault="000F7E56" w:rsidP="000F7E56">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spacing w:after="120" w:line="360" w:lineRule="auto"/>
        <w:ind w:left="720"/>
        <w:rPr>
          <w:rFonts w:cstheme="minorHAnsi"/>
          <w:i/>
          <w:iCs/>
          <w:color w:val="00000A"/>
        </w:rPr>
      </w:pPr>
      <w:r w:rsidRPr="000F7E56">
        <w:rPr>
          <w:rFonts w:cstheme="minorHAnsi"/>
          <w:iCs/>
          <w:color w:val="00000A"/>
        </w:rPr>
        <w:t xml:space="preserve">Mrs </w:t>
      </w:r>
      <w:proofErr w:type="spellStart"/>
      <w:r w:rsidRPr="000F7E56">
        <w:rPr>
          <w:rFonts w:cstheme="minorHAnsi"/>
          <w:iCs/>
          <w:color w:val="00000A"/>
        </w:rPr>
        <w:t>Chandyo’s</w:t>
      </w:r>
      <w:proofErr w:type="spellEnd"/>
      <w:r w:rsidRPr="000F7E56">
        <w:rPr>
          <w:rFonts w:cstheme="minorHAnsi"/>
          <w:iCs/>
          <w:color w:val="00000A"/>
        </w:rPr>
        <w:t xml:space="preserve"> daughter - consultee:</w:t>
      </w:r>
      <w:r w:rsidRPr="000F7E56">
        <w:rPr>
          <w:rFonts w:cstheme="minorHAnsi"/>
          <w:i/>
          <w:iCs/>
          <w:color w:val="00000A"/>
        </w:rPr>
        <w:t xml:space="preserve"> I think it would have helped her yeah, not in terms of making her life better, just making her more comfortable. Because now she is, she goes blue, if it could help her even a little that would have been a help but that's not there anymore. </w:t>
      </w:r>
    </w:p>
    <w:p w14:paraId="603FBDB4" w14:textId="77777777" w:rsidR="000F7E56" w:rsidRPr="000F7E56" w:rsidRDefault="000F7E56" w:rsidP="000F7E56">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spacing w:after="120" w:line="360" w:lineRule="auto"/>
        <w:ind w:left="720"/>
        <w:rPr>
          <w:rFonts w:cstheme="minorHAnsi"/>
          <w:i/>
          <w:iCs/>
          <w:color w:val="00000A"/>
        </w:rPr>
      </w:pPr>
      <w:r w:rsidRPr="000F7E56">
        <w:rPr>
          <w:rFonts w:cstheme="minorHAnsi"/>
          <w:b/>
          <w:bCs/>
          <w:iCs/>
          <w:color w:val="00000A"/>
        </w:rPr>
        <w:t>Researcher</w:t>
      </w:r>
      <w:r w:rsidRPr="000F7E56">
        <w:rPr>
          <w:rFonts w:cstheme="minorHAnsi"/>
          <w:b/>
          <w:bCs/>
          <w:i/>
          <w:iCs/>
          <w:color w:val="00000A"/>
        </w:rPr>
        <w:t>: Is that a decision you needed to make?</w:t>
      </w:r>
    </w:p>
    <w:p w14:paraId="085D83A7" w14:textId="77777777" w:rsidR="000F7E56" w:rsidRPr="000F7E56" w:rsidRDefault="000F7E56" w:rsidP="000F7E56">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spacing w:after="120" w:line="360" w:lineRule="auto"/>
        <w:ind w:left="720"/>
        <w:rPr>
          <w:rFonts w:cstheme="minorHAnsi"/>
          <w:i/>
          <w:iCs/>
          <w:color w:val="00000A"/>
        </w:rPr>
      </w:pPr>
      <w:r w:rsidRPr="000F7E56">
        <w:rPr>
          <w:rFonts w:cstheme="minorHAnsi"/>
          <w:iCs/>
          <w:color w:val="00000A"/>
        </w:rPr>
        <w:t xml:space="preserve">Mrs </w:t>
      </w:r>
      <w:proofErr w:type="spellStart"/>
      <w:r w:rsidRPr="000F7E56">
        <w:rPr>
          <w:rFonts w:cstheme="minorHAnsi"/>
          <w:iCs/>
          <w:color w:val="00000A"/>
        </w:rPr>
        <w:t>Chandyo’s</w:t>
      </w:r>
      <w:proofErr w:type="spellEnd"/>
      <w:r w:rsidRPr="000F7E56">
        <w:rPr>
          <w:rFonts w:cstheme="minorHAnsi"/>
          <w:iCs/>
          <w:color w:val="00000A"/>
        </w:rPr>
        <w:t xml:space="preserve"> daughter - consultee</w:t>
      </w:r>
      <w:r w:rsidRPr="000F7E56">
        <w:rPr>
          <w:rFonts w:cstheme="minorHAnsi"/>
          <w:i/>
          <w:iCs/>
          <w:color w:val="00000A"/>
        </w:rPr>
        <w:t>: It was but we were swayed to saying well no because she might not have that long and it’s not going to benefit her. But she has actually been here about I think 4 months.</w:t>
      </w:r>
    </w:p>
    <w:p w14:paraId="0690484E" w14:textId="154DC3EA" w:rsidR="000F7E56" w:rsidRPr="000F7E56" w:rsidRDefault="000F7E56" w:rsidP="000F7E56">
      <w:pPr>
        <w:spacing w:after="120" w:line="360" w:lineRule="auto"/>
        <w:rPr>
          <w:rFonts w:cstheme="minorHAnsi"/>
        </w:rPr>
      </w:pPr>
      <w:r w:rsidRPr="000F7E56">
        <w:rPr>
          <w:rFonts w:cstheme="minorHAnsi"/>
        </w:rPr>
        <w:t xml:space="preserve">Several relatives described being told that there was no further treatment available for their relative, who was scheduled for comfort care only. This was a cause of some uncertainty, misunderstanding and distress, especially when participants felt that professionals were withholding treatment which might have been of benefit. Mrs Chadha’s daughter described how her mother had been told several times that the aim was simply to keep her comfortable because there was no more effective treatment available. She had also been told during an admission to A&amp;E that she did not need to call an ambulance in future if she became unwell at home. Mrs Chadha’s daughter felt this attitude was extremely unhelpful as her mother had several times experienced infections that were easily treatable with antibiotics.  Consequently, she had endured a serious lung infection for an extended period of time, rather than ask for medical assessment and treatment. When </w:t>
      </w:r>
      <w:r w:rsidR="002A2F37">
        <w:rPr>
          <w:rFonts w:cstheme="minorHAnsi"/>
        </w:rPr>
        <w:t>Mrs Chadha</w:t>
      </w:r>
      <w:r w:rsidRPr="000F7E56">
        <w:rPr>
          <w:rFonts w:cstheme="minorHAnsi"/>
        </w:rPr>
        <w:t xml:space="preserve"> had finally been admitted again to A&amp;E in a state of serious ill health Mrs Chadha’s daughter had told the consultant there that the reason her mother had not rung for an ambulance was because A&amp;E staff had told her not to call one. </w:t>
      </w:r>
    </w:p>
    <w:p w14:paraId="6832995F" w14:textId="5EF91A6F" w:rsidR="000F7E56" w:rsidRPr="000F7E56" w:rsidRDefault="000F7E56" w:rsidP="000F7E56">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spacing w:after="120" w:line="360" w:lineRule="auto"/>
        <w:ind w:left="720"/>
        <w:rPr>
          <w:rFonts w:cstheme="minorHAnsi"/>
          <w:i/>
          <w:iCs/>
          <w:color w:val="00000A"/>
        </w:rPr>
      </w:pPr>
      <w:r w:rsidRPr="000F7E56">
        <w:rPr>
          <w:rFonts w:cstheme="minorHAnsi"/>
        </w:rPr>
        <w:t xml:space="preserve">Mrs Chadha’s daughter: </w:t>
      </w:r>
      <w:r w:rsidRPr="000F7E56">
        <w:rPr>
          <w:rFonts w:cstheme="minorHAnsi"/>
          <w:i/>
          <w:iCs/>
          <w:color w:val="00000A"/>
        </w:rPr>
        <w:t xml:space="preserve">The only thing they keep on saying is that, you know, ‘There is no further treatment available for you, You know that you are on maximum medication there isn't anything </w:t>
      </w:r>
      <w:r w:rsidRPr="000F7E56">
        <w:rPr>
          <w:rFonts w:cstheme="minorHAnsi"/>
          <w:i/>
          <w:iCs/>
          <w:color w:val="00000A"/>
        </w:rPr>
        <w:lastRenderedPageBreak/>
        <w:t xml:space="preserve">else that </w:t>
      </w:r>
      <w:r w:rsidR="00964D60" w:rsidRPr="000F7E56">
        <w:rPr>
          <w:rFonts w:cstheme="minorHAnsi"/>
          <w:i/>
          <w:iCs/>
          <w:color w:val="00000A"/>
        </w:rPr>
        <w:t>we can</w:t>
      </w:r>
      <w:r w:rsidRPr="000F7E56">
        <w:rPr>
          <w:rFonts w:cstheme="minorHAnsi"/>
          <w:i/>
          <w:iCs/>
          <w:color w:val="00000A"/>
        </w:rPr>
        <w:t xml:space="preserve"> do for you. And we just need to talk about making yourself comfortable rather than treating you anymore because there is no treatments.</w:t>
      </w:r>
    </w:p>
    <w:p w14:paraId="7832C4D3" w14:textId="77777777" w:rsidR="000F7E56" w:rsidRPr="000F7E56" w:rsidRDefault="000F7E56" w:rsidP="000F7E56">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spacing w:after="120" w:line="360" w:lineRule="auto"/>
        <w:ind w:left="720"/>
        <w:rPr>
          <w:rFonts w:cstheme="minorHAnsi"/>
          <w:i/>
          <w:iCs/>
          <w:color w:val="00000A"/>
        </w:rPr>
      </w:pPr>
      <w:r w:rsidRPr="000F7E56">
        <w:rPr>
          <w:rFonts w:cstheme="minorHAnsi"/>
          <w:i/>
          <w:iCs/>
          <w:color w:val="00000A"/>
        </w:rPr>
        <w:tab/>
      </w:r>
      <w:r w:rsidRPr="000F7E56">
        <w:rPr>
          <w:rFonts w:cstheme="minorHAnsi"/>
          <w:b/>
          <w:bCs/>
          <w:iCs/>
          <w:color w:val="00000A"/>
        </w:rPr>
        <w:t>Researcher:</w:t>
      </w:r>
      <w:r w:rsidRPr="000F7E56">
        <w:rPr>
          <w:rFonts w:cstheme="minorHAnsi"/>
          <w:b/>
          <w:bCs/>
          <w:i/>
          <w:iCs/>
          <w:color w:val="00000A"/>
        </w:rPr>
        <w:t xml:space="preserve"> How does your mum take all that kind of discussion?</w:t>
      </w:r>
    </w:p>
    <w:p w14:paraId="4EB5C165" w14:textId="77777777" w:rsidR="000F7E56" w:rsidRPr="000F7E56" w:rsidRDefault="000F7E56" w:rsidP="000F7E56">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spacing w:after="120" w:line="360" w:lineRule="auto"/>
        <w:ind w:left="720"/>
        <w:rPr>
          <w:rFonts w:cstheme="minorHAnsi"/>
          <w:i/>
          <w:iCs/>
          <w:color w:val="00000A"/>
        </w:rPr>
      </w:pPr>
      <w:r w:rsidRPr="000F7E56">
        <w:rPr>
          <w:rFonts w:cstheme="minorHAnsi"/>
          <w:i/>
          <w:iCs/>
          <w:color w:val="00000A"/>
        </w:rPr>
        <w:tab/>
      </w:r>
      <w:bookmarkStart w:id="311" w:name="_Hlk90019763"/>
      <w:r w:rsidRPr="000F7E56">
        <w:rPr>
          <w:rFonts w:cstheme="minorHAnsi"/>
        </w:rPr>
        <w:t>Mrs Chadha’s daughter</w:t>
      </w:r>
      <w:bookmarkEnd w:id="311"/>
      <w:r w:rsidRPr="000F7E56">
        <w:rPr>
          <w:rFonts w:cstheme="minorHAnsi"/>
        </w:rPr>
        <w:t xml:space="preserve">: </w:t>
      </w:r>
      <w:r w:rsidRPr="000F7E56">
        <w:rPr>
          <w:rFonts w:cstheme="minorHAnsi"/>
          <w:i/>
          <w:iCs/>
          <w:color w:val="00000A"/>
        </w:rPr>
        <w:t>I think… I think she knows that she is unwell, very unwell…. but things like you know things like chest infection, water infection that is minor I would say that can be treatable with antibiotics. And mum was really suffering months and months with it because somebody told in A&amp;E to mum that she doesn't need to call an ambulance because there is no further treatment available for her. And when I said the same thing to the consultant there, when she was treated in the hospital with the chest infection and I said to them that, ‘This is the reason she didn't ring for an ambulance, because she was told not to by one of your staff in A&amp;E that why are you calling, you are on advanced you know.’</w:t>
      </w:r>
    </w:p>
    <w:p w14:paraId="2DC92B84" w14:textId="77777777" w:rsidR="000F7E56" w:rsidRPr="000F7E56" w:rsidRDefault="000F7E56" w:rsidP="000F7E56">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spacing w:after="120" w:line="360" w:lineRule="auto"/>
        <w:ind w:left="720"/>
        <w:rPr>
          <w:rFonts w:cstheme="minorHAnsi"/>
          <w:i/>
          <w:iCs/>
          <w:color w:val="00000A"/>
        </w:rPr>
      </w:pPr>
      <w:bookmarkStart w:id="312" w:name="_Hlk90019810"/>
      <w:r w:rsidRPr="000F7E56">
        <w:rPr>
          <w:rFonts w:cstheme="minorHAnsi"/>
          <w:b/>
          <w:bCs/>
          <w:iCs/>
          <w:color w:val="00000A"/>
        </w:rPr>
        <w:t>Researcher:</w:t>
      </w:r>
      <w:bookmarkEnd w:id="312"/>
      <w:r w:rsidRPr="000F7E56">
        <w:rPr>
          <w:rFonts w:cstheme="minorHAnsi"/>
          <w:b/>
          <w:bCs/>
          <w:i/>
          <w:iCs/>
          <w:color w:val="00000A"/>
        </w:rPr>
        <w:t xml:space="preserve"> So if you are in advanced whatever you don't deserve to get any treatment? </w:t>
      </w:r>
    </w:p>
    <w:p w14:paraId="1997290B" w14:textId="77777777" w:rsidR="000F7E56" w:rsidRPr="000F7E56" w:rsidRDefault="000F7E56" w:rsidP="000F7E56">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spacing w:after="120" w:line="360" w:lineRule="auto"/>
        <w:ind w:left="720"/>
        <w:rPr>
          <w:rFonts w:cstheme="minorHAnsi"/>
          <w:i/>
          <w:iCs/>
          <w:color w:val="00000A"/>
        </w:rPr>
      </w:pPr>
      <w:r w:rsidRPr="000F7E56">
        <w:rPr>
          <w:rFonts w:cstheme="minorHAnsi"/>
        </w:rPr>
        <w:t>Mrs Chadha’s daughter:</w:t>
      </w:r>
      <w:r w:rsidRPr="000F7E56">
        <w:rPr>
          <w:rFonts w:cstheme="minorHAnsi"/>
          <w:i/>
          <w:iCs/>
          <w:color w:val="00000A"/>
        </w:rPr>
        <w:t xml:space="preserve"> Well that's what the nurse would have thought and told mum. Because when I spoke to the consultant and when I said to them, ‘That's why mum didn't ring you’, he said, ‘But these are minor illnesses, like chest infection we will be able to treat that. So I don't know why they said that to your mum’ </w:t>
      </w:r>
    </w:p>
    <w:p w14:paraId="570E466A" w14:textId="77777777" w:rsidR="000F7E56" w:rsidRPr="000F7E56" w:rsidRDefault="000F7E56" w:rsidP="000F7E56">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spacing w:after="120" w:line="360" w:lineRule="auto"/>
        <w:ind w:left="720"/>
        <w:rPr>
          <w:rFonts w:cstheme="minorHAnsi"/>
          <w:i/>
          <w:iCs/>
          <w:color w:val="00000A"/>
        </w:rPr>
      </w:pPr>
      <w:r w:rsidRPr="000F7E56">
        <w:rPr>
          <w:rFonts w:cstheme="minorHAnsi"/>
          <w:b/>
          <w:bCs/>
          <w:iCs/>
          <w:color w:val="00000A"/>
        </w:rPr>
        <w:t xml:space="preserve">Researcher: </w:t>
      </w:r>
      <w:r w:rsidRPr="000F7E56">
        <w:rPr>
          <w:rFonts w:cstheme="minorHAnsi"/>
          <w:b/>
          <w:bCs/>
          <w:i/>
          <w:iCs/>
          <w:color w:val="00000A"/>
        </w:rPr>
        <w:t>Hmm and you say that's one of the nurses?</w:t>
      </w:r>
    </w:p>
    <w:p w14:paraId="59B02BEB" w14:textId="77777777" w:rsidR="000F7E56" w:rsidRPr="000F7E56" w:rsidRDefault="000F7E56" w:rsidP="000F7E56">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spacing w:after="120" w:line="360" w:lineRule="auto"/>
        <w:ind w:left="720"/>
        <w:rPr>
          <w:rFonts w:cstheme="minorHAnsi"/>
          <w:i/>
          <w:iCs/>
          <w:color w:val="00000A"/>
        </w:rPr>
      </w:pPr>
      <w:r w:rsidRPr="000F7E56">
        <w:rPr>
          <w:rFonts w:cstheme="minorHAnsi"/>
        </w:rPr>
        <w:t>Mrs Chadha’s daughter:</w:t>
      </w:r>
      <w:r w:rsidRPr="000F7E56">
        <w:rPr>
          <w:rFonts w:cstheme="minorHAnsi"/>
          <w:i/>
          <w:iCs/>
          <w:color w:val="00000A"/>
        </w:rPr>
        <w:t xml:space="preserve"> That's one of the nurses in A&amp;E yes. Who was checking mum in.</w:t>
      </w:r>
    </w:p>
    <w:p w14:paraId="5691C749" w14:textId="77777777" w:rsidR="000F7E56" w:rsidRPr="000F7E56" w:rsidRDefault="000F7E56" w:rsidP="000F7E56">
      <w:pPr>
        <w:spacing w:after="120" w:line="360" w:lineRule="auto"/>
        <w:rPr>
          <w:rFonts w:cstheme="minorHAnsi"/>
        </w:rPr>
      </w:pPr>
      <w:r w:rsidRPr="000F7E56">
        <w:rPr>
          <w:rFonts w:cstheme="minorHAnsi"/>
        </w:rPr>
        <w:t xml:space="preserve">At the same time as her mother was being told that there was no further active treatment available, and repeatedly raised the prospect of her being close to the end-of-life, Mrs Chadha’s daughter also reported that when she had raised the issue of end-of-life care with her mother’s hospice consultant, she had been advised that it was not time to consider this yet, as her mother was not sufficiently ill. </w:t>
      </w:r>
    </w:p>
    <w:p w14:paraId="31973175" w14:textId="77777777" w:rsidR="000F7E56" w:rsidRPr="000F7E56" w:rsidRDefault="000F7E56" w:rsidP="000F7E56">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spacing w:after="120" w:line="360" w:lineRule="auto"/>
        <w:ind w:left="720"/>
        <w:jc w:val="both"/>
        <w:rPr>
          <w:rFonts w:cstheme="minorHAnsi"/>
          <w:i/>
          <w:iCs/>
          <w:color w:val="000000" w:themeColor="text1"/>
        </w:rPr>
      </w:pPr>
      <w:r w:rsidRPr="000F7E56">
        <w:rPr>
          <w:rFonts w:cstheme="minorHAnsi"/>
          <w:iCs/>
        </w:rPr>
        <w:t>Mrs Chadha’s daughter:</w:t>
      </w:r>
      <w:r w:rsidRPr="000F7E56">
        <w:rPr>
          <w:rFonts w:cstheme="minorHAnsi"/>
          <w:i/>
          <w:iCs/>
        </w:rPr>
        <w:t xml:space="preserve"> </w:t>
      </w:r>
      <w:r w:rsidRPr="000F7E56">
        <w:rPr>
          <w:rFonts w:cstheme="minorHAnsi"/>
          <w:i/>
          <w:iCs/>
          <w:color w:val="000000" w:themeColor="text1"/>
        </w:rPr>
        <w:t>I spoke to the consultant at the hospice when we went to see her.</w:t>
      </w:r>
    </w:p>
    <w:p w14:paraId="10512B9A" w14:textId="77777777" w:rsidR="000F7E56" w:rsidRPr="000F7E56" w:rsidRDefault="000F7E56" w:rsidP="000F7E56">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spacing w:after="120" w:line="360" w:lineRule="auto"/>
        <w:ind w:left="720"/>
        <w:jc w:val="both"/>
        <w:rPr>
          <w:rFonts w:cstheme="minorHAnsi"/>
          <w:b/>
          <w:bCs/>
          <w:i/>
          <w:iCs/>
          <w:color w:val="000000" w:themeColor="text1"/>
        </w:rPr>
      </w:pPr>
      <w:r w:rsidRPr="000F7E56">
        <w:rPr>
          <w:rFonts w:cstheme="minorHAnsi"/>
          <w:b/>
          <w:bCs/>
          <w:iCs/>
          <w:color w:val="000000" w:themeColor="text1"/>
        </w:rPr>
        <w:t>Researcher:</w:t>
      </w:r>
      <w:r w:rsidRPr="000F7E56">
        <w:rPr>
          <w:rFonts w:cstheme="minorHAnsi"/>
          <w:b/>
          <w:bCs/>
          <w:i/>
          <w:iCs/>
          <w:color w:val="000000" w:themeColor="text1"/>
        </w:rPr>
        <w:t xml:space="preserve"> Was that after we spoke last?</w:t>
      </w:r>
    </w:p>
    <w:p w14:paraId="15025B1C" w14:textId="77777777" w:rsidR="000F7E56" w:rsidRPr="000F7E56" w:rsidRDefault="000F7E56" w:rsidP="000F7E56">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spacing w:after="120" w:line="360" w:lineRule="auto"/>
        <w:ind w:left="720"/>
        <w:jc w:val="both"/>
        <w:rPr>
          <w:rFonts w:cstheme="minorHAnsi"/>
          <w:i/>
          <w:iCs/>
          <w:color w:val="000000" w:themeColor="text1"/>
        </w:rPr>
      </w:pPr>
      <w:r w:rsidRPr="000F7E56">
        <w:rPr>
          <w:rFonts w:cstheme="minorHAnsi"/>
          <w:i/>
          <w:iCs/>
          <w:color w:val="000000" w:themeColor="text1"/>
        </w:rPr>
        <w:t xml:space="preserve">Yes, I mentioned end of </w:t>
      </w:r>
      <w:r w:rsidRPr="0040316A">
        <w:rPr>
          <w:rFonts w:cstheme="minorHAnsi"/>
          <w:iCs/>
          <w:color w:val="000000" w:themeColor="text1"/>
        </w:rPr>
        <w:t>[life]</w:t>
      </w:r>
      <w:r w:rsidRPr="000F7E56">
        <w:rPr>
          <w:rFonts w:cstheme="minorHAnsi"/>
          <w:i/>
          <w:iCs/>
          <w:color w:val="000000" w:themeColor="text1"/>
        </w:rPr>
        <w:t xml:space="preserve"> care and she said, ‘Not yet,’ she said, ‘It’s not, mums not there yet’</w:t>
      </w:r>
    </w:p>
    <w:p w14:paraId="166E0270" w14:textId="77777777" w:rsidR="000F7E56" w:rsidRPr="000F7E56" w:rsidRDefault="000F7E56" w:rsidP="000F7E56">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spacing w:after="120" w:line="360" w:lineRule="auto"/>
        <w:ind w:left="720"/>
        <w:jc w:val="both"/>
        <w:rPr>
          <w:rFonts w:cstheme="minorHAnsi"/>
          <w:i/>
          <w:iCs/>
          <w:color w:val="000000" w:themeColor="text1"/>
        </w:rPr>
      </w:pPr>
      <w:r w:rsidRPr="000F7E56">
        <w:rPr>
          <w:rFonts w:cstheme="minorHAnsi"/>
          <w:b/>
          <w:bCs/>
          <w:iCs/>
          <w:color w:val="000000" w:themeColor="text1"/>
        </w:rPr>
        <w:t>Researcher:</w:t>
      </w:r>
      <w:r w:rsidRPr="000F7E56">
        <w:rPr>
          <w:rFonts w:cstheme="minorHAnsi"/>
          <w:b/>
          <w:bCs/>
          <w:i/>
          <w:iCs/>
          <w:color w:val="000000" w:themeColor="text1"/>
        </w:rPr>
        <w:t xml:space="preserve"> So you initiated it with a consultant at the hospice?</w:t>
      </w:r>
    </w:p>
    <w:p w14:paraId="15603E2F" w14:textId="3406FBAD" w:rsidR="000F7E56" w:rsidRPr="000F7E56" w:rsidRDefault="000F7E56" w:rsidP="000F7E56">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spacing w:after="120" w:line="360" w:lineRule="auto"/>
        <w:ind w:left="720"/>
        <w:jc w:val="both"/>
        <w:rPr>
          <w:rFonts w:cstheme="minorHAnsi"/>
          <w:i/>
          <w:iCs/>
          <w:color w:val="000000" w:themeColor="text1"/>
        </w:rPr>
      </w:pPr>
      <w:r w:rsidRPr="000F7E56">
        <w:rPr>
          <w:rFonts w:cstheme="minorHAnsi"/>
        </w:rPr>
        <w:t xml:space="preserve">Mrs Chadha’s daughter: </w:t>
      </w:r>
      <w:r w:rsidRPr="000F7E56">
        <w:rPr>
          <w:rFonts w:cstheme="minorHAnsi"/>
          <w:i/>
          <w:iCs/>
          <w:color w:val="000000" w:themeColor="text1"/>
        </w:rPr>
        <w:t>Yes because they all keep mentioning advance</w:t>
      </w:r>
      <w:r w:rsidR="0040316A">
        <w:rPr>
          <w:rFonts w:cstheme="minorHAnsi"/>
          <w:i/>
          <w:iCs/>
          <w:color w:val="000000" w:themeColor="text1"/>
        </w:rPr>
        <w:t xml:space="preserve"> </w:t>
      </w:r>
      <w:r w:rsidRPr="000F7E56">
        <w:rPr>
          <w:rFonts w:cstheme="minorHAnsi"/>
          <w:i/>
          <w:iCs/>
          <w:color w:val="000000" w:themeColor="text1"/>
        </w:rPr>
        <w:t>care so I said does that mean end-of-life.... So, I don't know when does that kick in. Because at the moment it is still advance care plan.</w:t>
      </w:r>
    </w:p>
    <w:p w14:paraId="283E4D18" w14:textId="77777777" w:rsidR="000F7E56" w:rsidRPr="000F7E56" w:rsidRDefault="000F7E56" w:rsidP="000F7E56">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spacing w:after="120" w:line="360" w:lineRule="auto"/>
        <w:ind w:left="720"/>
        <w:jc w:val="both"/>
        <w:rPr>
          <w:rFonts w:cstheme="minorHAnsi"/>
          <w:i/>
          <w:iCs/>
          <w:color w:val="000000" w:themeColor="text1"/>
        </w:rPr>
      </w:pPr>
      <w:r w:rsidRPr="000F7E56">
        <w:rPr>
          <w:rFonts w:cstheme="minorHAnsi"/>
          <w:b/>
          <w:bCs/>
          <w:iCs/>
          <w:color w:val="000000" w:themeColor="text1"/>
        </w:rPr>
        <w:t>Researcher:</w:t>
      </w:r>
      <w:r w:rsidRPr="000F7E56">
        <w:rPr>
          <w:rFonts w:cstheme="minorHAnsi"/>
          <w:b/>
          <w:bCs/>
          <w:i/>
          <w:iCs/>
          <w:color w:val="000000" w:themeColor="text1"/>
        </w:rPr>
        <w:t xml:space="preserve"> OK so the consultant said not yet.</w:t>
      </w:r>
    </w:p>
    <w:p w14:paraId="79205826" w14:textId="77777777" w:rsidR="000F7E56" w:rsidRPr="000F7E56" w:rsidRDefault="000F7E56" w:rsidP="000F7E56">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spacing w:after="120" w:line="360" w:lineRule="auto"/>
        <w:ind w:left="720"/>
        <w:jc w:val="both"/>
        <w:rPr>
          <w:rFonts w:cstheme="minorHAnsi"/>
          <w:i/>
          <w:iCs/>
          <w:color w:val="000000" w:themeColor="text1"/>
        </w:rPr>
      </w:pPr>
      <w:r w:rsidRPr="000F7E56">
        <w:rPr>
          <w:rFonts w:cstheme="minorHAnsi"/>
        </w:rPr>
        <w:lastRenderedPageBreak/>
        <w:t xml:space="preserve">Mrs Chadha’s daughter: </w:t>
      </w:r>
      <w:r w:rsidRPr="000F7E56">
        <w:rPr>
          <w:rFonts w:cstheme="minorHAnsi"/>
          <w:i/>
          <w:iCs/>
          <w:color w:val="000000" w:themeColor="text1"/>
        </w:rPr>
        <w:t>Not yet.  And that's all.</w:t>
      </w:r>
    </w:p>
    <w:p w14:paraId="68E2A01D" w14:textId="05CD9F65" w:rsidR="000F7E56" w:rsidRPr="000F7E56" w:rsidRDefault="000F7E56" w:rsidP="000F7E56">
      <w:pPr>
        <w:spacing w:after="120" w:line="360" w:lineRule="auto"/>
        <w:rPr>
          <w:rFonts w:cstheme="minorHAnsi"/>
        </w:rPr>
      </w:pPr>
      <w:r w:rsidRPr="000F7E56">
        <w:rPr>
          <w:rFonts w:cstheme="minorHAnsi"/>
        </w:rPr>
        <w:t xml:space="preserve">A similar experience was described by Mrs </w:t>
      </w:r>
      <w:proofErr w:type="spellStart"/>
      <w:r w:rsidRPr="000F7E56">
        <w:rPr>
          <w:rFonts w:cstheme="minorHAnsi"/>
        </w:rPr>
        <w:t>Curkovik’s</w:t>
      </w:r>
      <w:proofErr w:type="spellEnd"/>
      <w:r w:rsidRPr="000F7E56">
        <w:rPr>
          <w:rFonts w:cstheme="minorHAnsi"/>
        </w:rPr>
        <w:t xml:space="preserve"> daughter. An Advance Care Plan had been completed during a consultation with her mother’s GP, following a distressing emergency hospital admission. Staff had ‘gone on an on’ about a resuscitation decision and told the family that there was nothing more to be done for </w:t>
      </w:r>
      <w:r w:rsidR="002A2F37">
        <w:rPr>
          <w:rFonts w:cstheme="minorHAnsi"/>
        </w:rPr>
        <w:t xml:space="preserve">Mrs </w:t>
      </w:r>
      <w:proofErr w:type="spellStart"/>
      <w:r w:rsidR="002A2F37">
        <w:rPr>
          <w:rFonts w:cstheme="minorHAnsi"/>
        </w:rPr>
        <w:t>Curkovik</w:t>
      </w:r>
      <w:proofErr w:type="spellEnd"/>
      <w:r w:rsidRPr="000F7E56">
        <w:rPr>
          <w:rFonts w:cstheme="minorHAnsi"/>
        </w:rPr>
        <w:t xml:space="preserve">, that a care plan had to be put in place and that she had only a few more weeks to live. However, this prognosis was subsequently overridden by a consultant who estimated that her mother had a life expectancy of 10 – 12 months. </w:t>
      </w:r>
    </w:p>
    <w:p w14:paraId="5925718B" w14:textId="77777777" w:rsidR="000F7E56" w:rsidRPr="000F7E56" w:rsidRDefault="000F7E56" w:rsidP="000F7E56">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spacing w:after="120" w:line="360" w:lineRule="auto"/>
        <w:ind w:left="720"/>
        <w:rPr>
          <w:rFonts w:cstheme="minorHAnsi"/>
          <w:iCs/>
          <w:color w:val="00000A"/>
        </w:rPr>
      </w:pPr>
      <w:r w:rsidRPr="000F7E56">
        <w:rPr>
          <w:rFonts w:cstheme="minorHAnsi"/>
          <w:i/>
          <w:iCs/>
          <w:color w:val="00000A"/>
        </w:rPr>
        <w:t>And we said, we told her [hospital consultant] everything that had happened on the ward and N then (Name) interrupted and said, ‘Can you please tell us, we know that nobody can tell us for definite how long mum has got left but some idea from weeks to not months, that's what we were told, weeks not months.’ And she said, ‘Well, they are not the specialist,’ something to those effects, ‘They are not the specialist. Mum has got approximately between 10 to 12 months but I can't guarantee that.’  And I said, ‘But why, if they are not specialists in that field did they even mention her life expectancy?’  If they had just left it and said an appointment will be made for you and you will be able to discuss this in further depth and hopefully the consultant might be able to tell you some sort of guidance as to how long mum has got. But it tell us she has got weeks not months that was on the same day they told us they had found the cancer. I will be honest with you I started looking at undertakers and things like that and oh my goodness all I could think of was funeral, funeral and it was horrible, it was just horrible.</w:t>
      </w:r>
      <w:r w:rsidRPr="000F7E56">
        <w:rPr>
          <w:rFonts w:cstheme="minorHAnsi"/>
          <w:iCs/>
          <w:color w:val="00000A"/>
        </w:rPr>
        <w:t xml:space="preserve"> (Mrs </w:t>
      </w:r>
      <w:proofErr w:type="spellStart"/>
      <w:r w:rsidRPr="000F7E56">
        <w:rPr>
          <w:rFonts w:cstheme="minorHAnsi"/>
          <w:iCs/>
          <w:color w:val="00000A"/>
        </w:rPr>
        <w:t>Curkovik’s</w:t>
      </w:r>
      <w:proofErr w:type="spellEnd"/>
      <w:r w:rsidRPr="000F7E56">
        <w:rPr>
          <w:rFonts w:cstheme="minorHAnsi"/>
          <w:iCs/>
          <w:color w:val="00000A"/>
        </w:rPr>
        <w:t xml:space="preserve"> daughter).</w:t>
      </w:r>
    </w:p>
    <w:p w14:paraId="0C81C8C0" w14:textId="77777777" w:rsidR="000F7E56" w:rsidRPr="000F7E56" w:rsidRDefault="000F7E56" w:rsidP="000F7E56">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spacing w:after="120" w:line="360" w:lineRule="auto"/>
        <w:rPr>
          <w:rFonts w:cstheme="minorHAnsi"/>
          <w:color w:val="00000A"/>
        </w:rPr>
      </w:pPr>
      <w:r w:rsidRPr="000F7E56">
        <w:rPr>
          <w:rFonts w:cstheme="minorHAnsi"/>
          <w:color w:val="00000A"/>
        </w:rPr>
        <w:t xml:space="preserve">P’s consultant had continued to prescribe some treatment to stabilise her condition. Despite some kind of documented care plan having been drawn up while P was in hospital, apparently regarding the situations and conditions for which treatment would be given, Mrs </w:t>
      </w:r>
      <w:proofErr w:type="spellStart"/>
      <w:r w:rsidRPr="000F7E56">
        <w:rPr>
          <w:rFonts w:cstheme="minorHAnsi"/>
          <w:color w:val="00000A"/>
        </w:rPr>
        <w:t>Curkovic’s</w:t>
      </w:r>
      <w:proofErr w:type="spellEnd"/>
      <w:r w:rsidRPr="000F7E56">
        <w:rPr>
          <w:rFonts w:cstheme="minorHAnsi"/>
          <w:color w:val="00000A"/>
        </w:rPr>
        <w:t xml:space="preserve"> daughter said that the family had still not made a decision about DNACPR, even though they had been asked about this on a number of occasions. </w:t>
      </w:r>
    </w:p>
    <w:p w14:paraId="69FF2CC3" w14:textId="77777777" w:rsidR="000F7E56" w:rsidRPr="000F7E56" w:rsidRDefault="000F7E56" w:rsidP="000F7E56">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spacing w:after="120" w:line="360" w:lineRule="auto"/>
        <w:ind w:left="720"/>
        <w:rPr>
          <w:rFonts w:cstheme="minorHAnsi"/>
          <w:iCs/>
          <w:color w:val="00000A"/>
        </w:rPr>
      </w:pPr>
      <w:r w:rsidRPr="000F7E56">
        <w:rPr>
          <w:rFonts w:cstheme="minorHAnsi"/>
          <w:i/>
          <w:iCs/>
          <w:color w:val="00000A"/>
        </w:rPr>
        <w:t>I know that at some point, because they said they can take that decision out of our hands and I don't want that decision to be taken out of our hands. I feel that I want to make that decision and I know that at some point we will sign the paperwork. But at this moment in time and I see that mum is still strong and still well I don't want to sign it. You might think this is the wrong thing for me to say or a silly thing to say…… but I just can't do that at the moment. But as soon as I see mum that she is getting …. weaker and weaker and weaker then I will say to (Name), ‘ I feel this is the time: are you agreeing with me?’ (</w:t>
      </w:r>
      <w:r w:rsidRPr="000F7E56">
        <w:rPr>
          <w:rFonts w:cstheme="minorHAnsi"/>
          <w:iCs/>
          <w:color w:val="00000A"/>
        </w:rPr>
        <w:t xml:space="preserve">Mrs </w:t>
      </w:r>
      <w:proofErr w:type="spellStart"/>
      <w:r w:rsidRPr="000F7E56">
        <w:rPr>
          <w:rFonts w:cstheme="minorHAnsi"/>
          <w:iCs/>
          <w:color w:val="00000A"/>
        </w:rPr>
        <w:t>Curkovic’s</w:t>
      </w:r>
      <w:proofErr w:type="spellEnd"/>
      <w:r w:rsidRPr="000F7E56">
        <w:rPr>
          <w:rFonts w:cstheme="minorHAnsi"/>
          <w:iCs/>
          <w:color w:val="00000A"/>
        </w:rPr>
        <w:t xml:space="preserve"> daughter).</w:t>
      </w:r>
    </w:p>
    <w:p w14:paraId="7D652BD3" w14:textId="77777777" w:rsidR="000F7E56" w:rsidRPr="000F7E56" w:rsidRDefault="000F7E56" w:rsidP="000F7E56">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spacing w:after="0" w:line="240" w:lineRule="auto"/>
        <w:rPr>
          <w:rFonts w:cstheme="minorHAnsi"/>
          <w:color w:val="00000A"/>
        </w:rPr>
      </w:pPr>
    </w:p>
    <w:p w14:paraId="2D4F2894" w14:textId="77777777" w:rsidR="000F7E56" w:rsidRPr="000F7E56" w:rsidRDefault="000F7E56" w:rsidP="000F7E56">
      <w:pPr>
        <w:spacing w:after="120" w:line="360" w:lineRule="auto"/>
        <w:rPr>
          <w:rFonts w:cstheme="minorHAnsi"/>
        </w:rPr>
      </w:pPr>
      <w:r w:rsidRPr="000F7E56">
        <w:rPr>
          <w:rFonts w:cstheme="minorHAnsi"/>
        </w:rPr>
        <w:lastRenderedPageBreak/>
        <w:t>Their experience of the inaccuracy of professional prognostication was one reason for relatives to discount the forecasts they were given.  This was also an area in which family members seemed confident in making their own assessments of their relative’s state of health and how near they were to death, based on their appearance and behaviour. This was one reason for reluctance to sign DNACPR forms before irreversible deterioration was beyond doubt; advance decisions about resuscitation were not considered to be appropriate or beneficial. Participants described feeling under pressure from hospital staff to make critical decisions about their relative’s future care, and also to accept professional judgements about the futility of resuscitation and continuing active care. These were distressing experiences, causing considerable doubt and uncertainty, especially when, as described above, the patient subsequently outlived their prognosis.  While some participants resisted these professional judgements others, including older patients, accepted them on the grounds that clinical expertise must be accurate and trustworthy</w:t>
      </w:r>
    </w:p>
    <w:p w14:paraId="50D47109" w14:textId="77777777" w:rsidR="000F7E56" w:rsidRPr="000F7E56" w:rsidRDefault="000F7E56" w:rsidP="000F7E56">
      <w:pPr>
        <w:keepNext/>
        <w:keepLines/>
        <w:spacing w:before="40" w:after="0" w:line="276" w:lineRule="auto"/>
        <w:outlineLvl w:val="2"/>
        <w:rPr>
          <w:rFonts w:asciiTheme="majorHAnsi" w:eastAsiaTheme="majorEastAsia" w:hAnsiTheme="majorHAnsi" w:cstheme="majorBidi"/>
          <w:color w:val="1F3763" w:themeColor="accent1" w:themeShade="7F"/>
          <w:sz w:val="24"/>
          <w:szCs w:val="24"/>
        </w:rPr>
      </w:pPr>
      <w:bookmarkStart w:id="313" w:name="_Toc89763997"/>
      <w:bookmarkStart w:id="314" w:name="_Toc106697826"/>
      <w:r w:rsidRPr="000F7E56">
        <w:rPr>
          <w:rFonts w:asciiTheme="majorHAnsi" w:eastAsiaTheme="majorEastAsia" w:hAnsiTheme="majorHAnsi" w:cstheme="majorBidi"/>
          <w:color w:val="1F3763" w:themeColor="accent1" w:themeShade="7F"/>
          <w:sz w:val="24"/>
          <w:szCs w:val="24"/>
        </w:rPr>
        <w:t>Communication and language</w:t>
      </w:r>
      <w:bookmarkEnd w:id="313"/>
      <w:bookmarkEnd w:id="314"/>
      <w:r w:rsidRPr="000F7E56">
        <w:rPr>
          <w:rFonts w:asciiTheme="majorHAnsi" w:eastAsiaTheme="majorEastAsia" w:hAnsiTheme="majorHAnsi" w:cstheme="majorBidi"/>
          <w:color w:val="1F3763" w:themeColor="accent1" w:themeShade="7F"/>
          <w:sz w:val="24"/>
          <w:szCs w:val="24"/>
        </w:rPr>
        <w:t xml:space="preserve"> </w:t>
      </w:r>
    </w:p>
    <w:p w14:paraId="010133C0" w14:textId="77777777" w:rsidR="000F7E56" w:rsidRPr="000F7E56" w:rsidRDefault="000F7E56" w:rsidP="000F7E56">
      <w:pPr>
        <w:spacing w:after="120" w:line="360" w:lineRule="auto"/>
      </w:pPr>
      <w:r w:rsidRPr="000F7E56">
        <w:t xml:space="preserve">Whilst acknowledging the uncertainty that characterises serious and prolonged illness, some patients expressed frustration that their concerns were not being addressed and that they were therefore ill-informed to consider what the future might hold. Poor communication and vague language, including what was perceived to be professional evasiveness and equivocation, contributed to uncertainty about diagnosis, illness progression, treatment options and prognosis. </w:t>
      </w:r>
    </w:p>
    <w:p w14:paraId="262AF92F" w14:textId="77777777" w:rsidR="000F7E56" w:rsidRPr="000F7E56" w:rsidRDefault="000F7E56" w:rsidP="000F7E56">
      <w:pPr>
        <w:spacing w:after="120" w:line="360" w:lineRule="auto"/>
        <w:ind w:left="720"/>
        <w:rPr>
          <w:i/>
        </w:rPr>
      </w:pPr>
      <w:r w:rsidRPr="000F7E56">
        <w:rPr>
          <w:i/>
        </w:rPr>
        <w:t xml:space="preserve">...when he went in for his cancer appointment if we asked him [doctor] what is the stage, where are we, what are we looking at now. ‘Oh no, no, he is not at that stage now you will know when he is at that stage...’ But how do you know when he is at that stage? </w:t>
      </w:r>
      <w:r w:rsidRPr="000F7E56">
        <w:t>(Mr Bashir’s daughter).</w:t>
      </w:r>
    </w:p>
    <w:p w14:paraId="59A64EE6" w14:textId="77777777" w:rsidR="000F7E56" w:rsidRPr="000F7E56" w:rsidRDefault="000F7E56" w:rsidP="000F7E56">
      <w:pPr>
        <w:spacing w:after="120" w:line="360" w:lineRule="auto"/>
      </w:pPr>
      <w:r w:rsidRPr="000F7E56">
        <w:t xml:space="preserve">Mr </w:t>
      </w:r>
      <w:proofErr w:type="spellStart"/>
      <w:r w:rsidRPr="000F7E56">
        <w:t>Cobbina</w:t>
      </w:r>
      <w:proofErr w:type="spellEnd"/>
      <w:r w:rsidRPr="000F7E56">
        <w:t xml:space="preserve"> had formed a much more negative assessment of his illness than was actually the case. However, the specialist nurse who had been involved in his care for a considerable time, and who described knowing the patient well, had no awareness of the nature and extent of his concerns. </w:t>
      </w:r>
    </w:p>
    <w:p w14:paraId="5C2DB631" w14:textId="77777777" w:rsidR="000F7E56" w:rsidRPr="000F7E56" w:rsidRDefault="000F7E56" w:rsidP="000F7E56">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spacing w:after="120" w:line="360" w:lineRule="auto"/>
        <w:ind w:left="720" w:right="397"/>
        <w:rPr>
          <w:rFonts w:cstheme="minorHAnsi"/>
          <w:i/>
          <w:color w:val="00000A"/>
        </w:rPr>
      </w:pPr>
      <w:r w:rsidRPr="000F7E56">
        <w:rPr>
          <w:rFonts w:cstheme="minorHAnsi"/>
          <w:i/>
          <w:color w:val="00000A"/>
        </w:rPr>
        <w:t xml:space="preserve">And then the consultant said to me, ‘Oh, yes that's it that will be it now, that will be all gone.’  and it hasn't. So, you know you just don't know what is in store for you and nobody knows how much time that we have. And you know it would be a good idea for consultants really to say you know to say it as it is. That, ‘Look, all the treatments have failed, I have got an aggressive cancer, we don't know how long you are going to have or whatever.’ Then at least you know, and you can start preparing and be ready. But if they give you false sense of hope and say, ‘Oh yes, have this done and that should be it.’ And because you rely on the consultants and the surgeons and what have you thinking that's their job, they do that day in day out they know what they are talking about. So, we are relying on them and when it doesn't work and then </w:t>
      </w:r>
      <w:r w:rsidRPr="000F7E56">
        <w:rPr>
          <w:rFonts w:cstheme="minorHAnsi"/>
          <w:i/>
          <w:color w:val="00000A"/>
        </w:rPr>
        <w:lastRenderedPageBreak/>
        <w:t xml:space="preserve">they tell you something different you just don't know where you are. </w:t>
      </w:r>
      <w:r w:rsidRPr="000F7E56">
        <w:rPr>
          <w:rFonts w:cstheme="minorHAnsi"/>
          <w:color w:val="00000A"/>
        </w:rPr>
        <w:t xml:space="preserve">(Mr </w:t>
      </w:r>
      <w:proofErr w:type="spellStart"/>
      <w:r w:rsidRPr="000F7E56">
        <w:rPr>
          <w:rFonts w:cstheme="minorHAnsi"/>
          <w:color w:val="00000A"/>
        </w:rPr>
        <w:t>Cobbina</w:t>
      </w:r>
      <w:proofErr w:type="spellEnd"/>
      <w:r w:rsidRPr="000F7E56">
        <w:rPr>
          <w:rFonts w:cstheme="minorHAnsi"/>
          <w:color w:val="00000A"/>
        </w:rPr>
        <w:t>, 3rd interview).</w:t>
      </w:r>
    </w:p>
    <w:p w14:paraId="60B355DB" w14:textId="77777777" w:rsidR="000F7E56" w:rsidRPr="000F7E56" w:rsidRDefault="000F7E56" w:rsidP="000F7E56">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spacing w:after="120" w:line="360" w:lineRule="auto"/>
        <w:ind w:left="720" w:right="397"/>
        <w:rPr>
          <w:rFonts w:cstheme="minorHAnsi"/>
          <w:i/>
          <w:color w:val="00000A"/>
        </w:rPr>
      </w:pPr>
      <w:r w:rsidRPr="000F7E56">
        <w:rPr>
          <w:rFonts w:cstheme="minorHAnsi"/>
          <w:i/>
          <w:color w:val="00000A"/>
        </w:rPr>
        <w:t xml:space="preserve">We have always managed to discuss everything quite openly. And there has never been any barriers to communication I have not felt, between us. And he is a very, yeah a very intelligent gentleman that understands you know what everything is about. </w:t>
      </w:r>
      <w:r w:rsidRPr="000F7E56">
        <w:rPr>
          <w:rFonts w:cstheme="minorHAnsi"/>
          <w:color w:val="00000A"/>
        </w:rPr>
        <w:t xml:space="preserve">(Mr </w:t>
      </w:r>
      <w:proofErr w:type="spellStart"/>
      <w:r w:rsidRPr="000F7E56">
        <w:rPr>
          <w:rFonts w:cstheme="minorHAnsi"/>
          <w:color w:val="00000A"/>
        </w:rPr>
        <w:t>Cobbina’s</w:t>
      </w:r>
      <w:proofErr w:type="spellEnd"/>
      <w:r w:rsidRPr="000F7E56">
        <w:rPr>
          <w:rFonts w:cstheme="minorHAnsi"/>
          <w:color w:val="00000A"/>
        </w:rPr>
        <w:t xml:space="preserve"> HCP).</w:t>
      </w:r>
    </w:p>
    <w:p w14:paraId="5AF1AD84" w14:textId="77777777" w:rsidR="000F7E56" w:rsidRPr="000F7E56" w:rsidRDefault="000F7E56" w:rsidP="000F7E56">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spacing w:after="120" w:line="360" w:lineRule="auto"/>
        <w:ind w:right="397"/>
      </w:pPr>
      <w:r w:rsidRPr="000F7E56">
        <w:t>Indeterminacy and professional equivocation, however motivated (for example whether due to genuine clinical uncertainty or from a concern not to undermine the patient’s hope and optimism), can thus serve to undermine patients’ confidence in clinicians and their relationships with them.</w:t>
      </w:r>
    </w:p>
    <w:p w14:paraId="049A7D92" w14:textId="77777777" w:rsidR="000F7E56" w:rsidRPr="000F7E56" w:rsidRDefault="000F7E56" w:rsidP="000F7E56">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spacing w:after="120" w:line="360" w:lineRule="auto"/>
      </w:pPr>
      <w:r w:rsidRPr="000F7E56">
        <w:rPr>
          <w:color w:val="000000" w:themeColor="text1"/>
        </w:rPr>
        <w:t xml:space="preserve">Some patients and FCGs </w:t>
      </w:r>
      <w:r w:rsidRPr="000F7E56">
        <w:t xml:space="preserve">felt there were times when their ethnicity may have resulted in differential treatment and/or communication, although this was not a strong theme throughout the data.   </w:t>
      </w:r>
    </w:p>
    <w:p w14:paraId="35CFEAA2" w14:textId="77777777" w:rsidR="000F7E56" w:rsidRPr="000F7E56" w:rsidRDefault="000F7E56" w:rsidP="000F7E56">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spacing w:after="120" w:line="360" w:lineRule="auto"/>
        <w:ind w:left="720"/>
        <w:rPr>
          <w:rFonts w:cstheme="minorHAnsi"/>
          <w:i/>
        </w:rPr>
      </w:pPr>
      <w:r w:rsidRPr="000F7E56">
        <w:rPr>
          <w:rFonts w:cstheme="minorHAnsi"/>
          <w:i/>
          <w:color w:val="00000A"/>
        </w:rPr>
        <w:t>I mean they are not overtly racist but it’s their behaviour because they are not treating my mum the same as the English women that, the two English women next to her and opposite her.</w:t>
      </w:r>
      <w:r w:rsidRPr="000F7E56">
        <w:rPr>
          <w:rFonts w:cstheme="minorHAnsi"/>
          <w:color w:val="00000A"/>
        </w:rPr>
        <w:t xml:space="preserve"> </w:t>
      </w:r>
      <w:r w:rsidRPr="000F7E56">
        <w:rPr>
          <w:rFonts w:cstheme="minorHAnsi"/>
        </w:rPr>
        <w:t xml:space="preserve">(Mrs </w:t>
      </w:r>
      <w:proofErr w:type="spellStart"/>
      <w:r w:rsidRPr="000F7E56">
        <w:rPr>
          <w:rFonts w:cstheme="minorHAnsi"/>
        </w:rPr>
        <w:t>Chandyo’s</w:t>
      </w:r>
      <w:proofErr w:type="spellEnd"/>
      <w:r w:rsidRPr="000F7E56">
        <w:rPr>
          <w:rFonts w:cstheme="minorHAnsi"/>
        </w:rPr>
        <w:t xml:space="preserve"> daughter, 2nd interview).</w:t>
      </w:r>
    </w:p>
    <w:p w14:paraId="04692338" w14:textId="77777777" w:rsidR="000F7E56" w:rsidRPr="000F7E56" w:rsidRDefault="000F7E56" w:rsidP="000F7E56">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spacing w:after="120" w:line="360" w:lineRule="auto"/>
        <w:ind w:left="720"/>
        <w:rPr>
          <w:rFonts w:cstheme="minorHAnsi"/>
        </w:rPr>
      </w:pPr>
      <w:r w:rsidRPr="000F7E56">
        <w:rPr>
          <w:rFonts w:cstheme="minorHAnsi"/>
          <w:i/>
        </w:rPr>
        <w:t xml:space="preserve">...probably because I am a single black male.... I look around when I am in the waiting room how they are talking to other patients and what have you. It is totally different to what I am being treated. </w:t>
      </w:r>
      <w:r w:rsidRPr="000F7E56">
        <w:rPr>
          <w:rFonts w:cstheme="minorHAnsi"/>
        </w:rPr>
        <w:t xml:space="preserve">(Mr </w:t>
      </w:r>
      <w:proofErr w:type="spellStart"/>
      <w:r w:rsidRPr="000F7E56">
        <w:rPr>
          <w:rFonts w:cstheme="minorHAnsi"/>
        </w:rPr>
        <w:t>Cobbina</w:t>
      </w:r>
      <w:proofErr w:type="spellEnd"/>
      <w:r w:rsidRPr="000F7E56">
        <w:rPr>
          <w:rFonts w:cstheme="minorHAnsi"/>
        </w:rPr>
        <w:t>, 2nd interview).</w:t>
      </w:r>
    </w:p>
    <w:p w14:paraId="5078D111" w14:textId="77777777" w:rsidR="000F7E56" w:rsidRPr="000F7E56" w:rsidRDefault="000F7E56" w:rsidP="000F7E56">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spacing w:after="120" w:line="360" w:lineRule="auto"/>
        <w:rPr>
          <w:rFonts w:cstheme="minorHAnsi"/>
        </w:rPr>
      </w:pPr>
      <w:r w:rsidRPr="000F7E56">
        <w:rPr>
          <w:rFonts w:cstheme="minorHAnsi"/>
        </w:rPr>
        <w:t xml:space="preserve">Some of the differential treatment noted by participants related to more practical aspects of care that held great import in whether they felt a sense of discrimination or acknowledgement of their particular needs. </w:t>
      </w:r>
    </w:p>
    <w:p w14:paraId="45F95C15" w14:textId="77777777" w:rsidR="000F7E56" w:rsidRPr="000F7E56" w:rsidRDefault="000F7E56" w:rsidP="000F7E56">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spacing w:after="120" w:line="360" w:lineRule="auto"/>
        <w:ind w:left="720"/>
        <w:rPr>
          <w:rFonts w:cstheme="minorHAnsi"/>
          <w:i/>
        </w:rPr>
      </w:pPr>
      <w:r w:rsidRPr="000F7E56">
        <w:rPr>
          <w:rFonts w:cstheme="minorHAnsi"/>
          <w:i/>
          <w:color w:val="00000A"/>
        </w:rPr>
        <w:t xml:space="preserve">...for BME </w:t>
      </w:r>
      <w:r w:rsidR="00A662A8">
        <w:rPr>
          <w:rFonts w:cstheme="minorHAnsi"/>
          <w:color w:val="00000A"/>
        </w:rPr>
        <w:t xml:space="preserve">(Black Minority Ethnic) </w:t>
      </w:r>
      <w:r w:rsidRPr="000F7E56">
        <w:rPr>
          <w:rFonts w:cstheme="minorHAnsi"/>
          <w:i/>
          <w:color w:val="00000A"/>
        </w:rPr>
        <w:t>people in particular if there is no information, for example if you speak another language there is no choice you can't make informed choices if you are not given the information.</w:t>
      </w:r>
      <w:r w:rsidRPr="000F7E56">
        <w:rPr>
          <w:rFonts w:cstheme="minorHAnsi"/>
          <w:i/>
          <w:color w:val="00000A"/>
        </w:rPr>
        <w:tab/>
        <w:t xml:space="preserve"> </w:t>
      </w:r>
      <w:r w:rsidRPr="000F7E56">
        <w:rPr>
          <w:rFonts w:cstheme="minorHAnsi"/>
          <w:color w:val="00000A"/>
        </w:rPr>
        <w:t>(Mrs Caprice, 1st interview).</w:t>
      </w:r>
    </w:p>
    <w:p w14:paraId="0A4E627B" w14:textId="77777777" w:rsidR="000F7E56" w:rsidRPr="000F7E56" w:rsidRDefault="000F7E56" w:rsidP="000F7E56">
      <w:pPr>
        <w:spacing w:after="120" w:line="360" w:lineRule="auto"/>
      </w:pPr>
      <w:r w:rsidRPr="000F7E56">
        <w:t xml:space="preserve">One FCG observed that professionals filter their dealings with patents and families through their own personal perspectives (“cognitive screens”) and therefore may not fully appreciate their unique concerns, emotions and the like. The lack of close connection with the patient and their situation manifests in (mis)communication.  </w:t>
      </w:r>
    </w:p>
    <w:p w14:paraId="7C24BBC8" w14:textId="77777777" w:rsidR="000F7E56" w:rsidRPr="000F7E56" w:rsidRDefault="000F7E56" w:rsidP="000F7E56">
      <w:pPr>
        <w:spacing w:after="120" w:line="360" w:lineRule="auto"/>
        <w:ind w:left="720"/>
        <w:rPr>
          <w:i/>
        </w:rPr>
      </w:pPr>
      <w:r w:rsidRPr="000F7E56">
        <w:rPr>
          <w:i/>
        </w:rPr>
        <w:t>...the common factor is this, you are dealing with people whose cognitive screen is not in alignment with yours. And you may be saying the same thing but somehow it’s not registering because there is something ... it doesn't match a particular profile of a person that screen is actually showing up. That's my observation anyway.</w:t>
      </w:r>
      <w:r w:rsidRPr="000F7E56">
        <w:t xml:space="preserve"> (Mrs Caprice’s husband, 1st interview).</w:t>
      </w:r>
    </w:p>
    <w:p w14:paraId="2844E337" w14:textId="77777777" w:rsidR="000F7E56" w:rsidRPr="000F7E56" w:rsidRDefault="000F7E56" w:rsidP="000F7E56">
      <w:pPr>
        <w:spacing w:after="120" w:line="360" w:lineRule="auto"/>
      </w:pPr>
      <w:r w:rsidRPr="000F7E56">
        <w:t xml:space="preserve">Most HCPs did not describe extensive experience of caring for ED patients or the need to use interpreters. However, one participant observed that the professional team she worked in was itself ED. </w:t>
      </w:r>
    </w:p>
    <w:p w14:paraId="75CD7CAF" w14:textId="77777777" w:rsidR="000F7E56" w:rsidRPr="000F7E56" w:rsidRDefault="000F7E56" w:rsidP="000F7E56">
      <w:pPr>
        <w:spacing w:after="120" w:line="360" w:lineRule="auto"/>
        <w:ind w:left="720"/>
      </w:pPr>
      <w:r w:rsidRPr="000F7E56" w:rsidDel="00D00AAD">
        <w:lastRenderedPageBreak/>
        <w:t xml:space="preserve"> </w:t>
      </w:r>
      <w:r w:rsidRPr="000F7E56">
        <w:rPr>
          <w:i/>
        </w:rPr>
        <w:t xml:space="preserve">Really our team is quite diverse anyway so we have got an Asian head of the team and so I think the patients that are Asian that come from a similar background kind of gravitate towards her perhaps because ... there is a less of a language barrier. </w:t>
      </w:r>
      <w:r w:rsidRPr="000F7E56">
        <w:t>(Mrs Campbell’s HCP).</w:t>
      </w:r>
    </w:p>
    <w:p w14:paraId="67353F41" w14:textId="77777777" w:rsidR="000F7E56" w:rsidRPr="000F7E56" w:rsidRDefault="000F7E56" w:rsidP="000F7E56">
      <w:pPr>
        <w:spacing w:after="120" w:line="360" w:lineRule="auto"/>
        <w:rPr>
          <w:i/>
        </w:rPr>
      </w:pPr>
      <w:r w:rsidRPr="000F7E56">
        <w:t xml:space="preserve">Several patients and FCG participants described effective communication with HCPs who could converse directly with the patient in their first language. While patients may have longstanding relations with their GPs, in the secondary sector there was little chance of encountering the same individual during subsequent visits. </w:t>
      </w:r>
    </w:p>
    <w:p w14:paraId="00C8A038" w14:textId="77777777" w:rsidR="000F7E56" w:rsidRPr="000F7E56" w:rsidRDefault="000F7E56" w:rsidP="000F7E56">
      <w:pPr>
        <w:keepNext/>
        <w:keepLines/>
        <w:spacing w:before="40" w:after="0" w:line="276" w:lineRule="auto"/>
        <w:outlineLvl w:val="2"/>
        <w:rPr>
          <w:rFonts w:asciiTheme="majorHAnsi" w:eastAsiaTheme="majorEastAsia" w:hAnsiTheme="majorHAnsi" w:cstheme="majorBidi"/>
          <w:color w:val="1F3763" w:themeColor="accent1" w:themeShade="7F"/>
          <w:sz w:val="24"/>
          <w:szCs w:val="24"/>
        </w:rPr>
      </w:pPr>
      <w:bookmarkStart w:id="315" w:name="_Toc89763998"/>
      <w:bookmarkStart w:id="316" w:name="_Toc106697827"/>
      <w:r w:rsidRPr="000F7E56">
        <w:rPr>
          <w:rFonts w:asciiTheme="majorHAnsi" w:eastAsiaTheme="majorEastAsia" w:hAnsiTheme="majorHAnsi" w:cstheme="majorBidi"/>
          <w:color w:val="1F3763" w:themeColor="accent1" w:themeShade="7F"/>
          <w:sz w:val="24"/>
          <w:szCs w:val="24"/>
        </w:rPr>
        <w:t>Translation issues</w:t>
      </w:r>
      <w:bookmarkEnd w:id="315"/>
      <w:bookmarkEnd w:id="316"/>
    </w:p>
    <w:p w14:paraId="2BB744A2" w14:textId="77777777" w:rsidR="000F7E56" w:rsidRPr="000F7E56" w:rsidRDefault="000F7E56" w:rsidP="000F7E56">
      <w:pPr>
        <w:spacing w:after="120" w:line="360" w:lineRule="auto"/>
      </w:pPr>
      <w:r w:rsidRPr="000F7E56">
        <w:t>Most patients were routinely accompanied to medical appointments by at least one family member.  Those who spoke little English were likely never to attend such consultations on their own. FCGs in the study indicated that offers to make professional translators available were either rejected or were not feasible within the time constraints, particularly in acute settings. Consequently, almost all translation reported to take place in healthcare settings was completed by FCGs, and this was a strong preference. In a few cases patients had access to an HCP, usually a GP, who spoke their first language and was able to explain and discuss options directly. This was felt to be particularly reassuring and made for better understanding of EOLC choices, in particular decisions about DNACPR. In addition to language challenges, two patients required assistance due to dementia, and two others needed help due to hearing and speaking challenges as well as language challenges, compounding the efforts required from FCGs in providing translation in healthcare discussions.</w:t>
      </w:r>
    </w:p>
    <w:p w14:paraId="30D0CED9" w14:textId="77777777" w:rsidR="000F7E56" w:rsidRPr="000F7E56" w:rsidRDefault="000F7E56" w:rsidP="000F7E56">
      <w:pPr>
        <w:spacing w:after="120" w:line="360" w:lineRule="auto"/>
      </w:pPr>
      <w:r w:rsidRPr="000F7E56">
        <w:t xml:space="preserve">The discussion of EOLCP is intrinsically difficult and through translators (whoever these may be) may be more so. There is a risk of increasing what may already be a poor understanding of the meaning and significance of such critical issues. There is also the potential when relying on family members to translate, for families to shape patient understanding and responses. It is clear that both HCPs and family can exert a strong influence on patient ‘choices’ if matters are filtered during, or become lost in, translation.   </w:t>
      </w:r>
    </w:p>
    <w:p w14:paraId="559C318F" w14:textId="77777777" w:rsidR="000F7E56" w:rsidRPr="000F7E56" w:rsidRDefault="000F7E56" w:rsidP="000F7E56">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spacing w:after="120" w:line="360" w:lineRule="auto"/>
        <w:ind w:left="720"/>
        <w:rPr>
          <w:i/>
          <w:iCs/>
        </w:rPr>
      </w:pPr>
      <w:r w:rsidRPr="000F7E56">
        <w:rPr>
          <w:iCs/>
        </w:rPr>
        <w:t>Mr Chahine’s HCP (2nd interview)</w:t>
      </w:r>
      <w:r w:rsidRPr="000F7E56">
        <w:rPr>
          <w:i/>
          <w:iCs/>
        </w:rPr>
        <w:t xml:space="preserve">: So, we left the home that day having thought we’d had the conversation that [patient] agreed that he should have a DNACPR in situ. None of his care would change in any other way but [son] quite rightly wanted to discuss it with his other siblings. So obviously I wasn't privy to the conversation he had with them but he rang me and said actually they didn't want the DNAR to be put in place. His father had misunderstood and he thought we were talking about him being on ITU on a ventilator on an invasive ventilator that's what he thought we were talking about and that's what he wouldn't want. </w:t>
      </w:r>
    </w:p>
    <w:p w14:paraId="64263185" w14:textId="77777777" w:rsidR="000F7E56" w:rsidRPr="000F7E56" w:rsidRDefault="000F7E56" w:rsidP="000F7E56">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spacing w:after="120" w:line="360" w:lineRule="auto"/>
        <w:ind w:left="720"/>
        <w:jc w:val="both"/>
        <w:rPr>
          <w:b/>
          <w:bCs/>
          <w:i/>
          <w:iCs/>
        </w:rPr>
      </w:pPr>
      <w:r w:rsidRPr="000F7E56">
        <w:rPr>
          <w:b/>
          <w:bCs/>
          <w:iCs/>
        </w:rPr>
        <w:t>Researcher:</w:t>
      </w:r>
      <w:r w:rsidRPr="000F7E56">
        <w:rPr>
          <w:b/>
          <w:bCs/>
          <w:i/>
          <w:iCs/>
        </w:rPr>
        <w:t xml:space="preserve"> So a complete misunderstanding?</w:t>
      </w:r>
    </w:p>
    <w:p w14:paraId="2846B97F" w14:textId="77777777" w:rsidR="000F7E56" w:rsidRPr="000F7E56" w:rsidRDefault="000F7E56" w:rsidP="000F7E56">
      <w:pPr>
        <w:spacing w:after="120" w:line="360" w:lineRule="auto"/>
        <w:ind w:left="720"/>
        <w:rPr>
          <w:i/>
          <w:iCs/>
        </w:rPr>
      </w:pPr>
      <w:r w:rsidRPr="000F7E56">
        <w:rPr>
          <w:iCs/>
        </w:rPr>
        <w:lastRenderedPageBreak/>
        <w:t>Mr Chahine’s HCP</w:t>
      </w:r>
      <w:r w:rsidRPr="000F7E56">
        <w:rPr>
          <w:i/>
          <w:iCs/>
        </w:rPr>
        <w:t>: Well, I don't know. I don't know whether it’s the brothers, because I wasn't there.  I wasn't privy to that conversation. It’s hard isn't it?  I don't know whether he. -  I don't know.</w:t>
      </w:r>
    </w:p>
    <w:p w14:paraId="3C47127B" w14:textId="77777777" w:rsidR="000F7E56" w:rsidRPr="000F7E56" w:rsidRDefault="000F7E56" w:rsidP="000F7E56">
      <w:pPr>
        <w:spacing w:after="120" w:line="360" w:lineRule="auto"/>
      </w:pPr>
      <w:r w:rsidRPr="000F7E56">
        <w:t xml:space="preserve">Especially in cases where translation is needed, it may be hard to establish the patient’s preference as they may be exposed to persuasion from both professionals and family. Accounts of both FCGs and HCPs indicated a strong professional orientation to family rather than the patient, particularly when translation was required. Mrs </w:t>
      </w:r>
      <w:proofErr w:type="spellStart"/>
      <w:r w:rsidRPr="000F7E56">
        <w:t>Curkovic</w:t>
      </w:r>
      <w:proofErr w:type="spellEnd"/>
      <w:r w:rsidRPr="000F7E56">
        <w:t xml:space="preserve"> had cancer and was also living with dementia, the result of which was the loss of English language skills acquired over many years of living in the UK. Her daughters acted as translators and advocates and were purposely very selective about what they disclosed about her diagnosis to protect her from extra distress. In this case, where FCGs were the sole source of translation it was felt by HCPs that the FCGs were gatekeeping and that the patient’s autonomy was not fully facilitated. </w:t>
      </w:r>
    </w:p>
    <w:p w14:paraId="0D9CCE41" w14:textId="77777777" w:rsidR="000F7E56" w:rsidRPr="000F7E56" w:rsidRDefault="000F7E56" w:rsidP="000F7E56">
      <w:pPr>
        <w:spacing w:after="120" w:line="360" w:lineRule="auto"/>
      </w:pPr>
      <w:r w:rsidRPr="000F7E56">
        <w:t xml:space="preserve">Mrs </w:t>
      </w:r>
      <w:proofErr w:type="spellStart"/>
      <w:r w:rsidRPr="000F7E56">
        <w:t>Curkovic’s</w:t>
      </w:r>
      <w:proofErr w:type="spellEnd"/>
      <w:r w:rsidRPr="000F7E56">
        <w:t xml:space="preserve"> HCP described taking extra time and effort to try to prepare the family for the patient’s death. She was pragmatic and acknowledged the concerns of the family as legitimate areas for support whilst trying to empower the patient, in what appeared a delicate balancing act. The FCGs however felt much pressure and upset, when (acting as translators) they were asked to disclose details of her diagnosis to the patient, in front of HCPs, as this was counter to what they had decided was appropriate for their parent. Most patients, especially those who were older and communicated through translators never saw HCPs in private and were always accompanied by at least one other relative. Whilst this could be seen as supportive and reassuring for the patient it also potentially influenced what was discussed and decided upon, and ultimately has the potential to side-line patient preferences for EOLC.   </w:t>
      </w:r>
    </w:p>
    <w:p w14:paraId="53A157B9" w14:textId="77777777" w:rsidR="000F7E56" w:rsidRPr="000F7E56" w:rsidRDefault="000F7E56" w:rsidP="000F7E56">
      <w:pPr>
        <w:spacing w:after="120" w:line="360" w:lineRule="auto"/>
      </w:pPr>
      <w:r w:rsidRPr="000F7E56">
        <w:t>Some family members described feeling aggrieved that HCPs had handed them the task of undertaking translation and communication of bad news, including the responsibility for discussing DNACPR and other difficult issues with their relative. They questioned the appropriateness of this, given their own emotional involvement and personal responses to the sensitive matters being discussed.</w:t>
      </w:r>
    </w:p>
    <w:p w14:paraId="6FAF3250" w14:textId="77777777" w:rsidR="000F7E56" w:rsidRPr="000F7E56" w:rsidRDefault="000F7E56" w:rsidP="000F7E56">
      <w:pPr>
        <w:spacing w:after="120" w:line="360" w:lineRule="auto"/>
        <w:ind w:left="720"/>
      </w:pPr>
      <w:r w:rsidRPr="000F7E56">
        <w:rPr>
          <w:i/>
          <w:iCs/>
        </w:rPr>
        <w:t xml:space="preserve">So he [HCP] said, ‘Look, you guys need to take a decision as a family, you want to decide, we need to put a care plan in place for your Dad, put a DNR in place and things like that.’ .... That was the hardest pill for me to swallow because I was like, I am going to have to talk to my Dad about putting an end-of-life plan in place. I am going to have to talk to my Dad about whether he wants to, if his heart stops whether he wants to be resuscitated or not. And that was really, really difficult and I was driving home and I just rang my brother and I just broke down. </w:t>
      </w:r>
      <w:r w:rsidRPr="000F7E56">
        <w:rPr>
          <w:iCs/>
        </w:rPr>
        <w:t xml:space="preserve">(Mr </w:t>
      </w:r>
      <w:proofErr w:type="spellStart"/>
      <w:r w:rsidRPr="000F7E56">
        <w:rPr>
          <w:iCs/>
        </w:rPr>
        <w:t>Chandhary’s</w:t>
      </w:r>
      <w:proofErr w:type="spellEnd"/>
      <w:r w:rsidRPr="000F7E56">
        <w:rPr>
          <w:iCs/>
        </w:rPr>
        <w:t xml:space="preserve"> daughter, 1st interview).</w:t>
      </w:r>
      <w:bookmarkStart w:id="317" w:name="_Toc77863626"/>
      <w:bookmarkStart w:id="318" w:name="_Toc80775585"/>
    </w:p>
    <w:p w14:paraId="2F2A2CA9" w14:textId="77777777" w:rsidR="000F7E56" w:rsidRPr="000F7E56" w:rsidRDefault="000F7E56" w:rsidP="000F7E56">
      <w:pPr>
        <w:keepNext/>
        <w:keepLines/>
        <w:spacing w:before="40" w:after="0" w:line="276" w:lineRule="auto"/>
        <w:outlineLvl w:val="2"/>
        <w:rPr>
          <w:rFonts w:asciiTheme="majorHAnsi" w:eastAsiaTheme="majorEastAsia" w:hAnsiTheme="majorHAnsi" w:cstheme="majorBidi"/>
          <w:color w:val="1F3763" w:themeColor="accent1" w:themeShade="7F"/>
          <w:sz w:val="24"/>
          <w:szCs w:val="24"/>
        </w:rPr>
      </w:pPr>
      <w:bookmarkStart w:id="319" w:name="_Toc89763999"/>
      <w:bookmarkStart w:id="320" w:name="_Toc106697828"/>
      <w:r w:rsidRPr="000F7E56">
        <w:rPr>
          <w:rFonts w:asciiTheme="majorHAnsi" w:eastAsiaTheme="majorEastAsia" w:hAnsiTheme="majorHAnsi" w:cstheme="majorBidi"/>
          <w:color w:val="1F3763" w:themeColor="accent1" w:themeShade="7F"/>
          <w:sz w:val="24"/>
          <w:szCs w:val="24"/>
        </w:rPr>
        <w:t>Family support</w:t>
      </w:r>
      <w:bookmarkEnd w:id="317"/>
      <w:bookmarkEnd w:id="318"/>
      <w:bookmarkEnd w:id="319"/>
      <w:bookmarkEnd w:id="320"/>
    </w:p>
    <w:p w14:paraId="00002425" w14:textId="77777777" w:rsidR="000F7E56" w:rsidRPr="000F7E56" w:rsidRDefault="000F7E56" w:rsidP="000F7E56">
      <w:pPr>
        <w:spacing w:after="120" w:line="360" w:lineRule="auto"/>
      </w:pPr>
      <w:r w:rsidRPr="000F7E56">
        <w:t xml:space="preserve">In order to engage with and provide appropriate EOLC to patients and families, HCPs need to understand the family support that is operating around the patient (see Table 2). Families displayed great diversity in </w:t>
      </w:r>
      <w:r w:rsidRPr="000F7E56">
        <w:lastRenderedPageBreak/>
        <w:t xml:space="preserve">composition, and availability and engagement of support. At one extreme, Mr </w:t>
      </w:r>
      <w:proofErr w:type="spellStart"/>
      <w:r w:rsidRPr="000F7E56">
        <w:t>Chitnis</w:t>
      </w:r>
      <w:proofErr w:type="spellEnd"/>
      <w:r w:rsidRPr="000F7E56">
        <w:t xml:space="preserve"> lived alone, estranged from his wife and family, with little contact or support from family members. At the other, Mrs Chawla lived with her eldest son in her daughter’s home, with many other family members visiting and providing support. Most cases occupied a middle ground between these extremes. Eight patients lived with spouses and sometimes other family members. Several cases included regular input from family living locally and some networks extended to virtual advice and involvement from members living at some distance, including those who lived abroad. Several patients mentioned receiving support from close friends in their community and from members of faith communities to which they belonged. Families varied also in their awareness and use of health and social services. A third of the case study families reported accepting some sort of formal help. At least two others had turned this down. Older couples tended to be resistant to accepting outside help even when the patient’s care needs were extensive and anticipated to increase and despite their children’s encouragement to do so.  </w:t>
      </w:r>
    </w:p>
    <w:p w14:paraId="20773D44" w14:textId="77777777" w:rsidR="000F7E56" w:rsidRPr="000F7E56" w:rsidRDefault="000F7E56" w:rsidP="000F7E56">
      <w:pPr>
        <w:spacing w:after="120" w:line="360" w:lineRule="auto"/>
        <w:ind w:left="720"/>
        <w:rPr>
          <w:i/>
        </w:rPr>
      </w:pPr>
      <w:r w:rsidRPr="000F7E56">
        <w:rPr>
          <w:i/>
        </w:rPr>
        <w:t xml:space="preserve">But, unfortunately, my mum is very reluctant to get any help and call anybody in... We know that the offer is there...[but] .as long as she can manage she wants to continue caring for my dad. And when the time comes, because she is in her eighties herself, and if the time comes she no longer is able to manage and care for him then obviously we will have to get somebody to come in and help her along with the caring. </w:t>
      </w:r>
      <w:r w:rsidRPr="000F7E56">
        <w:t>(Mr Chahine’s son, 1st interview. - providing care for both parents at home).</w:t>
      </w:r>
    </w:p>
    <w:p w14:paraId="1976186C" w14:textId="77777777" w:rsidR="000F7E56" w:rsidRPr="000F7E56" w:rsidRDefault="000F7E56" w:rsidP="000F7E56">
      <w:pPr>
        <w:spacing w:after="120" w:line="360" w:lineRule="auto"/>
        <w:ind w:left="720"/>
      </w:pPr>
      <w:r w:rsidRPr="000F7E56">
        <w:rPr>
          <w:i/>
        </w:rPr>
        <w:t xml:space="preserve">In terms of having professional </w:t>
      </w:r>
      <w:proofErr w:type="spellStart"/>
      <w:r w:rsidRPr="000F7E56">
        <w:rPr>
          <w:i/>
        </w:rPr>
        <w:t>carers</w:t>
      </w:r>
      <w:proofErr w:type="spellEnd"/>
      <w:r w:rsidRPr="000F7E56">
        <w:rPr>
          <w:i/>
        </w:rPr>
        <w:t xml:space="preserve"> in or having her go into a care home it’s an alien concept to my mother. My mother’s culture is, and her background is, the family look after you. Is a bit different if she had been a lady with no offspring with no children or no close family to look after her, that's completely different. But when you have your own children or you have say close nieces or nephews it’s expected and anticipated you look after your family</w:t>
      </w:r>
      <w:r w:rsidRPr="000F7E56">
        <w:t xml:space="preserve">. (Mrs </w:t>
      </w:r>
      <w:proofErr w:type="spellStart"/>
      <w:r w:rsidRPr="000F7E56">
        <w:t>Curkovic’s</w:t>
      </w:r>
      <w:proofErr w:type="spellEnd"/>
      <w:r w:rsidRPr="000F7E56">
        <w:t xml:space="preserve"> daughter-consultee, 1st interview. - providing care for widowed parent at home).</w:t>
      </w:r>
    </w:p>
    <w:p w14:paraId="6293A9C5" w14:textId="77777777" w:rsidR="000F7E56" w:rsidRPr="000F7E56" w:rsidRDefault="000F7E56" w:rsidP="000F7E56">
      <w:pPr>
        <w:spacing w:after="120" w:line="360" w:lineRule="auto"/>
      </w:pPr>
      <w:r w:rsidRPr="000F7E56">
        <w:t xml:space="preserve">Some families were open to the idea they may need extra (outside) help in the future, though most wished to manage with family support until such time. Strong emotional bonds resulted in carers’ desire to provide all the patient’s support by themselves. Wives, especially, but also adult children, expressed concerns about being subject to censure for failing to show sufficient commitment to care for family members, especially parents and spouses, which would be demonstrated by acceptance of outside help. Several participants, usually wives or daughters, were fiercely possessive about ministering to patient’s needs because this discharge of family obligation was believed to be a way of acquiring religious merit. </w:t>
      </w:r>
    </w:p>
    <w:p w14:paraId="55E4CFCB" w14:textId="77777777" w:rsidR="000F7E56" w:rsidRPr="000F7E56" w:rsidRDefault="000F7E56" w:rsidP="000F7E56">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spacing w:after="120" w:line="360" w:lineRule="auto"/>
        <w:ind w:left="720"/>
        <w:rPr>
          <w:rFonts w:cstheme="minorHAnsi"/>
          <w:iCs/>
          <w:color w:val="00000A"/>
        </w:rPr>
      </w:pPr>
      <w:r w:rsidRPr="000F7E56">
        <w:rPr>
          <w:rFonts w:cstheme="minorHAnsi"/>
          <w:i/>
          <w:iCs/>
        </w:rPr>
        <w:t xml:space="preserve">Part of our faith is that we should be…be caring for the parents because that's our door to paradise, our parents are our door to paradise….If I want to get to paradise I have got to, my way is through </w:t>
      </w:r>
      <w:r w:rsidRPr="000F7E56">
        <w:rPr>
          <w:rFonts w:cstheme="minorHAnsi"/>
          <w:i/>
          <w:iCs/>
        </w:rPr>
        <w:lastRenderedPageBreak/>
        <w:t>them.  So you see the gravity and responsibility here, we wouldn't feel comfortable handing that to somebody else</w:t>
      </w:r>
      <w:r w:rsidRPr="000F7E56">
        <w:rPr>
          <w:rFonts w:cstheme="minorHAnsi"/>
        </w:rPr>
        <w:t xml:space="preserve">. </w:t>
      </w:r>
      <w:r w:rsidRPr="000F7E56">
        <w:rPr>
          <w:rFonts w:cstheme="minorHAnsi"/>
          <w:iCs/>
        </w:rPr>
        <w:t>(</w:t>
      </w:r>
      <w:r w:rsidRPr="000F7E56">
        <w:rPr>
          <w:rFonts w:cstheme="minorHAnsi"/>
          <w:iCs/>
          <w:color w:val="00000A"/>
        </w:rPr>
        <w:t xml:space="preserve">Mrs </w:t>
      </w:r>
      <w:proofErr w:type="spellStart"/>
      <w:r w:rsidRPr="000F7E56">
        <w:rPr>
          <w:rFonts w:cstheme="minorHAnsi"/>
          <w:iCs/>
          <w:color w:val="00000A"/>
        </w:rPr>
        <w:t>Chandyo’s</w:t>
      </w:r>
      <w:proofErr w:type="spellEnd"/>
      <w:r w:rsidRPr="000F7E56">
        <w:rPr>
          <w:rFonts w:cstheme="minorHAnsi"/>
          <w:iCs/>
          <w:color w:val="00000A"/>
        </w:rPr>
        <w:t xml:space="preserve"> daughter – consultee).</w:t>
      </w:r>
    </w:p>
    <w:p w14:paraId="460487CC" w14:textId="4009345B" w:rsidR="000F7E56" w:rsidRPr="000F7E56" w:rsidRDefault="000F7E56" w:rsidP="00964D60">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spacing w:after="120" w:line="360" w:lineRule="auto"/>
      </w:pPr>
      <w:r w:rsidRPr="000F7E56">
        <w:rPr>
          <w:rFonts w:cstheme="minorHAnsi"/>
          <w:i/>
          <w:iCs/>
          <w:color w:val="00000A"/>
        </w:rPr>
        <w:t xml:space="preserve"> </w:t>
      </w:r>
      <w:r w:rsidRPr="000F7E56">
        <w:t>Some families had also experienced or anticipated that outside support might compromise patient dignity during personal care. Expressed concerns included the gender of carers or that timing of carer visits might not accommodate very specific religious</w:t>
      </w:r>
      <w:r w:rsidR="00964D60">
        <w:t xml:space="preserve"> and/or </w:t>
      </w:r>
      <w:r w:rsidRPr="000F7E56">
        <w:t xml:space="preserve">cultural requirements (for example for prayer or ritual preparation). </w:t>
      </w:r>
    </w:p>
    <w:p w14:paraId="36DA69E9" w14:textId="77777777" w:rsidR="000F7E56" w:rsidRPr="000F7E56" w:rsidRDefault="000F7E56" w:rsidP="000F7E56">
      <w:pPr>
        <w:spacing w:after="120" w:line="360" w:lineRule="auto"/>
        <w:ind w:left="720"/>
        <w:rPr>
          <w:i/>
        </w:rPr>
      </w:pPr>
      <w:r w:rsidRPr="000F7E56">
        <w:rPr>
          <w:i/>
        </w:rPr>
        <w:t xml:space="preserve">I just think she [mother] feels that somebody coming in and doing personal care with my dad she maybe doesn't feel quite comfortable about that. ... although she won’t come out and .. admit it, but I think that's most probably at the back of her mind and that's why she feels it’s better she does it herself. </w:t>
      </w:r>
      <w:r w:rsidRPr="000F7E56">
        <w:t>(Mr Chahine’s son, 2nd interview. – supporting parents in their own home)</w:t>
      </w:r>
    </w:p>
    <w:p w14:paraId="741DF073" w14:textId="77777777" w:rsidR="000F7E56" w:rsidRPr="000F7E56" w:rsidRDefault="000F7E56" w:rsidP="000F7E56">
      <w:pPr>
        <w:spacing w:after="120" w:line="360" w:lineRule="auto"/>
        <w:ind w:left="720"/>
        <w:rPr>
          <w:i/>
        </w:rPr>
      </w:pPr>
      <w:r w:rsidRPr="000F7E56">
        <w:rPr>
          <w:i/>
        </w:rPr>
        <w:t>...because we are vegetarian, strict vegetarians and me personally I wouldn't like someone who is going to call and deal with someone doing meat stuff. I know they wear gloves and that but I wouldn't like that to touch my food and my fridge...I wouldn't like it all mixed ...I would prefer a like for like. Someone else like an Indian carer who understands and appreciates vegetarian people... So,  like very strict on the vegetarian we don't have any eggs or fish or anything like that. So, we would be worried about that, that would be a big issue for us.</w:t>
      </w:r>
      <w:r w:rsidRPr="000F7E56">
        <w:t xml:space="preserve"> (Mr </w:t>
      </w:r>
      <w:proofErr w:type="spellStart"/>
      <w:r w:rsidRPr="000F7E56">
        <w:t>Chaganti’s</w:t>
      </w:r>
      <w:proofErr w:type="spellEnd"/>
      <w:r w:rsidRPr="000F7E56">
        <w:t xml:space="preserve"> wife, 1st interview. – supporting husband in their own home).</w:t>
      </w:r>
    </w:p>
    <w:p w14:paraId="5BAD62C6" w14:textId="77777777" w:rsidR="00964D60" w:rsidRDefault="000F7E56" w:rsidP="000F7E56">
      <w:pPr>
        <w:spacing w:after="120" w:line="360" w:lineRule="auto"/>
      </w:pPr>
      <w:r w:rsidRPr="000F7E56">
        <w:t xml:space="preserve">This commitment to containing care within the family could foster a ‘self-sufficiency’ that potentially precluded looking outside the close family for support. It also intensified concerns about care the patient received during hospital admission. Some families tried to replicate a home care model when in hospital – especially where translation might be needed or specific cultural requirements regarding food may exist. </w:t>
      </w:r>
    </w:p>
    <w:p w14:paraId="45C9E324" w14:textId="533D1AD1" w:rsidR="000F7E56" w:rsidRPr="000F7E56" w:rsidRDefault="000F7E56" w:rsidP="000F7E56">
      <w:pPr>
        <w:spacing w:after="120" w:line="360" w:lineRule="auto"/>
      </w:pPr>
      <w:bookmarkStart w:id="321" w:name="_Hlk90511682"/>
      <w:r w:rsidRPr="000F7E56">
        <w:t xml:space="preserve">Carer burden was often evident </w:t>
      </w:r>
      <w:r w:rsidR="00964D60">
        <w:t xml:space="preserve">regardless of how care was organised: a range of experiences on this was shared. </w:t>
      </w:r>
      <w:bookmarkEnd w:id="321"/>
      <w:r w:rsidRPr="000F7E56">
        <w:t xml:space="preserve">People were more or less willing, able, motivated or feeling under pressure to provide care, which varied in their capacity and resources to provide. Patients often expressed a desire not to burden others, especially adult children who they felt had their own lives to lead with many of their own family commitments. The input from some adult children was considerable, including cases where the patient and possibly their spouse was co-resident with them. In other cases, there was much less support and some patients and/or their spouses clearly struggled. </w:t>
      </w:r>
    </w:p>
    <w:p w14:paraId="6D1BADBF" w14:textId="470AE8F0" w:rsidR="000F7E56" w:rsidRPr="000F7E56" w:rsidRDefault="00964D60" w:rsidP="000F7E56">
      <w:pPr>
        <w:spacing w:after="120" w:line="360" w:lineRule="auto"/>
      </w:pPr>
      <w:bookmarkStart w:id="322" w:name="_Hlk90511882"/>
      <w:r>
        <w:t>Li</w:t>
      </w:r>
      <w:r w:rsidR="001D76CB">
        <w:t xml:space="preserve">ke case participants, </w:t>
      </w:r>
      <w:r w:rsidR="000F7E56" w:rsidRPr="000F7E56">
        <w:t>BFCG responses regarding family care varied.</w:t>
      </w:r>
      <w:r w:rsidR="001D76CB">
        <w:t xml:space="preserve"> Responses did however include </w:t>
      </w:r>
      <w:r w:rsidR="000F7E56" w:rsidRPr="000F7E56">
        <w:t xml:space="preserve">accounts of the intensifying difficulties of providing end-of-life care as the patient’s illness progressed. </w:t>
      </w:r>
      <w:bookmarkEnd w:id="322"/>
      <w:r w:rsidR="000F7E56" w:rsidRPr="000F7E56">
        <w:t xml:space="preserve">These represent quite distinctive, reflective perspectives having ‘worked through’ the caring situation to its conclusion. Many bereaved carers, as with carers among the case participants, expressed a preference for family-centric care. However, there was for some bereaved families a realisation that their established and </w:t>
      </w:r>
      <w:r w:rsidR="000F7E56" w:rsidRPr="000F7E56">
        <w:lastRenderedPageBreak/>
        <w:t>preferred model of caring was not necessarily the best fit for the situation they found themselves in prior to the patient’s death. This illustrated the evolving nature of caring models and also the eclectic model of caring that might result.</w:t>
      </w:r>
    </w:p>
    <w:p w14:paraId="59E57823" w14:textId="77777777" w:rsidR="000F7E56" w:rsidRPr="000F7E56" w:rsidRDefault="000F7E56" w:rsidP="000F7E56">
      <w:pPr>
        <w:spacing w:after="120" w:line="360" w:lineRule="auto"/>
        <w:ind w:left="720"/>
        <w:rPr>
          <w:i/>
        </w:rPr>
      </w:pPr>
      <w:r w:rsidRPr="000F7E56">
        <w:rPr>
          <w:i/>
        </w:rPr>
        <w:t xml:space="preserve">When my mother was diagnosed with dementia I remember the consultant I spoke to at the beginning ... She said to me, ‘There will be a time when you have to consider putting her into a home.’ And I said, ‘ I don't know about that.’ And she said, ‘Well, it will affect your own family and your personal life’.  I said, ‘We will just cross the bridge when we get to that.’ And it did affect our life completely. My routine was when I come back from work at 6 am I would freshen up a bit and drop my wife off to work, wait for the carers to come in...at the beginning we didn't have the carers..... I had to find them to help mum… then we had to get ready and drop my daughters off to school...and come back and get her ready for the day centre. That was a big relief for us ...from 9 until about 4 she was at the day centre. </w:t>
      </w:r>
      <w:r w:rsidRPr="000F7E56">
        <w:t>(Mrs Bajpai’s son).</w:t>
      </w:r>
    </w:p>
    <w:p w14:paraId="533ECB61" w14:textId="77777777" w:rsidR="000F7E56" w:rsidRPr="000F7E56" w:rsidRDefault="000F7E56" w:rsidP="000F7E56">
      <w:pPr>
        <w:spacing w:after="120" w:line="360" w:lineRule="auto"/>
      </w:pPr>
      <w:r w:rsidRPr="000F7E56">
        <w:t xml:space="preserve">This example encapsulates the commitment to maintain family-centric care, an acknowledgement that family life became very busy as a result (this actually included a change in work patterns to work night shifts so as to be available for the patient in the day), an eventual need for and acceptance of additional help from outside carers alongside accessing day care outside of the home. These changes occurred over a prolonged period in this example highlighting the evolving nature of each caring situation. </w:t>
      </w:r>
    </w:p>
    <w:p w14:paraId="2B0D1AF6" w14:textId="77777777" w:rsidR="000F7E56" w:rsidRPr="000F7E56" w:rsidRDefault="000F7E56" w:rsidP="000F7E56">
      <w:pPr>
        <w:spacing w:after="120" w:line="360" w:lineRule="auto"/>
      </w:pPr>
      <w:r w:rsidRPr="000F7E56">
        <w:t xml:space="preserve">There are many impacting factors which govern the way families organise support and which ultimately may impact support at EOL. Indeed, there appear to be complex, mixed motivations impacting on choices made as well as factors that are outside of individual family control. The study findings also suggest that some families may have desired, or even been desperate for, much more help in supporting their relatives. However, they were hampered by lack of knowledge of the system and how it works, as well as cultural constraints about the inappropriateness of accepting outside help. </w:t>
      </w:r>
    </w:p>
    <w:p w14:paraId="30D0173A" w14:textId="77777777" w:rsidR="000F7E56" w:rsidRPr="000F7E56" w:rsidRDefault="000F7E56" w:rsidP="000F7E56">
      <w:pPr>
        <w:spacing w:after="120" w:line="360" w:lineRule="auto"/>
        <w:ind w:left="720"/>
        <w:rPr>
          <w:i/>
        </w:rPr>
      </w:pPr>
      <w:r w:rsidRPr="000F7E56">
        <w:rPr>
          <w:i/>
        </w:rPr>
        <w:t>We would try and persevere as much as possible...that's generally what we would do unless, if it’s effecting our health. Recently my brother he had sciatica ...so we had to all pull in together rather than saying actually we can't, approaching some authority and saying we can't cope and we need extra help. Instead we had to pull together and give him [rest] so he had his time to recover. So, it’s more that you have to persevere, there is no end</w:t>
      </w:r>
      <w:r w:rsidRPr="000F7E56">
        <w:t xml:space="preserve">. (Mrs </w:t>
      </w:r>
      <w:proofErr w:type="spellStart"/>
      <w:r w:rsidRPr="000F7E56">
        <w:t>Chandyo’s</w:t>
      </w:r>
      <w:proofErr w:type="spellEnd"/>
      <w:r w:rsidRPr="000F7E56">
        <w:t xml:space="preserve"> daughter-consultee, 1st interview).</w:t>
      </w:r>
    </w:p>
    <w:p w14:paraId="3A17C6F7" w14:textId="77777777" w:rsidR="000F7E56" w:rsidRPr="000F7E56" w:rsidRDefault="000F7E56" w:rsidP="000F7E56">
      <w:pPr>
        <w:spacing w:after="120" w:line="360" w:lineRule="auto"/>
        <w:ind w:left="720"/>
        <w:rPr>
          <w:i/>
        </w:rPr>
      </w:pPr>
      <w:r w:rsidRPr="000F7E56">
        <w:rPr>
          <w:i/>
        </w:rPr>
        <w:t xml:space="preserve">I can't just leave her with any XYZ to look after her. Because I don't think any XYZ will look after her the way I will. If that means that I will give up my job I will have to, if that means I have to take unpaid leave I will do. But I can't leave my mum with any XYZ person and rely on them. Because I have always had more to deal with when I have left my family member, whether it’s in hospital </w:t>
      </w:r>
      <w:r w:rsidRPr="000F7E56">
        <w:rPr>
          <w:i/>
        </w:rPr>
        <w:lastRenderedPageBreak/>
        <w:t xml:space="preserve">whether it’s in the nursing home. I have always had more pressure, I have always had more stress. Because I can't rely on that person doing the right thing. </w:t>
      </w:r>
      <w:r w:rsidRPr="000F7E56">
        <w:t>(Mrs Chadha’s daughter, 2nd interview).</w:t>
      </w:r>
    </w:p>
    <w:p w14:paraId="3D38C2BA" w14:textId="77777777" w:rsidR="000F7E56" w:rsidRPr="000F7E56" w:rsidRDefault="000F7E56" w:rsidP="000F7E56">
      <w:pPr>
        <w:spacing w:after="120" w:line="360" w:lineRule="auto"/>
      </w:pPr>
      <w:r w:rsidRPr="000F7E56">
        <w:t xml:space="preserve">As Mrs Chadha’s daughter illustrates, another constraint on accepting care and support outside the family was lack of confidence and trust in staff and services to provide appropriately skilled, tailored and culturally appropriate care. The result was that, far from providing relief and respite, accepting such help could cause family carers additional stress and anxiety. </w:t>
      </w:r>
    </w:p>
    <w:p w14:paraId="459340F9" w14:textId="77777777" w:rsidR="000F7E56" w:rsidRPr="000F7E56" w:rsidRDefault="000F7E56" w:rsidP="000F7E56">
      <w:pPr>
        <w:keepNext/>
        <w:keepLines/>
        <w:spacing w:before="40" w:after="0" w:line="276" w:lineRule="auto"/>
        <w:outlineLvl w:val="2"/>
        <w:rPr>
          <w:rFonts w:asciiTheme="majorHAnsi" w:eastAsiaTheme="majorEastAsia" w:hAnsiTheme="majorHAnsi" w:cstheme="majorBidi"/>
          <w:color w:val="1F3763" w:themeColor="accent1" w:themeShade="7F"/>
          <w:sz w:val="24"/>
          <w:szCs w:val="24"/>
        </w:rPr>
      </w:pPr>
      <w:bookmarkStart w:id="323" w:name="_Toc89764000"/>
      <w:bookmarkStart w:id="324" w:name="_Toc106697829"/>
      <w:r w:rsidRPr="000F7E56">
        <w:rPr>
          <w:rFonts w:asciiTheme="majorHAnsi" w:eastAsiaTheme="majorEastAsia" w:hAnsiTheme="majorHAnsi" w:cstheme="majorBidi"/>
          <w:color w:val="1F3763" w:themeColor="accent1" w:themeShade="7F"/>
          <w:sz w:val="24"/>
          <w:szCs w:val="24"/>
        </w:rPr>
        <w:t>Decision-making</w:t>
      </w:r>
      <w:bookmarkEnd w:id="323"/>
      <w:bookmarkEnd w:id="324"/>
      <w:r w:rsidRPr="000F7E56">
        <w:rPr>
          <w:rFonts w:asciiTheme="majorHAnsi" w:eastAsiaTheme="majorEastAsia" w:hAnsiTheme="majorHAnsi" w:cstheme="majorBidi"/>
          <w:color w:val="1F3763" w:themeColor="accent1" w:themeShade="7F"/>
          <w:sz w:val="24"/>
          <w:szCs w:val="24"/>
        </w:rPr>
        <w:t xml:space="preserve"> </w:t>
      </w:r>
    </w:p>
    <w:p w14:paraId="3D305D69" w14:textId="77777777" w:rsidR="000F7E56" w:rsidRPr="000F7E56" w:rsidRDefault="000F7E56" w:rsidP="000F7E56">
      <w:pPr>
        <w:spacing w:after="120" w:line="360" w:lineRule="auto"/>
        <w:rPr>
          <w:color w:val="000000" w:themeColor="text1"/>
        </w:rPr>
      </w:pPr>
      <w:r w:rsidRPr="000F7E56">
        <w:t xml:space="preserve">Patient and FCG participants had diverse perspectives on the locus of decision-making and the extent to which patients and family members wanted to engage in decisions. This was shaped by the nature and severity of the patient’s illness, whether the patient had retained capacity, and by the availability and configuration of family support. Some patients, including those who were older as well as those with strong religious or cultural traditions, were described as being in charge of their own decisions. </w:t>
      </w:r>
      <w:r w:rsidRPr="000F7E56">
        <w:rPr>
          <w:color w:val="000000" w:themeColor="text1"/>
        </w:rPr>
        <w:t xml:space="preserve">These were respected by their family members, who might also have been involved in shared information and discussion.  </w:t>
      </w:r>
    </w:p>
    <w:p w14:paraId="037C4D87" w14:textId="77777777" w:rsidR="000F7E56" w:rsidRPr="000F7E56" w:rsidRDefault="000F7E56" w:rsidP="000F7E56">
      <w:pPr>
        <w:tabs>
          <w:tab w:val="left" w:pos="709"/>
          <w:tab w:val="left" w:pos="1418"/>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120" w:line="360" w:lineRule="auto"/>
        <w:ind w:left="720"/>
        <w:rPr>
          <w:rFonts w:cstheme="minorHAnsi"/>
          <w:i/>
        </w:rPr>
      </w:pPr>
      <w:r w:rsidRPr="000F7E56">
        <w:rPr>
          <w:rFonts w:ascii="Calibri" w:hAnsi="Calibri" w:cs="Calibri"/>
          <w:i/>
          <w:iCs/>
        </w:rPr>
        <w:t>Dad makes the decisions. We have not taken a single decision for him because the thing is although he was, for some time he was physically impaired, he wasn't mentally impaired….</w:t>
      </w:r>
      <w:r w:rsidRPr="000F7E56">
        <w:rPr>
          <w:rFonts w:cstheme="minorHAnsi"/>
          <w:i/>
        </w:rPr>
        <w:t xml:space="preserve"> He is that traditional Indian man where he is the head of the family, he is the person who supports everyone not the one who gets supported. And he has been like that all our life, for us he has been that pillar of strength...I think that's overall his family and his religion like his faith make the certain choices that he does. </w:t>
      </w:r>
      <w:r w:rsidRPr="000F7E56">
        <w:rPr>
          <w:rFonts w:ascii="Calibri" w:hAnsi="Calibri" w:cs="Calibri"/>
          <w:iCs/>
        </w:rPr>
        <w:t>(</w:t>
      </w:r>
      <w:r w:rsidRPr="000F7E56">
        <w:rPr>
          <w:rFonts w:cstheme="minorHAnsi"/>
        </w:rPr>
        <w:t xml:space="preserve">Mr </w:t>
      </w:r>
      <w:proofErr w:type="spellStart"/>
      <w:r w:rsidRPr="000F7E56">
        <w:rPr>
          <w:rFonts w:cstheme="minorHAnsi"/>
        </w:rPr>
        <w:t>Chandhary’s</w:t>
      </w:r>
      <w:proofErr w:type="spellEnd"/>
      <w:r w:rsidRPr="000F7E56">
        <w:rPr>
          <w:rFonts w:cstheme="minorHAnsi"/>
        </w:rPr>
        <w:t xml:space="preserve"> daughter, 1st interview).</w:t>
      </w:r>
    </w:p>
    <w:p w14:paraId="52B6F95A" w14:textId="77777777" w:rsidR="000F7E56" w:rsidRPr="000F7E56" w:rsidRDefault="000F7E56" w:rsidP="000F7E56">
      <w:pPr>
        <w:spacing w:after="120" w:line="360" w:lineRule="auto"/>
      </w:pPr>
      <w:r w:rsidRPr="000F7E56">
        <w:t xml:space="preserve">At the other extreme, some patients, whilst respected for their age and position in their family, devolved decisions to particular members of their family in the knowledge that they could trust them to make decisions in their best interests. </w:t>
      </w:r>
    </w:p>
    <w:p w14:paraId="5088CC35" w14:textId="77777777" w:rsidR="000F7E56" w:rsidRPr="000F7E56" w:rsidRDefault="000F7E56" w:rsidP="000F7E56">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spacing w:after="120" w:line="360" w:lineRule="auto"/>
        <w:ind w:left="720"/>
        <w:rPr>
          <w:rFonts w:cstheme="minorHAnsi"/>
          <w:i/>
          <w:iCs/>
          <w:color w:val="00000A"/>
        </w:rPr>
      </w:pPr>
      <w:r w:rsidRPr="000F7E56">
        <w:rPr>
          <w:rFonts w:cstheme="minorHAnsi"/>
          <w:i/>
          <w:iCs/>
          <w:color w:val="00000A"/>
        </w:rPr>
        <w:t xml:space="preserve">Yes, they [sons] were doing the communications. But with my mother in law because I think because she was older and …they respected the sons so much as well and they never really wanted to, she never even spoke to her sons about .... her illness, .... or what she should do ... she just left it to them to make the decisions and everything and she just relied on them you know. And she knew that they would make the right decision and that's why she just left it to them and never spoke about it. And they all respected her...that's how it was you know. </w:t>
      </w:r>
      <w:r w:rsidRPr="000F7E56">
        <w:rPr>
          <w:rFonts w:cstheme="minorHAnsi"/>
          <w:iCs/>
          <w:color w:val="00000A"/>
        </w:rPr>
        <w:t>(Mrs Bansal’s daughter-in-law).</w:t>
      </w:r>
    </w:p>
    <w:p w14:paraId="2B0EF747" w14:textId="77777777" w:rsidR="000F7E56" w:rsidRPr="000F7E56" w:rsidRDefault="000F7E56" w:rsidP="000F7E56">
      <w:pPr>
        <w:spacing w:after="120" w:line="360" w:lineRule="auto"/>
      </w:pPr>
      <w:r w:rsidRPr="000F7E56">
        <w:t xml:space="preserve">Another type of arrangement involved wider family discussion and involvement, even if one or two individuals took on the major role in liaising with services and HCPs. It was notable too that within some families even where one or two FCGs took the lead in making decisions and liaising with HCPs, there was a </w:t>
      </w:r>
      <w:r w:rsidRPr="000F7E56">
        <w:lastRenderedPageBreak/>
        <w:t xml:space="preserve">wider forum of family involvement, and a very deliberate discussion and sharing of information about the patient’s illness and the decisions that were made about treatment. </w:t>
      </w:r>
    </w:p>
    <w:p w14:paraId="78313974" w14:textId="77777777" w:rsidR="000F7E56" w:rsidRPr="000F7E56" w:rsidRDefault="000F7E56" w:rsidP="000F7E56">
      <w:pPr>
        <w:widowControl w:val="0"/>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spacing w:after="120" w:line="360" w:lineRule="auto"/>
        <w:ind w:left="720"/>
        <w:rPr>
          <w:rFonts w:cstheme="minorHAnsi"/>
          <w:i/>
        </w:rPr>
      </w:pPr>
      <w:r w:rsidRPr="000F7E56">
        <w:rPr>
          <w:rFonts w:cstheme="minorHAnsi"/>
        </w:rPr>
        <w:t>Mrs Chawla’s daughter (1st interview):</w:t>
      </w:r>
      <w:r w:rsidRPr="000F7E56">
        <w:rPr>
          <w:rFonts w:cstheme="minorHAnsi"/>
          <w:i/>
        </w:rPr>
        <w:t xml:space="preserve"> At that stage mum is unconscious so it’s a family decision, whenever we have been asked she has been out of it.</w:t>
      </w:r>
    </w:p>
    <w:p w14:paraId="13760F1B" w14:textId="77777777" w:rsidR="000F7E56" w:rsidRPr="000F7E56" w:rsidRDefault="000F7E56" w:rsidP="000F7E56">
      <w:pPr>
        <w:widowControl w:val="0"/>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spacing w:after="120" w:line="360" w:lineRule="auto"/>
        <w:ind w:left="720"/>
        <w:rPr>
          <w:rFonts w:cstheme="minorHAnsi"/>
          <w:b/>
          <w:bCs/>
          <w:i/>
        </w:rPr>
      </w:pPr>
      <w:r w:rsidRPr="000F7E56">
        <w:rPr>
          <w:rFonts w:cstheme="minorHAnsi"/>
          <w:b/>
          <w:bCs/>
        </w:rPr>
        <w:t>Researcher:</w:t>
      </w:r>
      <w:r w:rsidRPr="000F7E56">
        <w:rPr>
          <w:rFonts w:cstheme="minorHAnsi"/>
          <w:b/>
          <w:bCs/>
          <w:i/>
        </w:rPr>
        <w:t xml:space="preserve"> So, if the doctor were to broach those discussions [DNACPR] with you....</w:t>
      </w:r>
    </w:p>
    <w:p w14:paraId="332E2AF1" w14:textId="77777777" w:rsidR="000F7E56" w:rsidRPr="000F7E56" w:rsidRDefault="000F7E56" w:rsidP="000F7E56">
      <w:pPr>
        <w:widowControl w:val="0"/>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spacing w:after="120" w:line="360" w:lineRule="auto"/>
        <w:ind w:left="720"/>
        <w:rPr>
          <w:rFonts w:cstheme="minorHAnsi"/>
          <w:i/>
        </w:rPr>
      </w:pPr>
      <w:r w:rsidRPr="000F7E56">
        <w:rPr>
          <w:rFonts w:cstheme="minorHAnsi"/>
        </w:rPr>
        <w:t xml:space="preserve">Mrs Chawla’s daughter: </w:t>
      </w:r>
      <w:r w:rsidRPr="000F7E56">
        <w:rPr>
          <w:rFonts w:cstheme="minorHAnsi"/>
          <w:i/>
        </w:rPr>
        <w:t>I would say no, the whole family would say no.</w:t>
      </w:r>
    </w:p>
    <w:p w14:paraId="0D3238DE" w14:textId="77777777" w:rsidR="000F7E56" w:rsidRPr="000F7E56" w:rsidRDefault="000F7E56" w:rsidP="000F7E56">
      <w:pPr>
        <w:widowControl w:val="0"/>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spacing w:after="120" w:line="360" w:lineRule="auto"/>
        <w:ind w:left="720"/>
        <w:rPr>
          <w:rFonts w:cstheme="minorHAnsi"/>
          <w:b/>
          <w:bCs/>
          <w:i/>
        </w:rPr>
      </w:pPr>
      <w:r w:rsidRPr="000F7E56">
        <w:rPr>
          <w:rFonts w:cstheme="minorHAnsi"/>
          <w:b/>
          <w:bCs/>
        </w:rPr>
        <w:t>Researcher:</w:t>
      </w:r>
      <w:r w:rsidRPr="000F7E56">
        <w:rPr>
          <w:rFonts w:cstheme="minorHAnsi"/>
          <w:b/>
          <w:bCs/>
          <w:i/>
        </w:rPr>
        <w:t xml:space="preserve"> So, what I am trying to get at is it would very much be the whole family would be involved in that decision-making process?</w:t>
      </w:r>
    </w:p>
    <w:p w14:paraId="5ABC63E7" w14:textId="77777777" w:rsidR="000F7E56" w:rsidRPr="000F7E56" w:rsidRDefault="000F7E56" w:rsidP="000F7E56">
      <w:pPr>
        <w:widowControl w:val="0"/>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spacing w:after="120" w:line="360" w:lineRule="auto"/>
        <w:ind w:left="720"/>
        <w:rPr>
          <w:rFonts w:cstheme="minorHAnsi"/>
          <w:i/>
        </w:rPr>
      </w:pPr>
      <w:r w:rsidRPr="000F7E56">
        <w:rPr>
          <w:rFonts w:cstheme="minorHAnsi"/>
        </w:rPr>
        <w:t>Mrs Chawla’s daughter</w:t>
      </w:r>
      <w:r w:rsidRPr="000F7E56">
        <w:rPr>
          <w:rFonts w:cstheme="minorHAnsi"/>
          <w:i/>
        </w:rPr>
        <w:t>: The last time they approached about it to my eldest brother he was on the phone straight away to me to say, ‘They are talking about DNACPR’, and I am like, ‘No, it’s not happening.’  And they were all happy with that decision that it’s not happening.</w:t>
      </w:r>
    </w:p>
    <w:p w14:paraId="08518B29" w14:textId="77777777" w:rsidR="000F7E56" w:rsidRPr="000F7E56" w:rsidRDefault="000F7E56" w:rsidP="000F7E56">
      <w:pPr>
        <w:spacing w:after="120" w:line="360" w:lineRule="auto"/>
        <w:rPr>
          <w:color w:val="000000" w:themeColor="text1"/>
        </w:rPr>
      </w:pPr>
      <w:r w:rsidRPr="000F7E56">
        <w:t xml:space="preserve">Most patients had at least one supportive family member who provided care and who often became the spokesperson for that patient, although in a few cases little FCG support was available. Spouses tended to be heavily involved, except in cases where they had severe health problems of their own. </w:t>
      </w:r>
      <w:r w:rsidRPr="000F7E56">
        <w:rPr>
          <w:color w:val="000000" w:themeColor="text1"/>
        </w:rPr>
        <w:t xml:space="preserve">The local availability and involvement of supportive informal care givers shaped the way they typically communicated and allocated responsibility for decisions. </w:t>
      </w:r>
    </w:p>
    <w:p w14:paraId="3B544922" w14:textId="77777777" w:rsidR="000F7E56" w:rsidRPr="000F7E56" w:rsidRDefault="000F7E56" w:rsidP="000F7E56">
      <w:pPr>
        <w:spacing w:after="120" w:line="360" w:lineRule="auto"/>
        <w:ind w:left="720"/>
        <w:rPr>
          <w:i/>
          <w:iCs/>
          <w:color w:val="000000" w:themeColor="text1"/>
        </w:rPr>
      </w:pPr>
      <w:r w:rsidRPr="000F7E56">
        <w:rPr>
          <w:iCs/>
          <w:color w:val="000000" w:themeColor="text1"/>
        </w:rPr>
        <w:t>Mr Chahine’s son</w:t>
      </w:r>
      <w:r w:rsidRPr="000F7E56">
        <w:rPr>
          <w:i/>
          <w:iCs/>
          <w:color w:val="000000" w:themeColor="text1"/>
        </w:rPr>
        <w:t>: I am the eldest but I don't like to make any decisions on my own, I don't want the other brothers thinking I am taking over and doing what I think is right for me and keeping them out of the situation. I wouldn't do anything without having a discussion between us. So we all agree on something and we are all happy with what is to be done .... So, we would all of us would be aware of everything that is going to go on.</w:t>
      </w:r>
    </w:p>
    <w:p w14:paraId="2B8681C2" w14:textId="77777777" w:rsidR="000F7E56" w:rsidRPr="000F7E56" w:rsidRDefault="000F7E56" w:rsidP="000F7E56">
      <w:pPr>
        <w:spacing w:after="120" w:line="360" w:lineRule="auto"/>
        <w:ind w:firstLine="720"/>
        <w:rPr>
          <w:b/>
          <w:i/>
          <w:iCs/>
          <w:color w:val="000000" w:themeColor="text1"/>
        </w:rPr>
      </w:pPr>
      <w:r w:rsidRPr="000F7E56">
        <w:rPr>
          <w:b/>
          <w:iCs/>
          <w:color w:val="000000" w:themeColor="text1"/>
        </w:rPr>
        <w:t>Researcher</w:t>
      </w:r>
      <w:r w:rsidRPr="000F7E56">
        <w:rPr>
          <w:b/>
          <w:i/>
          <w:iCs/>
          <w:color w:val="000000" w:themeColor="text1"/>
        </w:rPr>
        <w:t>: So it is very much a joint decision?</w:t>
      </w:r>
    </w:p>
    <w:p w14:paraId="622CB23C" w14:textId="77777777" w:rsidR="000F7E56" w:rsidRPr="000F7E56" w:rsidRDefault="000F7E56" w:rsidP="000F7E56">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spacing w:after="120" w:line="360" w:lineRule="auto"/>
        <w:rPr>
          <w:i/>
          <w:iCs/>
          <w:color w:val="000000" w:themeColor="text1"/>
        </w:rPr>
      </w:pPr>
      <w:r w:rsidRPr="000F7E56">
        <w:rPr>
          <w:i/>
          <w:iCs/>
          <w:color w:val="000000" w:themeColor="text1"/>
        </w:rPr>
        <w:tab/>
      </w:r>
      <w:r w:rsidRPr="000F7E56">
        <w:rPr>
          <w:iCs/>
          <w:color w:val="000000" w:themeColor="text1"/>
        </w:rPr>
        <w:t>Mr Chahine’s son</w:t>
      </w:r>
      <w:r w:rsidRPr="000F7E56">
        <w:rPr>
          <w:i/>
          <w:iCs/>
          <w:color w:val="000000" w:themeColor="text1"/>
        </w:rPr>
        <w:t>:</w:t>
      </w:r>
      <w:r w:rsidRPr="000F7E56">
        <w:rPr>
          <w:color w:val="000000" w:themeColor="text1"/>
        </w:rPr>
        <w:t xml:space="preserve"> </w:t>
      </w:r>
      <w:r w:rsidRPr="000F7E56">
        <w:rPr>
          <w:i/>
          <w:iCs/>
          <w:color w:val="000000" w:themeColor="text1"/>
        </w:rPr>
        <w:t>It is a joint decision.</w:t>
      </w:r>
    </w:p>
    <w:p w14:paraId="67BEA1EE" w14:textId="77777777" w:rsidR="000F7E56" w:rsidRPr="000F7E56" w:rsidRDefault="000F7E56" w:rsidP="000F7E56">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spacing w:after="120" w:line="360" w:lineRule="auto"/>
        <w:rPr>
          <w:b/>
          <w:i/>
          <w:iCs/>
          <w:color w:val="000000" w:themeColor="text1"/>
        </w:rPr>
      </w:pPr>
      <w:r w:rsidRPr="000F7E56">
        <w:rPr>
          <w:bCs/>
          <w:i/>
          <w:iCs/>
          <w:color w:val="000000" w:themeColor="text1"/>
        </w:rPr>
        <w:tab/>
      </w:r>
      <w:r w:rsidRPr="000F7E56">
        <w:rPr>
          <w:b/>
          <w:iCs/>
          <w:color w:val="000000" w:themeColor="text1"/>
        </w:rPr>
        <w:t>Researcher</w:t>
      </w:r>
      <w:r w:rsidRPr="000F7E56">
        <w:rPr>
          <w:b/>
          <w:i/>
          <w:iCs/>
          <w:color w:val="000000" w:themeColor="text1"/>
        </w:rPr>
        <w:t>: And then you would speak to your parents as well?</w:t>
      </w:r>
    </w:p>
    <w:p w14:paraId="17570426" w14:textId="77777777" w:rsidR="000F7E56" w:rsidRPr="000F7E56" w:rsidRDefault="000F7E56" w:rsidP="000F7E56">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spacing w:after="120" w:line="360" w:lineRule="auto"/>
        <w:rPr>
          <w:i/>
          <w:iCs/>
          <w:color w:val="000000" w:themeColor="text1"/>
        </w:rPr>
      </w:pPr>
      <w:r w:rsidRPr="000F7E56">
        <w:rPr>
          <w:i/>
          <w:iCs/>
          <w:color w:val="000000" w:themeColor="text1"/>
        </w:rPr>
        <w:tab/>
      </w:r>
      <w:r w:rsidRPr="000F7E56">
        <w:rPr>
          <w:iCs/>
          <w:color w:val="000000" w:themeColor="text1"/>
        </w:rPr>
        <w:t>Mr Chahine’s son:</w:t>
      </w:r>
      <w:r w:rsidRPr="000F7E56">
        <w:rPr>
          <w:i/>
          <w:iCs/>
          <w:color w:val="000000" w:themeColor="text1"/>
        </w:rPr>
        <w:t xml:space="preserve"> Yes. </w:t>
      </w:r>
      <w:r w:rsidRPr="000F7E56">
        <w:rPr>
          <w:iCs/>
          <w:color w:val="000000" w:themeColor="text1"/>
        </w:rPr>
        <w:t>(2nd interview).</w:t>
      </w:r>
    </w:p>
    <w:p w14:paraId="0046F3BC" w14:textId="0AF1F1B8" w:rsidR="000F7E56" w:rsidRPr="000F7E56" w:rsidRDefault="000F7E56" w:rsidP="000F7E56">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spacing w:after="120" w:line="360" w:lineRule="auto"/>
        <w:ind w:left="720"/>
        <w:rPr>
          <w:rFonts w:cstheme="minorHAnsi"/>
          <w:i/>
          <w:iCs/>
          <w:color w:val="00000A"/>
        </w:rPr>
      </w:pPr>
      <w:r w:rsidRPr="000F7E56">
        <w:rPr>
          <w:rFonts w:cstheme="minorHAnsi"/>
          <w:i/>
          <w:iCs/>
          <w:color w:val="00000A"/>
        </w:rPr>
        <w:t xml:space="preserve">I prefer everything to share with my family they are very, very helpful. I have not hidden anything from my son and because... I can't use my hands ...can't do something banking...then my son does it for me and I trust them there. And anything, it’s all written on the papers that they are authorised to take the decision if I am in the hospital my wife or my children individually can take decisions themselves without asking me because I know they will do the right things for me. </w:t>
      </w:r>
      <w:r w:rsidRPr="000F7E56">
        <w:rPr>
          <w:rFonts w:cstheme="minorHAnsi"/>
          <w:iCs/>
          <w:color w:val="00000A"/>
        </w:rPr>
        <w:t>(Mr Chahine, 2nd interview).</w:t>
      </w:r>
    </w:p>
    <w:p w14:paraId="3D01232D" w14:textId="77777777" w:rsidR="000F7E56" w:rsidRPr="000F7E56" w:rsidRDefault="000F7E56" w:rsidP="000F7E56">
      <w:pPr>
        <w:spacing w:after="120" w:line="360" w:lineRule="auto"/>
        <w:rPr>
          <w:color w:val="000000" w:themeColor="text1"/>
        </w:rPr>
      </w:pPr>
      <w:r w:rsidRPr="000F7E56">
        <w:rPr>
          <w:color w:val="000000" w:themeColor="text1"/>
        </w:rPr>
        <w:lastRenderedPageBreak/>
        <w:t xml:space="preserve">Preferences varied regarding disclosure and discussion between patient, family and HCPs. This resulted in some patients and/or families feeling that HCPs had little or no place in any decision-making for EOLC.  </w:t>
      </w:r>
    </w:p>
    <w:p w14:paraId="6FAF51CF" w14:textId="77777777" w:rsidR="000F7E56" w:rsidRPr="000F7E56" w:rsidRDefault="000F7E56" w:rsidP="000F7E56">
      <w:pPr>
        <w:spacing w:after="120" w:line="360" w:lineRule="auto"/>
        <w:ind w:left="720"/>
        <w:rPr>
          <w:i/>
          <w:color w:val="000000" w:themeColor="text1"/>
        </w:rPr>
      </w:pPr>
      <w:r w:rsidRPr="000F7E56">
        <w:rPr>
          <w:i/>
          <w:color w:val="000000" w:themeColor="text1"/>
        </w:rPr>
        <w:t>You don't tell a stranger, like a doctor, he is a stranger. I wouldn't tell him my business. No, I wouldn't...I would say, ‘I am sorry, but that's my family and my business so I can't tell you.’</w:t>
      </w:r>
      <w:r w:rsidRPr="000F7E56">
        <w:rPr>
          <w:color w:val="000000" w:themeColor="text1"/>
        </w:rPr>
        <w:t xml:space="preserve"> (Mrs Campbell, 3rd interview).</w:t>
      </w:r>
    </w:p>
    <w:p w14:paraId="33E25FF8" w14:textId="77777777" w:rsidR="000F7E56" w:rsidRPr="000F7E56" w:rsidRDefault="000F7E56" w:rsidP="000F7E56">
      <w:pPr>
        <w:spacing w:after="120" w:line="360" w:lineRule="auto"/>
        <w:rPr>
          <w:color w:val="000000" w:themeColor="text1"/>
        </w:rPr>
      </w:pPr>
      <w:r w:rsidRPr="000F7E56">
        <w:rPr>
          <w:color w:val="000000" w:themeColor="text1"/>
        </w:rPr>
        <w:t xml:space="preserve">As mentioned previously, there were instances where either patient or family members wished to restrict information about certain aspects of prognosis and any decisions arising from these. This was largely to protect others from the impact and distress this would cause (e.g. as in Mrs </w:t>
      </w:r>
      <w:proofErr w:type="spellStart"/>
      <w:r w:rsidRPr="000F7E56">
        <w:rPr>
          <w:color w:val="000000" w:themeColor="text1"/>
        </w:rPr>
        <w:t>Curkovic’s</w:t>
      </w:r>
      <w:proofErr w:type="spellEnd"/>
      <w:r w:rsidRPr="000F7E56">
        <w:rPr>
          <w:color w:val="000000" w:themeColor="text1"/>
        </w:rPr>
        <w:t xml:space="preserve"> case). However, a consequence of selective disclosure was that where older patients relied on family members to translate and mediate communication with HCPs, the extent to which the patient’s voice in key decisions was heard and accurately represented was often unclear. </w:t>
      </w:r>
    </w:p>
    <w:p w14:paraId="0E888AFB" w14:textId="6FE04CC1" w:rsidR="000F7E56" w:rsidRDefault="000F7E56" w:rsidP="000F7E56">
      <w:pPr>
        <w:keepNext/>
        <w:keepLines/>
        <w:spacing w:before="40" w:after="0" w:line="276" w:lineRule="auto"/>
        <w:outlineLvl w:val="2"/>
        <w:rPr>
          <w:rFonts w:asciiTheme="majorHAnsi" w:eastAsiaTheme="majorEastAsia" w:hAnsiTheme="majorHAnsi" w:cstheme="majorBidi"/>
          <w:color w:val="1F3763" w:themeColor="accent1" w:themeShade="7F"/>
          <w:sz w:val="24"/>
          <w:szCs w:val="24"/>
        </w:rPr>
      </w:pPr>
      <w:bookmarkStart w:id="325" w:name="_Toc89764001"/>
      <w:bookmarkStart w:id="326" w:name="_Toc106697830"/>
      <w:r w:rsidRPr="000F7E56">
        <w:rPr>
          <w:rFonts w:asciiTheme="majorHAnsi" w:eastAsiaTheme="majorEastAsia" w:hAnsiTheme="majorHAnsi" w:cstheme="majorBidi"/>
          <w:color w:val="1F3763" w:themeColor="accent1" w:themeShade="7F"/>
          <w:sz w:val="24"/>
          <w:szCs w:val="24"/>
        </w:rPr>
        <w:t xml:space="preserve">Religious beliefs and influence on </w:t>
      </w:r>
      <w:bookmarkEnd w:id="325"/>
      <w:r w:rsidR="00DA32BF">
        <w:rPr>
          <w:rFonts w:asciiTheme="majorHAnsi" w:eastAsiaTheme="majorEastAsia" w:hAnsiTheme="majorHAnsi" w:cstheme="majorBidi"/>
          <w:color w:val="1F3763" w:themeColor="accent1" w:themeShade="7F"/>
          <w:sz w:val="24"/>
          <w:szCs w:val="24"/>
        </w:rPr>
        <w:t>end-of-life care planning</w:t>
      </w:r>
      <w:bookmarkEnd w:id="326"/>
    </w:p>
    <w:p w14:paraId="0AED707E" w14:textId="77777777" w:rsidR="00DA32BF" w:rsidRPr="000F7E56" w:rsidRDefault="00DA32BF" w:rsidP="000F7E56">
      <w:pPr>
        <w:keepNext/>
        <w:keepLines/>
        <w:spacing w:before="40" w:after="0" w:line="276" w:lineRule="auto"/>
        <w:outlineLvl w:val="2"/>
        <w:rPr>
          <w:rFonts w:asciiTheme="majorHAnsi" w:eastAsiaTheme="majorEastAsia" w:hAnsiTheme="majorHAnsi" w:cstheme="majorBidi"/>
          <w:color w:val="1F3763" w:themeColor="accent1" w:themeShade="7F"/>
          <w:sz w:val="24"/>
          <w:szCs w:val="24"/>
        </w:rPr>
      </w:pPr>
    </w:p>
    <w:p w14:paraId="27488984" w14:textId="77777777" w:rsidR="000F7E56" w:rsidRPr="000F7E56" w:rsidRDefault="000F7E56" w:rsidP="000F7E56">
      <w:pPr>
        <w:spacing w:after="120" w:line="360" w:lineRule="auto"/>
        <w:rPr>
          <w:color w:val="000000" w:themeColor="text1"/>
        </w:rPr>
      </w:pPr>
      <w:bookmarkStart w:id="327" w:name="_Toc80775569"/>
      <w:r w:rsidRPr="000F7E56">
        <w:rPr>
          <w:color w:val="000000" w:themeColor="text1"/>
        </w:rPr>
        <w:t>Several patient and FCG participants considered that advance discussion or decisions about treatment or end-of-life care were irrelevant and even inappropriate because they believed that the timing and manner of their death would be determined by God.</w:t>
      </w:r>
    </w:p>
    <w:p w14:paraId="24D047A0" w14:textId="77777777" w:rsidR="000F7E56" w:rsidRPr="000F7E56" w:rsidRDefault="000F7E56" w:rsidP="000F7E56">
      <w:pPr>
        <w:spacing w:after="120" w:line="360" w:lineRule="auto"/>
        <w:ind w:left="720"/>
        <w:rPr>
          <w:rFonts w:cstheme="minorHAnsi"/>
          <w:i/>
        </w:rPr>
      </w:pPr>
      <w:r w:rsidRPr="000F7E56">
        <w:rPr>
          <w:rFonts w:cstheme="minorHAnsi"/>
          <w:i/>
        </w:rPr>
        <w:t xml:space="preserve">...when they said end-of-life palliative care a lot of people think, ‘Oh, they are giving my mum such and such a time.’  But then the only thing that went in my head is they are not God, that's the only thing that went in my head, they are not God, they don't know when anyone is going to die. </w:t>
      </w:r>
    </w:p>
    <w:p w14:paraId="65588137" w14:textId="77777777" w:rsidR="000F7E56" w:rsidRPr="000F7E56" w:rsidRDefault="000F7E56" w:rsidP="000F7E56">
      <w:pPr>
        <w:spacing w:after="120" w:line="360" w:lineRule="auto"/>
        <w:ind w:left="720"/>
      </w:pPr>
      <w:r w:rsidRPr="000F7E56">
        <w:rPr>
          <w:rFonts w:cstheme="minorHAnsi"/>
        </w:rPr>
        <w:t>(Mrs Campbell’s daughter, 1st interview).</w:t>
      </w:r>
    </w:p>
    <w:p w14:paraId="0F620EBF" w14:textId="77777777" w:rsidR="000F7E56" w:rsidRPr="000F7E56" w:rsidRDefault="000F7E56" w:rsidP="000F7E56">
      <w:pPr>
        <w:spacing w:after="120" w:line="360" w:lineRule="auto"/>
      </w:pPr>
      <w:r w:rsidRPr="000F7E56">
        <w:rPr>
          <w:color w:val="000000" w:themeColor="text1"/>
        </w:rPr>
        <w:t xml:space="preserve">Most </w:t>
      </w:r>
      <w:bookmarkEnd w:id="327"/>
      <w:r w:rsidRPr="000F7E56">
        <w:rPr>
          <w:color w:val="000000" w:themeColor="text1"/>
        </w:rPr>
        <w:t xml:space="preserve">HCP accounts indicated that they did not employ greatly different approaches to communication and care of patients on the basis of their religious or cultural beliefs. </w:t>
      </w:r>
      <w:r w:rsidRPr="000F7E56">
        <w:t>Several professionals noted that there could be a discrepancy between the stated commitment to accept or reject treatment on the grounds of religious belief and the subsequent decisions made by the patient and family.</w:t>
      </w:r>
    </w:p>
    <w:p w14:paraId="3FDC8137" w14:textId="77777777" w:rsidR="000F7E56" w:rsidRPr="000F7E56" w:rsidRDefault="000F7E56" w:rsidP="000F7E56">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spacing w:after="120" w:line="360" w:lineRule="auto"/>
        <w:ind w:left="720"/>
        <w:rPr>
          <w:rFonts w:cstheme="minorHAnsi"/>
          <w:i/>
          <w:color w:val="00000A"/>
        </w:rPr>
      </w:pPr>
      <w:r w:rsidRPr="000F7E56">
        <w:rPr>
          <w:rFonts w:cstheme="minorHAnsi"/>
          <w:i/>
          <w:color w:val="00000A"/>
        </w:rPr>
        <w:t xml:space="preserve">And you can talk to them about how their breathing will just fade and fade until they can't breathe anymore and then they will die. And there is nothing.... resuscitation isn't a treatment that will work. So, it will be really nice for him or her to stay at home surrounded by his family.  And sometimes they understand that. Sometimes they surprise you and say even though they have been saying, ‘leave it to Allah,’ they will then have interventions. </w:t>
      </w:r>
      <w:r w:rsidRPr="000F7E56">
        <w:rPr>
          <w:rFonts w:cstheme="minorHAnsi"/>
          <w:color w:val="00000A"/>
        </w:rPr>
        <w:t>(Mr Chahine’s HCP).</w:t>
      </w:r>
    </w:p>
    <w:p w14:paraId="0955EDEE" w14:textId="77777777" w:rsidR="000F7E56" w:rsidRPr="000F7E56" w:rsidRDefault="000F7E56" w:rsidP="000F7E56">
      <w:pPr>
        <w:spacing w:after="120" w:line="360" w:lineRule="auto"/>
        <w:rPr>
          <w:i/>
          <w:color w:val="000000" w:themeColor="text1"/>
        </w:rPr>
      </w:pPr>
      <w:r w:rsidRPr="000F7E56">
        <w:rPr>
          <w:color w:val="000000" w:themeColor="text1"/>
        </w:rPr>
        <w:t xml:space="preserve">There were concerns about death in hospital in relation to the need to manage dying in accordance with religious observances.  FCGs reported that attendance of a </w:t>
      </w:r>
      <w:r w:rsidRPr="000F7E56">
        <w:t xml:space="preserve">large numbers of visitors was extremely important in some faiths in ensuring a ‘good passage’ when someone was close to death. Positioning of the </w:t>
      </w:r>
      <w:r w:rsidRPr="000F7E56">
        <w:lastRenderedPageBreak/>
        <w:t xml:space="preserve">bed towards Mecca was cited as a further example of practical steps that may be needed to support religious affiliation. Diet, as mentioned previously, was also a source of some concern.  These were all concerns raised </w:t>
      </w:r>
      <w:r w:rsidRPr="000F7E56">
        <w:rPr>
          <w:color w:val="000000" w:themeColor="text1"/>
        </w:rPr>
        <w:t xml:space="preserve">by some patients/FCGs but little or no mention of these came from HCPs.  </w:t>
      </w:r>
    </w:p>
    <w:p w14:paraId="409579DC" w14:textId="77777777" w:rsidR="000F7E56" w:rsidRPr="000F7E56" w:rsidRDefault="000F7E56" w:rsidP="000F7E56">
      <w:pPr>
        <w:widowControl w:val="0"/>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spacing w:after="120" w:line="360" w:lineRule="auto"/>
      </w:pPr>
      <w:r w:rsidRPr="000F7E56">
        <w:t>One area of concern for Muslim families was the need for a death certificate to be issued very quickly to enable burial to take place within 24 hours.</w:t>
      </w:r>
    </w:p>
    <w:p w14:paraId="4170C1D1" w14:textId="77777777" w:rsidR="000F7E56" w:rsidRPr="000F7E56" w:rsidRDefault="000F7E56" w:rsidP="000F7E56">
      <w:pPr>
        <w:spacing w:after="120" w:line="360" w:lineRule="auto"/>
        <w:ind w:left="360" w:right="397"/>
        <w:contextualSpacing/>
        <w:rPr>
          <w:color w:val="000000" w:themeColor="text1"/>
        </w:rPr>
      </w:pPr>
      <w:r w:rsidRPr="000F7E56" w:rsidDel="00EC2F2E">
        <w:t xml:space="preserve"> </w:t>
      </w:r>
      <w:r w:rsidRPr="000F7E56">
        <w:rPr>
          <w:i/>
          <w:color w:val="000000" w:themeColor="text1"/>
        </w:rPr>
        <w:t xml:space="preserve">As soon as we understood that this was my dad’s last time we had, we basically got everything in place before he passed away. Because with Muslim funerals they are so fast, but we did our own research we found out that if our GP wasn't around to sign off his death certificate that a Macmillan nurse could do that or somebody from Macmillan could do that. But that wasn't made clear to us, we had to find out, we had to say to the doctors, ‘Right what happens?’ </w:t>
      </w:r>
      <w:r w:rsidRPr="000F7E56">
        <w:rPr>
          <w:color w:val="000000" w:themeColor="text1"/>
        </w:rPr>
        <w:t>(Mr Bashir’s daughter).</w:t>
      </w:r>
    </w:p>
    <w:p w14:paraId="1DC8410D" w14:textId="77777777" w:rsidR="000F7E56" w:rsidRPr="000F7E56" w:rsidRDefault="000F7E56" w:rsidP="000F7E56">
      <w:pPr>
        <w:spacing w:after="120" w:line="360" w:lineRule="auto"/>
        <w:ind w:right="397"/>
        <w:rPr>
          <w:iCs/>
          <w:color w:val="000000" w:themeColor="text1"/>
        </w:rPr>
      </w:pPr>
      <w:r w:rsidRPr="000F7E56">
        <w:rPr>
          <w:iCs/>
          <w:color w:val="000000" w:themeColor="text1"/>
        </w:rPr>
        <w:t xml:space="preserve">Participants described the need to remain vigilant, especially during their relative’s hospital admissions, to ensure care did not transgress cultural and religious practice, and the need to be proactive in ensuring that these could be observed as far as possible. </w:t>
      </w:r>
    </w:p>
    <w:p w14:paraId="26744633" w14:textId="77777777" w:rsidR="000F7E56" w:rsidRPr="000F7E56" w:rsidRDefault="000F7E56" w:rsidP="000F7E56">
      <w:pPr>
        <w:keepNext/>
        <w:keepLines/>
        <w:spacing w:after="120" w:line="360" w:lineRule="auto"/>
        <w:outlineLvl w:val="0"/>
        <w:rPr>
          <w:rFonts w:asciiTheme="majorHAnsi" w:eastAsiaTheme="majorEastAsia" w:hAnsiTheme="majorHAnsi" w:cstheme="majorBidi"/>
          <w:color w:val="2F5496" w:themeColor="accent1" w:themeShade="BF"/>
          <w:sz w:val="24"/>
          <w:szCs w:val="24"/>
        </w:rPr>
      </w:pPr>
      <w:bookmarkStart w:id="328" w:name="_Toc80775558"/>
      <w:bookmarkStart w:id="329" w:name="_Toc89764002"/>
      <w:bookmarkStart w:id="330" w:name="_Toc106697831"/>
      <w:r w:rsidRPr="000F7E56">
        <w:rPr>
          <w:rFonts w:asciiTheme="majorHAnsi" w:eastAsiaTheme="majorEastAsia" w:hAnsiTheme="majorHAnsi" w:cstheme="majorBidi"/>
          <w:color w:val="2F5496" w:themeColor="accent1" w:themeShade="BF"/>
          <w:sz w:val="24"/>
          <w:szCs w:val="24"/>
        </w:rPr>
        <w:t>Interaction with professionals and services</w:t>
      </w:r>
      <w:bookmarkEnd w:id="328"/>
      <w:bookmarkEnd w:id="329"/>
      <w:bookmarkEnd w:id="330"/>
      <w:r w:rsidRPr="000F7E56">
        <w:rPr>
          <w:rFonts w:asciiTheme="majorHAnsi" w:eastAsiaTheme="majorEastAsia" w:hAnsiTheme="majorHAnsi" w:cstheme="majorBidi"/>
          <w:color w:val="2F5496" w:themeColor="accent1" w:themeShade="BF"/>
          <w:sz w:val="24"/>
          <w:szCs w:val="24"/>
        </w:rPr>
        <w:t xml:space="preserve"> </w:t>
      </w:r>
    </w:p>
    <w:p w14:paraId="55B5C806" w14:textId="77777777" w:rsidR="000F7E56" w:rsidRPr="000F7E56" w:rsidRDefault="000F7E56" w:rsidP="000F7E56">
      <w:pPr>
        <w:spacing w:after="120" w:line="360" w:lineRule="auto"/>
      </w:pPr>
      <w:r w:rsidRPr="000F7E56">
        <w:t xml:space="preserve">Participants’ accounts revealed a very wide range of experience of contact with health professionals and services.  This was shaped by the nature and duration of the patient’s illness as well as the organisation of services. It was also determined by wider experience of illness and care received by family members in the past. Patients and families varied greatly in their understanding and the ease with which they navigated a complex system of health care and succeeded in establishing good and enduring relationships with HCPs.  Older patients often relied on adult children as translators and systems navigators, some of whom were clearly very skilled advocates for their parents. Where this was not the case, it could be hard to ascertain whether patients had a clear understanding and awareness of the content of medical consultations. </w:t>
      </w:r>
    </w:p>
    <w:p w14:paraId="39C7828B" w14:textId="77777777" w:rsidR="000F7E56" w:rsidRPr="000F7E56" w:rsidRDefault="000F7E56" w:rsidP="000F7E56">
      <w:pPr>
        <w:spacing w:after="120" w:line="360" w:lineRule="auto"/>
      </w:pPr>
      <w:r w:rsidRPr="000F7E56">
        <w:t xml:space="preserve">Most patients and family members expressed overall satisfaction with treatment, and some were extremely positive, notwithstanding specific instances of dissatisfaction and bad experiences. A few were deeply critical. Some families adopted a general attitude of trust in professional expertise, while others were more critical and questioning. Inadequate or confusing information was a common source of complaint, especially when participants felt that they had not been adequately informed or had received conflicting information from different staff or services. Frustration about what was perceived to be professional evasion or inability to give clear and definite information about the patient’s illness progression has been described above. However, some participants described distressing experiences when precise prognoses had been given but subsequently proved to be inaccurate and misleading.  </w:t>
      </w:r>
    </w:p>
    <w:p w14:paraId="35E7EBB5" w14:textId="2D180C33" w:rsidR="000F7E56" w:rsidRPr="000F7E56" w:rsidRDefault="000F7E56" w:rsidP="000F7E56">
      <w:pPr>
        <w:spacing w:after="120" w:line="360" w:lineRule="auto"/>
      </w:pPr>
      <w:r w:rsidRPr="000F7E56">
        <w:lastRenderedPageBreak/>
        <w:t>In addition to this, patients and FCGs were critical of the bureaucratic appropriation of their time</w:t>
      </w:r>
      <w:r w:rsidR="0040316A">
        <w:t xml:space="preserve">, </w:t>
      </w:r>
      <w:r w:rsidRPr="000F7E56">
        <w:t>especially when they knew this was precious and short. Relatives were involved in the extensive work of supporting the patient. They accompanied their relatives to appointments</w:t>
      </w:r>
      <w:r w:rsidR="0040316A">
        <w:t>,</w:t>
      </w:r>
      <w:r w:rsidRPr="000F7E56">
        <w:t xml:space="preserve"> often a long and arduous process, involving complex journeys and reliance on others to provide transport, perhaps with young children in tow. This might be followed by a long wait to see a clinician or undergo tests, learning the results of which might necessitate another visit. This was especially frustrating when such visits seemed to serve no obvious or productive purpose and the family felt they learned nothing valuable as a result. Meanwhile, participants had to juggle medical appointments with many other work and family commitments. </w:t>
      </w:r>
    </w:p>
    <w:p w14:paraId="1D4A5719" w14:textId="77777777" w:rsidR="000F7E56" w:rsidRPr="000F7E56" w:rsidRDefault="000F7E56" w:rsidP="000F7E56">
      <w:pPr>
        <w:spacing w:after="120" w:line="360" w:lineRule="auto"/>
        <w:ind w:left="720"/>
        <w:rPr>
          <w:i/>
        </w:rPr>
      </w:pPr>
      <w:r w:rsidRPr="000F7E56">
        <w:rPr>
          <w:i/>
        </w:rPr>
        <w:t xml:space="preserve">So I have to take her [patient], or my husband if he is off on his four days off.... I am a little bit struggling when you talk about appointments because if the NHS has decided that there is no further treatment for mum yet they still keep giving her appointments and drag her out of the home without any reason, because they are not treating her they just want to know how she is getting on. But I haven't got time to waste like that neither has mum because she just feels very strongly, ‘Why don't they want to treat me? </w:t>
      </w:r>
      <w:r w:rsidRPr="000F7E56">
        <w:t>(Mrs Chadha’s daughter, 2nd interview).</w:t>
      </w:r>
    </w:p>
    <w:p w14:paraId="47FC137A" w14:textId="77777777" w:rsidR="000F7E56" w:rsidRPr="000F7E56" w:rsidRDefault="000F7E56" w:rsidP="000F7E56">
      <w:pPr>
        <w:spacing w:after="120" w:line="360" w:lineRule="auto"/>
        <w:rPr>
          <w:b/>
          <w:bCs/>
        </w:rPr>
      </w:pPr>
      <w:r w:rsidRPr="000F7E56">
        <w:t>A strong theme running through the data was participants’ frustration over not ‘being known’ within the system, of interacting with a large number of different individuals and services, and constantly having to tell and retell their story to individuals who displayed no knowledge of the case and were likely never to be seen again</w:t>
      </w:r>
      <w:r w:rsidRPr="000F7E56">
        <w:rPr>
          <w:b/>
          <w:bCs/>
        </w:rPr>
        <w:t xml:space="preserve">.  </w:t>
      </w:r>
    </w:p>
    <w:p w14:paraId="2C840E68" w14:textId="77777777" w:rsidR="000F7E56" w:rsidRPr="000F7E56" w:rsidRDefault="000F7E56" w:rsidP="000F7E56">
      <w:pPr>
        <w:spacing w:after="120" w:line="360" w:lineRule="auto"/>
        <w:ind w:left="720" w:right="397"/>
        <w:rPr>
          <w:i/>
        </w:rPr>
      </w:pPr>
      <w:r w:rsidRPr="000F7E56">
        <w:rPr>
          <w:i/>
        </w:rPr>
        <w:t xml:space="preserve">I think they need to get their act together, look at the notes and see where best to move forward. And have that information before I come to the appointment... Not saying, ‘Oh, I don't know, I don't know I don't know.’ You know, what I find is they are looking at the notes when I arrive there and they haven't really got much information...they really need to look at the notes find the information have a meeting how we can progress forward. You know, have a small group of people that know about me and know about your circumstances, know about what treatment we can give you and what the outcome could be, with all the side effects so that we can make a decision. </w:t>
      </w:r>
      <w:r w:rsidRPr="000F7E56">
        <w:t xml:space="preserve">(Mr </w:t>
      </w:r>
      <w:proofErr w:type="spellStart"/>
      <w:r w:rsidRPr="000F7E56">
        <w:t>Cobbina</w:t>
      </w:r>
      <w:proofErr w:type="spellEnd"/>
      <w:r w:rsidRPr="000F7E56">
        <w:t>, 2nd interview).</w:t>
      </w:r>
    </w:p>
    <w:p w14:paraId="61297283" w14:textId="77777777" w:rsidR="000F7E56" w:rsidRPr="000F7E56" w:rsidRDefault="000F7E56" w:rsidP="000F7E56">
      <w:pPr>
        <w:spacing w:after="120" w:line="360" w:lineRule="auto"/>
        <w:ind w:left="720"/>
        <w:contextualSpacing/>
        <w:rPr>
          <w:i/>
        </w:rPr>
      </w:pPr>
      <w:r w:rsidRPr="000F7E56">
        <w:rPr>
          <w:i/>
        </w:rPr>
        <w:t>The biggest stress for me is having to repeat myself over and over again with Mum’s medical condition. But whether she is 999 going to A&amp;E, whether she is going to the doctors, whether she is going to the consultant they should have mum’s record.  NHS should keep a record on the system: why am I repeating myself everywhere? …I am saying those words over and over again to so many NHS staff and it hurts as a family to repeat that because it’s just reminding me that she is going. It’s not nice…. I struggle to do that more than looking after mum to be honest...that's really annoying for me.</w:t>
      </w:r>
      <w:r w:rsidRPr="000F7E56">
        <w:t xml:space="preserve"> (Mrs Chadha’s daughter, 2nd interview).</w:t>
      </w:r>
    </w:p>
    <w:p w14:paraId="0E1AF76A" w14:textId="77777777" w:rsidR="000F7E56" w:rsidRPr="000F7E56" w:rsidRDefault="000F7E56" w:rsidP="000F7E56">
      <w:pPr>
        <w:spacing w:after="120" w:line="360" w:lineRule="auto"/>
        <w:ind w:left="360"/>
        <w:contextualSpacing/>
        <w:rPr>
          <w:i/>
        </w:rPr>
      </w:pPr>
    </w:p>
    <w:p w14:paraId="3B925F98" w14:textId="77777777" w:rsidR="000F7E56" w:rsidRPr="000F7E56" w:rsidRDefault="000F7E56" w:rsidP="000F7E56">
      <w:pPr>
        <w:spacing w:after="120" w:line="360" w:lineRule="auto"/>
        <w:contextualSpacing/>
      </w:pPr>
      <w:r w:rsidRPr="000F7E56">
        <w:t xml:space="preserve">Another source of dissatisfaction was the experience of poorly integrated care. Some participants expressed a sense of falling through the cracks between services which were not joined up or well- coordinated. This was a particular problem for cancer patients following discharge from active treatment. They felt a sense of being left in limbo after contact with HCPs came to an end, unless they had needs, such as control of pain, which occasioned referral to palliative care. However, several HCPs reported that even after referral patients were not always accepted by the service. </w:t>
      </w:r>
    </w:p>
    <w:p w14:paraId="796A2BFF" w14:textId="77777777" w:rsidR="000F7E56" w:rsidRPr="000F7E56" w:rsidRDefault="000F7E56" w:rsidP="000F7E56">
      <w:pPr>
        <w:spacing w:after="120" w:line="360" w:lineRule="auto"/>
        <w:ind w:left="720"/>
      </w:pPr>
      <w:r w:rsidRPr="000F7E56">
        <w:rPr>
          <w:i/>
        </w:rPr>
        <w:t xml:space="preserve">So, we were trying to contact the specialist nurse who, when you see them the first time at the cancer unit, they say to you, ‘This is your nurse’s number. Ring her any time and she will get back to you.’ Well, no they don't get back to you...and you are trying to find answers you are trying to say, ‘Is this end-of-life...should we call family? We don't know what is happening.’ To get an answer from anybody was absolutely mind-numbingly not possible. </w:t>
      </w:r>
      <w:bookmarkStart w:id="331" w:name="_Hlk84244494"/>
      <w:r w:rsidRPr="000F7E56">
        <w:t>(Mr Bashir’s daughter).</w:t>
      </w:r>
    </w:p>
    <w:bookmarkEnd w:id="331"/>
    <w:p w14:paraId="7926D769" w14:textId="77777777" w:rsidR="000F7E56" w:rsidRPr="000F7E56" w:rsidRDefault="000F7E56" w:rsidP="000F7E56">
      <w:pPr>
        <w:spacing w:after="120" w:line="360" w:lineRule="auto"/>
        <w:ind w:left="720"/>
        <w:rPr>
          <w:i/>
          <w:color w:val="000000" w:themeColor="text1"/>
        </w:rPr>
      </w:pPr>
      <w:r w:rsidRPr="000F7E56">
        <w:rPr>
          <w:i/>
          <w:color w:val="000000" w:themeColor="text1"/>
        </w:rPr>
        <w:t>The challenges from when a patient gets treated in hospital to when they die there seems to be a gap in-between where there is no cancer treatment available. I think they sometimes feel like they don't know where to go to. There is nobody that sees them in-between...When we try to refer to palliative nursing in the community they won’t just go and see them. Even though they could be two weeks away from passing away... I find that difficult because they don't have pain or they don't have the typical palliative care needs…</w:t>
      </w:r>
      <w:r w:rsidRPr="000F7E56">
        <w:rPr>
          <w:i/>
        </w:rPr>
        <w:t>and I feel like they are missing out on the really good palliative care end.</w:t>
      </w:r>
      <w:r w:rsidRPr="000F7E56">
        <w:rPr>
          <w:i/>
          <w:color w:val="000000" w:themeColor="text1"/>
        </w:rPr>
        <w:t xml:space="preserve"> </w:t>
      </w:r>
      <w:r w:rsidRPr="000F7E56">
        <w:rPr>
          <w:color w:val="000000" w:themeColor="text1"/>
        </w:rPr>
        <w:t xml:space="preserve">(Mr </w:t>
      </w:r>
      <w:proofErr w:type="spellStart"/>
      <w:r w:rsidRPr="000F7E56">
        <w:rPr>
          <w:color w:val="000000" w:themeColor="text1"/>
        </w:rPr>
        <w:t>Chaganti’s</w:t>
      </w:r>
      <w:proofErr w:type="spellEnd"/>
      <w:r w:rsidRPr="000F7E56">
        <w:rPr>
          <w:color w:val="000000" w:themeColor="text1"/>
        </w:rPr>
        <w:t xml:space="preserve"> HCP).</w:t>
      </w:r>
    </w:p>
    <w:p w14:paraId="6222C80F" w14:textId="4A142AD5" w:rsidR="000F7E56" w:rsidRPr="000F7E56" w:rsidRDefault="000F7E56" w:rsidP="000F7E56">
      <w:pPr>
        <w:spacing w:after="120" w:line="360" w:lineRule="auto"/>
        <w:rPr>
          <w:i/>
          <w:color w:val="000000" w:themeColor="text1"/>
        </w:rPr>
      </w:pPr>
      <w:r w:rsidRPr="000F7E56">
        <w:rPr>
          <w:iCs/>
          <w:color w:val="000000" w:themeColor="text1"/>
        </w:rPr>
        <w:t>Participants described a lack of information about services that were available</w:t>
      </w:r>
      <w:r w:rsidR="001D76CB">
        <w:rPr>
          <w:iCs/>
          <w:color w:val="000000" w:themeColor="text1"/>
        </w:rPr>
        <w:t xml:space="preserve"> to them</w:t>
      </w:r>
      <w:r w:rsidRPr="000F7E56">
        <w:rPr>
          <w:iCs/>
          <w:color w:val="000000" w:themeColor="text1"/>
        </w:rPr>
        <w:t xml:space="preserve">. </w:t>
      </w:r>
      <w:r w:rsidRPr="000F7E56">
        <w:t>Their ability to navigate the system was often dependent on chance encounters – outside as well as within the system – and also the learning acquired through prior experience.</w:t>
      </w:r>
    </w:p>
    <w:p w14:paraId="6B61DD75" w14:textId="77777777" w:rsidR="000F7E56" w:rsidRPr="000F7E56" w:rsidRDefault="000F7E56" w:rsidP="000F7E56">
      <w:pPr>
        <w:spacing w:after="120" w:line="360" w:lineRule="auto"/>
        <w:ind w:left="720" w:right="397"/>
        <w:contextualSpacing/>
        <w:rPr>
          <w:color w:val="000000" w:themeColor="text1"/>
        </w:rPr>
      </w:pPr>
      <w:r w:rsidRPr="000F7E56">
        <w:rPr>
          <w:i/>
          <w:color w:val="000000" w:themeColor="text1"/>
        </w:rPr>
        <w:t xml:space="preserve">Yes, no one ever mentioned that to me. I found that out by a complete chance that there is such a thing for paraplegic people, there is such a thing called NHS Complete Care. </w:t>
      </w:r>
      <w:r w:rsidRPr="000F7E56">
        <w:rPr>
          <w:color w:val="000000" w:themeColor="text1"/>
        </w:rPr>
        <w:t xml:space="preserve">(Mr </w:t>
      </w:r>
      <w:proofErr w:type="spellStart"/>
      <w:r w:rsidRPr="000F7E56">
        <w:rPr>
          <w:color w:val="000000" w:themeColor="text1"/>
        </w:rPr>
        <w:t>Chaganti</w:t>
      </w:r>
      <w:proofErr w:type="spellEnd"/>
      <w:r w:rsidRPr="000F7E56">
        <w:rPr>
          <w:color w:val="000000" w:themeColor="text1"/>
        </w:rPr>
        <w:t>, 2nd interview).</w:t>
      </w:r>
    </w:p>
    <w:p w14:paraId="2479D4EE" w14:textId="77777777" w:rsidR="000F7E56" w:rsidRPr="000F7E56" w:rsidRDefault="000F7E56" w:rsidP="000F7E56">
      <w:pPr>
        <w:spacing w:after="120" w:line="360" w:lineRule="auto"/>
        <w:ind w:left="720" w:right="397"/>
        <w:contextualSpacing/>
        <w:rPr>
          <w:color w:val="000000" w:themeColor="text1"/>
        </w:rPr>
      </w:pPr>
    </w:p>
    <w:p w14:paraId="70EA7903" w14:textId="6C532488" w:rsidR="000F7E56" w:rsidRDefault="000F7E56" w:rsidP="000F7E56">
      <w:pPr>
        <w:spacing w:after="120" w:line="360" w:lineRule="auto"/>
        <w:ind w:left="720" w:right="397"/>
        <w:contextualSpacing/>
        <w:rPr>
          <w:color w:val="000000" w:themeColor="text1"/>
        </w:rPr>
      </w:pPr>
      <w:r w:rsidRPr="000F7E56">
        <w:rPr>
          <w:i/>
          <w:color w:val="000000" w:themeColor="text1"/>
        </w:rPr>
        <w:t xml:space="preserve">Yes, because we didn't really think about grants and whatever, we didn't even really know anything, all we knew was that dad was unwell. So, mum has actually got quite a lot of the privileges, well not the privileges she is like … dad was first run at it so we were totally clueless on what sort of grants, what benefits, anything like that you could provide. We just thought dad is unwell we will look after him do what we can. And it turns out we lost out on a lot of things because they just don't tell you. </w:t>
      </w:r>
      <w:r w:rsidRPr="000F7E56">
        <w:rPr>
          <w:color w:val="000000" w:themeColor="text1"/>
        </w:rPr>
        <w:t>(Mrs Chawla’s daughter, 2nd interview).</w:t>
      </w:r>
    </w:p>
    <w:p w14:paraId="4CAD5A7C" w14:textId="77777777" w:rsidR="004F12BF" w:rsidRPr="000F7E56" w:rsidRDefault="004F12BF" w:rsidP="000F7E56">
      <w:pPr>
        <w:spacing w:after="120" w:line="360" w:lineRule="auto"/>
        <w:ind w:left="720" w:right="397"/>
        <w:contextualSpacing/>
        <w:rPr>
          <w:i/>
          <w:color w:val="000000" w:themeColor="text1"/>
        </w:rPr>
      </w:pPr>
    </w:p>
    <w:p w14:paraId="6E315E06" w14:textId="77777777" w:rsidR="000F7E56" w:rsidRPr="000F7E56" w:rsidRDefault="000F7E56" w:rsidP="000F7E56">
      <w:pPr>
        <w:spacing w:after="120" w:line="360" w:lineRule="auto"/>
        <w:ind w:right="397"/>
        <w:rPr>
          <w:iCs/>
          <w:color w:val="000000" w:themeColor="text1"/>
        </w:rPr>
      </w:pPr>
      <w:r w:rsidRPr="000F7E56">
        <w:rPr>
          <w:iCs/>
          <w:color w:val="000000" w:themeColor="text1"/>
        </w:rPr>
        <w:lastRenderedPageBreak/>
        <w:t>Alongside the struggle to get to grips with the intricacies of the system and find out about services and benefits that were available, participants described their need to exercise vigilance over the patient’s care. This was especially necessary in relation to religious and cultural requirements relating to ritual, diet and personal care. Concern about such matters was one reason why participants perceived hospital admission to be undesirable and even risky.</w:t>
      </w:r>
    </w:p>
    <w:p w14:paraId="76F108C8" w14:textId="77777777" w:rsidR="000F7E56" w:rsidRPr="000F7E56" w:rsidRDefault="000F7E56" w:rsidP="000F7E56">
      <w:pPr>
        <w:spacing w:after="120" w:line="360" w:lineRule="auto"/>
        <w:ind w:left="720" w:right="397"/>
        <w:rPr>
          <w:i/>
          <w:color w:val="000000" w:themeColor="text1"/>
        </w:rPr>
      </w:pPr>
      <w:r w:rsidRPr="000F7E56">
        <w:rPr>
          <w:i/>
          <w:color w:val="000000" w:themeColor="text1"/>
        </w:rPr>
        <w:t xml:space="preserve">And then this blood sugar thing that was difficult to get the, to the point where even the cook was not made aware that he had diabetes, she was giving him puddings. It was only when my daughter went and said, ‘You do realise my father has got diabetes?’ …It’s like there wasn't that awareness from the whole thing. I mean we had as a family to make them aware at the hospital. </w:t>
      </w:r>
      <w:r w:rsidRPr="000F7E56">
        <w:rPr>
          <w:color w:val="000000" w:themeColor="text1"/>
        </w:rPr>
        <w:t>(Mr Bharti’s wife)</w:t>
      </w:r>
    </w:p>
    <w:p w14:paraId="17EAE38F" w14:textId="77777777" w:rsidR="000F7E56" w:rsidRPr="000F7E56" w:rsidRDefault="000F7E56" w:rsidP="000F7E56">
      <w:pPr>
        <w:spacing w:after="120" w:line="360" w:lineRule="auto"/>
        <w:ind w:left="720" w:right="397"/>
        <w:rPr>
          <w:i/>
          <w:color w:val="000000" w:themeColor="text1"/>
        </w:rPr>
      </w:pPr>
      <w:r w:rsidRPr="000F7E56">
        <w:rPr>
          <w:i/>
          <w:color w:val="000000" w:themeColor="text1"/>
        </w:rPr>
        <w:t xml:space="preserve">Generally she [patient] shies away from men and would prefer females to be responsible for her care. I think when we went onto the ward it was quite a traumatic experience for her there because we weren't allowed to choose... [who] was able to change her. We didn't know what our rights were and she felt her modesty was encroached and we weren't able to do anything about it. </w:t>
      </w:r>
      <w:r w:rsidRPr="000F7E56">
        <w:rPr>
          <w:color w:val="000000" w:themeColor="text1"/>
        </w:rPr>
        <w:t xml:space="preserve">(Mrs </w:t>
      </w:r>
      <w:proofErr w:type="spellStart"/>
      <w:r w:rsidRPr="000F7E56">
        <w:rPr>
          <w:color w:val="000000" w:themeColor="text1"/>
        </w:rPr>
        <w:t>Chandyo’s</w:t>
      </w:r>
      <w:proofErr w:type="spellEnd"/>
      <w:r w:rsidRPr="000F7E56">
        <w:rPr>
          <w:color w:val="000000" w:themeColor="text1"/>
        </w:rPr>
        <w:t xml:space="preserve"> daughter, 1st interview).</w:t>
      </w:r>
      <w:r w:rsidRPr="000F7E56">
        <w:rPr>
          <w:i/>
          <w:color w:val="000000" w:themeColor="text1"/>
        </w:rPr>
        <w:t xml:space="preserve"> </w:t>
      </w:r>
    </w:p>
    <w:p w14:paraId="2928A504" w14:textId="77777777" w:rsidR="000F7E56" w:rsidRPr="000F7E56" w:rsidRDefault="000F7E56" w:rsidP="000F7E56">
      <w:pPr>
        <w:spacing w:after="120" w:line="360" w:lineRule="auto"/>
      </w:pPr>
      <w:r w:rsidRPr="000F7E56">
        <w:t xml:space="preserve">The value of a key worker to help families navigate the system and think forward to future developments and decisions was considerable – but the availability of these was very variable and seemed largely determined by the nature of the illness. As indicated above, continuity of care and specialist nurse support was well established in MND and haemophilia and some other areas, but notably not in cancer, where patients were usually seen by a variety of different services and personnel which lacked effective inter-agency coordination or communication. </w:t>
      </w:r>
    </w:p>
    <w:p w14:paraId="174F498C" w14:textId="77777777" w:rsidR="000F7E56" w:rsidRPr="000F7E56" w:rsidRDefault="000F7E56" w:rsidP="000F7E56">
      <w:pPr>
        <w:spacing w:after="120" w:line="360" w:lineRule="auto"/>
        <w:ind w:left="720"/>
        <w:contextualSpacing/>
        <w:rPr>
          <w:i/>
        </w:rPr>
      </w:pPr>
      <w:bookmarkStart w:id="332" w:name="_Hlk84258002"/>
      <w:r w:rsidRPr="000F7E56">
        <w:rPr>
          <w:i/>
        </w:rPr>
        <w:t xml:space="preserve">We help them find their way round the system sometimes because sometimes it’s easier for carers to ring in to us rather than think who they need to see. Because there can be at least ten health care professionals involved with somebody with MND so it’s a very complicated system if you don't know it, if you can't navigate round. So, we help them a lot with that. </w:t>
      </w:r>
      <w:r w:rsidRPr="000F7E56">
        <w:t>(Mr Chakraborty’s HCP).</w:t>
      </w:r>
    </w:p>
    <w:p w14:paraId="57C53116" w14:textId="6DEC710C" w:rsidR="000F7E56" w:rsidRPr="000F7E56" w:rsidRDefault="000F7E56" w:rsidP="000F7E56">
      <w:pPr>
        <w:spacing w:after="120" w:line="360" w:lineRule="auto"/>
        <w:ind w:right="397"/>
        <w:rPr>
          <w:iCs/>
        </w:rPr>
      </w:pPr>
      <w:r w:rsidRPr="000F7E56">
        <w:rPr>
          <w:iCs/>
        </w:rPr>
        <w:t>HCPs varied in their awareness of the difficulties patients and FCGs experienced in navigating health care and finding out about support which was available. However, they rarely if ever</w:t>
      </w:r>
      <w:r w:rsidR="001D76CB">
        <w:rPr>
          <w:iCs/>
        </w:rPr>
        <w:t>,</w:t>
      </w:r>
      <w:r w:rsidRPr="000F7E56">
        <w:rPr>
          <w:iCs/>
        </w:rPr>
        <w:t xml:space="preserve"> spontaneously commented on ethnic or cultural diversity as a relevant factor influencing their practice or the patient’s experience of care. Even when this was raised as a topic for discussion in the interview, few professional participants acknowledged this as a significant factor in the delivery or experience of care in comparison to patients from a White British background. </w:t>
      </w:r>
    </w:p>
    <w:bookmarkEnd w:id="332"/>
    <w:p w14:paraId="42F8FFCB" w14:textId="77777777" w:rsidR="000F7E56" w:rsidRPr="000F7E56" w:rsidRDefault="000F7E56" w:rsidP="000F7E56">
      <w:pPr>
        <w:spacing w:after="120" w:line="360" w:lineRule="auto"/>
        <w:ind w:left="720"/>
        <w:contextualSpacing/>
      </w:pPr>
      <w:r w:rsidRPr="000F7E56">
        <w:rPr>
          <w:i/>
        </w:rPr>
        <w:lastRenderedPageBreak/>
        <w:t xml:space="preserve"> I don’t really make any distinction between patients of different communities.  I am sorry, I can’t really tell you from one community over another…. Yes, I can’t give you any specifics about BAME. </w:t>
      </w:r>
      <w:r w:rsidRPr="000F7E56">
        <w:t>(Mrs Campbell’s HCP).</w:t>
      </w:r>
    </w:p>
    <w:p w14:paraId="6579F0AD" w14:textId="77777777" w:rsidR="000F7E56" w:rsidRPr="000F7E56" w:rsidRDefault="000F7E56" w:rsidP="000F7E56">
      <w:pPr>
        <w:spacing w:after="120" w:line="360" w:lineRule="auto"/>
        <w:ind w:left="720"/>
        <w:rPr>
          <w:i/>
        </w:rPr>
      </w:pPr>
      <w:r w:rsidRPr="000F7E56">
        <w:rPr>
          <w:i/>
        </w:rPr>
        <w:t xml:space="preserve">Generally, I have found it harder to talk about advance care planning… I have found over the years that people of an Asian background or minority background are less inclined to want it in place. </w:t>
      </w:r>
      <w:r w:rsidRPr="000F7E56">
        <w:t>(Mr Chahine’s HCP).</w:t>
      </w:r>
    </w:p>
    <w:p w14:paraId="12130633" w14:textId="77777777" w:rsidR="000F7E56" w:rsidRPr="000F7E56" w:rsidRDefault="000F7E56" w:rsidP="000F7E56">
      <w:pPr>
        <w:spacing w:after="120" w:line="360" w:lineRule="auto"/>
        <w:contextualSpacing/>
        <w:rPr>
          <w:iCs/>
        </w:rPr>
      </w:pPr>
      <w:r w:rsidRPr="000F7E56">
        <w:rPr>
          <w:iCs/>
        </w:rPr>
        <w:t xml:space="preserve">Several patients and FCGs did express concerns, or at least suspicion, that ethnicity had been a negative factor affecting the treatment they received. However, complaints more often concerned dissatisfaction with what was perceived to be poor treatment, poor communication or medical incompetence which were not explicitly linked to the patient’s ethnicity.  </w:t>
      </w:r>
    </w:p>
    <w:p w14:paraId="7EE194D6" w14:textId="77777777" w:rsidR="000F7E56" w:rsidRPr="000F7E56" w:rsidRDefault="000F7E56" w:rsidP="000F7E56">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spacing w:after="120" w:line="360" w:lineRule="auto"/>
        <w:ind w:left="720"/>
        <w:rPr>
          <w:rFonts w:cstheme="minorHAnsi"/>
          <w:i/>
          <w:color w:val="00000A"/>
        </w:rPr>
      </w:pPr>
      <w:r w:rsidRPr="000F7E56">
        <w:rPr>
          <w:rFonts w:cstheme="minorHAnsi"/>
          <w:i/>
          <w:color w:val="00000A"/>
        </w:rPr>
        <w:t>And it was a minefield to find out who’s responsible for what.... Luckily, I was able to pin down the doctor and say, ‘Now, if he is a, if it’s a pre-existing condition like the blood pressure, low blood pressure, or the diabetes or whatever it is, who is responsible?’  Then they told me this bit is the hospital’s responsibility this bit is the … responsibility of the doctors. I had to almost make a case to fight to make sure they knew that, they were not always communicating with one another that was very difficult. Because the hospitals were not communicating with the doctors on the ongoing things....</w:t>
      </w:r>
      <w:r w:rsidRPr="000F7E56">
        <w:rPr>
          <w:rFonts w:cstheme="minorHAnsi"/>
          <w:color w:val="00000A"/>
        </w:rPr>
        <w:t xml:space="preserve"> (Mr Bharti’s wife).</w:t>
      </w:r>
    </w:p>
    <w:p w14:paraId="2F17CC6E" w14:textId="77777777" w:rsidR="000F7E56" w:rsidRPr="000F7E56" w:rsidRDefault="000F7E56" w:rsidP="000F7E56">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spacing w:after="120" w:line="360" w:lineRule="auto"/>
        <w:ind w:left="720"/>
        <w:rPr>
          <w:rFonts w:cstheme="minorHAnsi"/>
          <w:i/>
          <w:color w:val="00000A"/>
        </w:rPr>
      </w:pPr>
      <w:r w:rsidRPr="000F7E56">
        <w:rPr>
          <w:rFonts w:cstheme="minorHAnsi"/>
          <w:i/>
          <w:color w:val="00000A"/>
        </w:rPr>
        <w:t xml:space="preserve">So, the next morning I got there and the sight of him really disgusted me. He was in a pool of urine sleeping on the bed and he hadn't eaten anything.... He was so angry.......he was very, very upset and to see him like that because I have never ever known, because I used to give him shower every morning and he used to wear fresh clothes every day.  And I said,  ‘This is not on.’  I said, ‘I am going to take him right away’ So, I said, ‘No, I am not waiting for anybody.  I am just going to take him.’ The nurses came running.  I said, ‘No.  I am not taking, I am not going to accept this.’  I said, ‘This is, I am going to make a complaint and I am not going to let this go.’  ...I said, ‘He hasn't even had his breakfast. He is diabetic and he has not had his breakfast. It’s 10.30 now.’ </w:t>
      </w:r>
      <w:r w:rsidRPr="000F7E56">
        <w:rPr>
          <w:rFonts w:cstheme="minorHAnsi"/>
          <w:color w:val="00000A"/>
        </w:rPr>
        <w:t>(Mr Bagri’s wife).</w:t>
      </w:r>
    </w:p>
    <w:p w14:paraId="3F0A6703" w14:textId="77777777" w:rsidR="000F7E56" w:rsidRPr="000F7E56" w:rsidRDefault="000F7E56" w:rsidP="000F7E56">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spacing w:after="120" w:line="360" w:lineRule="auto"/>
        <w:rPr>
          <w:rFonts w:cstheme="minorHAnsi"/>
          <w:iCs/>
          <w:color w:val="00000A"/>
        </w:rPr>
      </w:pPr>
      <w:r w:rsidRPr="000F7E56">
        <w:rPr>
          <w:rFonts w:cstheme="minorHAnsi"/>
          <w:iCs/>
          <w:color w:val="00000A"/>
        </w:rPr>
        <w:t>These extracts illustrate the very proactive role of some relatives in acting as advocates for the patient. However, patients who lacked access to the social and cultural capital required to exercise such vigilance experienced greater difficulties in successfully navigating a complex system of care which they experienced as bureaucratic and confusing.</w:t>
      </w:r>
    </w:p>
    <w:p w14:paraId="0D1EA9C5" w14:textId="707534E8" w:rsidR="000F7E56" w:rsidRPr="000F7E56" w:rsidRDefault="000F7E56" w:rsidP="000F7E56">
      <w:pPr>
        <w:keepNext/>
        <w:keepLines/>
        <w:spacing w:after="120" w:line="360" w:lineRule="auto"/>
        <w:outlineLvl w:val="0"/>
        <w:rPr>
          <w:rFonts w:asciiTheme="majorHAnsi" w:eastAsiaTheme="majorEastAsia" w:hAnsiTheme="majorHAnsi" w:cstheme="majorBidi"/>
          <w:color w:val="2F5496" w:themeColor="accent1" w:themeShade="BF"/>
          <w:sz w:val="24"/>
          <w:szCs w:val="24"/>
        </w:rPr>
      </w:pPr>
      <w:bookmarkStart w:id="333" w:name="_Toc89764003"/>
      <w:bookmarkStart w:id="334" w:name="_Toc106697832"/>
      <w:r w:rsidRPr="000F7E56">
        <w:rPr>
          <w:rFonts w:asciiTheme="majorHAnsi" w:eastAsiaTheme="majorEastAsia" w:hAnsiTheme="majorHAnsi" w:cstheme="majorBidi"/>
          <w:color w:val="2F5496" w:themeColor="accent1" w:themeShade="BF"/>
          <w:sz w:val="24"/>
          <w:szCs w:val="24"/>
        </w:rPr>
        <w:t>Reflexivity</w:t>
      </w:r>
      <w:bookmarkEnd w:id="333"/>
      <w:bookmarkEnd w:id="334"/>
    </w:p>
    <w:p w14:paraId="6C63AF93" w14:textId="0A09FD7F" w:rsidR="000F7E56" w:rsidRPr="000F7E56" w:rsidRDefault="000F7E56" w:rsidP="000F7E56">
      <w:pPr>
        <w:spacing w:after="120" w:line="360" w:lineRule="auto"/>
      </w:pPr>
      <w:r w:rsidRPr="000F7E56">
        <w:t xml:space="preserve">During case study interviews most participants were asked if the experience of taking part in the research had influenced them in any way. In three cases participants explicitly said that they had been prompted to reflect and to think a little more about what the future might entail (this included the idea of thinking </w:t>
      </w:r>
      <w:r w:rsidRPr="000F7E56">
        <w:lastRenderedPageBreak/>
        <w:t xml:space="preserve">ahead about end-of-life). In five cases people described some therapeutic benefits of taking part in the research, including having a chance to air their feelings about their experiences to date. These included feelings of being quite isolated as a patient or carer or about the burden of caring generally. Others felt they had benefited from a chance to vent frustrations at their situation and sometimes with services. In a couple of cases participants’ reflections had led them to </w:t>
      </w:r>
      <w:r w:rsidR="001D76CB">
        <w:t>considering</w:t>
      </w:r>
      <w:r w:rsidRPr="000F7E56">
        <w:t xml:space="preserve"> further practical help they might go on to seek. At least two HCPs expressed possible changes in their practice, in particular related to knowing more about their patients and their potentially diverse needs. One HCP indicated that they had further reflected upon opportunities that might arise to introduce the idea of thinking ahead to patients, with reference to interactions with a former patient. Another reflected further on an instance where an opportunity had arisen and was taken up by the HCP, a plan loosely agreed, but then this was subsequently over-ridden by family members. </w:t>
      </w:r>
      <w:bookmarkStart w:id="335" w:name="_Toc80775598"/>
    </w:p>
    <w:p w14:paraId="47537F68" w14:textId="77777777" w:rsidR="000F7E56" w:rsidRPr="000F7E56" w:rsidRDefault="000F7E56" w:rsidP="000F7E56">
      <w:pPr>
        <w:keepNext/>
        <w:keepLines/>
        <w:spacing w:before="40" w:after="0" w:line="360" w:lineRule="auto"/>
        <w:outlineLvl w:val="1"/>
        <w:rPr>
          <w:rFonts w:asciiTheme="majorHAnsi" w:eastAsiaTheme="majorEastAsia" w:hAnsiTheme="majorHAnsi" w:cstheme="majorBidi"/>
          <w:color w:val="2F5496" w:themeColor="accent1" w:themeShade="BF"/>
          <w:sz w:val="24"/>
          <w:szCs w:val="24"/>
        </w:rPr>
      </w:pPr>
      <w:bookmarkStart w:id="336" w:name="_Toc89764004"/>
      <w:bookmarkStart w:id="337" w:name="_Toc106697833"/>
      <w:bookmarkEnd w:id="335"/>
      <w:r w:rsidRPr="000F7E56">
        <w:rPr>
          <w:rFonts w:asciiTheme="majorHAnsi" w:eastAsiaTheme="majorEastAsia" w:hAnsiTheme="majorHAnsi" w:cstheme="majorBidi"/>
          <w:color w:val="2F5496" w:themeColor="accent1" w:themeShade="BF"/>
          <w:sz w:val="24"/>
          <w:szCs w:val="24"/>
        </w:rPr>
        <w:t>Conclusion</w:t>
      </w:r>
      <w:bookmarkEnd w:id="336"/>
      <w:bookmarkEnd w:id="337"/>
    </w:p>
    <w:p w14:paraId="694B8CEC" w14:textId="1DDC0817" w:rsidR="000F7E56" w:rsidRPr="000F7E56" w:rsidRDefault="000F7E56" w:rsidP="000F7E56">
      <w:pPr>
        <w:spacing w:after="120" w:line="360" w:lineRule="auto"/>
      </w:pPr>
      <w:r w:rsidRPr="000F7E56">
        <w:t xml:space="preserve">This chapter has reported the key findings from this qualitative, exploratory study of the lived experiences of patients and their families. The patients and FCGs who took part in the research represent a wide range of ED groups and the inclusion of nominated HCPs in the case studies has enabled a triangulation of different stakeholder perspectives. The cultural and illness diversity of participants was paralleled by a very wide range of reported views and experiences of end-of-life care. Most participants were broadly satisfied with the care they had received, notwithstanding some negative experiences. A few were extremely critical. Reported shortcomings most often focused on poor communication, lack of information and uncoordinated care which have been widely reported elsewhere. A few participants felt that they had experienced discrimination or experienced </w:t>
      </w:r>
      <w:r w:rsidR="001D76CB">
        <w:t>poorer quality care</w:t>
      </w:r>
      <w:r w:rsidRPr="000F7E56">
        <w:t xml:space="preserve"> because of their ethnicity, but this was not a strong theme throughout the data.  </w:t>
      </w:r>
      <w:r w:rsidR="00313C63" w:rsidRPr="00313C63">
        <w:t xml:space="preserve">The findings will be further discussed in </w:t>
      </w:r>
      <w:r w:rsidR="00313C63">
        <w:t>Ch</w:t>
      </w:r>
      <w:r w:rsidR="00313C63" w:rsidRPr="00313C63">
        <w:t>apter 7 and integrated with those of the following chapter related to WS3</w:t>
      </w:r>
      <w:r w:rsidR="00313C63">
        <w:t>.</w:t>
      </w:r>
    </w:p>
    <w:bookmarkEnd w:id="283"/>
    <w:p w14:paraId="126A3944" w14:textId="77777777" w:rsidR="000F7E56" w:rsidRPr="000F7E56" w:rsidRDefault="000F7E56" w:rsidP="000F7E56">
      <w:pPr>
        <w:spacing w:after="120" w:line="360" w:lineRule="auto"/>
      </w:pPr>
    </w:p>
    <w:p w14:paraId="10239F07" w14:textId="77777777" w:rsidR="000F7E56" w:rsidRPr="000F7E56" w:rsidRDefault="000F7E56" w:rsidP="000F7E56">
      <w:pPr>
        <w:spacing w:after="120" w:line="360" w:lineRule="auto"/>
        <w:contextualSpacing/>
      </w:pPr>
    </w:p>
    <w:p w14:paraId="4198814C" w14:textId="77777777" w:rsidR="000F7E56" w:rsidRPr="000F7E56" w:rsidRDefault="000F7E56" w:rsidP="000F7E56">
      <w:pPr>
        <w:spacing w:after="120" w:line="360" w:lineRule="auto"/>
        <w:contextualSpacing/>
      </w:pPr>
    </w:p>
    <w:p w14:paraId="12A50B77" w14:textId="77777777" w:rsidR="000F7E56" w:rsidRPr="000F7E56" w:rsidRDefault="000F7E56" w:rsidP="000F7E56">
      <w:pPr>
        <w:spacing w:after="120" w:line="360" w:lineRule="auto"/>
      </w:pPr>
    </w:p>
    <w:p w14:paraId="60B59950" w14:textId="77777777" w:rsidR="000F7E56" w:rsidRPr="000F7E56" w:rsidRDefault="000F7E56" w:rsidP="000F7E56">
      <w:pPr>
        <w:spacing w:after="120" w:line="360" w:lineRule="auto"/>
        <w:ind w:left="720"/>
        <w:sectPr w:rsidR="000F7E56" w:rsidRPr="000F7E56" w:rsidSect="000F7E56">
          <w:pgSz w:w="11906" w:h="16838"/>
          <w:pgMar w:top="1440" w:right="1134" w:bottom="1440" w:left="1134" w:header="709" w:footer="709" w:gutter="0"/>
          <w:cols w:space="708"/>
          <w:docGrid w:linePitch="360"/>
        </w:sectPr>
      </w:pPr>
      <w:r w:rsidRPr="000F7E56">
        <w:fldChar w:fldCharType="begin"/>
      </w:r>
      <w:r w:rsidRPr="000F7E56">
        <w:instrText xml:space="preserve"> ADDIN EN.REFLIST </w:instrText>
      </w:r>
      <w:r w:rsidRPr="000F7E56">
        <w:fldChar w:fldCharType="end"/>
      </w:r>
    </w:p>
    <w:p w14:paraId="31C77E09" w14:textId="77777777" w:rsidR="000F7E56" w:rsidRPr="000F7E56" w:rsidRDefault="000F7E56" w:rsidP="000F7E56">
      <w:pPr>
        <w:keepNext/>
        <w:keepLines/>
        <w:spacing w:before="240" w:after="120" w:line="240" w:lineRule="auto"/>
        <w:outlineLvl w:val="0"/>
        <w:rPr>
          <w:rFonts w:asciiTheme="majorHAnsi" w:eastAsia="Times New Roman" w:hAnsiTheme="majorHAnsi" w:cstheme="majorHAnsi"/>
          <w:color w:val="2E74B5"/>
          <w:sz w:val="56"/>
          <w:szCs w:val="56"/>
          <w:lang w:val="en-US"/>
        </w:rPr>
      </w:pPr>
      <w:bookmarkStart w:id="338" w:name="_Toc89665183"/>
      <w:bookmarkStart w:id="339" w:name="_Toc89671935"/>
      <w:bookmarkStart w:id="340" w:name="_Toc89764005"/>
      <w:bookmarkStart w:id="341" w:name="_Toc106697834"/>
      <w:r w:rsidRPr="000F7E56">
        <w:rPr>
          <w:rFonts w:asciiTheme="majorHAnsi" w:eastAsia="Times New Roman" w:hAnsiTheme="majorHAnsi" w:cstheme="majorHAnsi"/>
          <w:color w:val="2E74B5"/>
          <w:sz w:val="56"/>
          <w:szCs w:val="56"/>
          <w:lang w:val="en-US"/>
        </w:rPr>
        <w:lastRenderedPageBreak/>
        <w:t>Chapter 6: Work Stream 3: Findings</w:t>
      </w:r>
      <w:r w:rsidRPr="000F7E56">
        <w:rPr>
          <w:rFonts w:asciiTheme="majorHAnsi" w:eastAsia="Calibri" w:hAnsiTheme="majorHAnsi" w:cstheme="majorHAnsi"/>
          <w:sz w:val="56"/>
          <w:szCs w:val="56"/>
        </w:rPr>
        <w:t xml:space="preserve"> </w:t>
      </w:r>
      <w:r w:rsidRPr="000F7E56">
        <w:rPr>
          <w:rFonts w:asciiTheme="majorHAnsi" w:eastAsia="Times New Roman" w:hAnsiTheme="majorHAnsi" w:cstheme="majorHAnsi"/>
          <w:color w:val="2E74B5"/>
          <w:sz w:val="56"/>
          <w:szCs w:val="56"/>
        </w:rPr>
        <w:t>from Public and Professional Stakeholder Workshops</w:t>
      </w:r>
      <w:bookmarkEnd w:id="338"/>
      <w:bookmarkEnd w:id="339"/>
      <w:bookmarkEnd w:id="340"/>
      <w:bookmarkEnd w:id="341"/>
    </w:p>
    <w:p w14:paraId="4D3AEF4B" w14:textId="77777777" w:rsidR="000F7E56" w:rsidRPr="000F7E56" w:rsidRDefault="000F7E56" w:rsidP="000F7E56">
      <w:pPr>
        <w:spacing w:after="120" w:line="360" w:lineRule="auto"/>
        <w:contextualSpacing/>
        <w:rPr>
          <w:rFonts w:ascii="Calibri" w:eastAsia="Calibri" w:hAnsi="Calibri" w:cs="Times New Roman"/>
          <w:lang w:val="en-US"/>
        </w:rPr>
      </w:pPr>
    </w:p>
    <w:p w14:paraId="68FAE9C9" w14:textId="77777777" w:rsidR="000F7E56" w:rsidRPr="000F7E56" w:rsidRDefault="000F7E56" w:rsidP="000F7E56">
      <w:pPr>
        <w:spacing w:after="120" w:line="360" w:lineRule="auto"/>
        <w:contextualSpacing/>
        <w:rPr>
          <w:rFonts w:ascii="Calibri" w:eastAsia="Calibri" w:hAnsi="Calibri" w:cs="Calibri"/>
        </w:rPr>
      </w:pPr>
      <w:r w:rsidRPr="000F7E56">
        <w:rPr>
          <w:rFonts w:ascii="Calibri" w:eastAsia="Calibri" w:hAnsi="Calibri" w:cs="Calibri"/>
        </w:rPr>
        <w:t>In this Work Stream we facilitated public and professional stakeholder discussion about the findings from exploring the experiences of patients, their families (FCGs) and professionals (HCPs) derived from findings considered in Chapter 5 (WS1 and WS2) and their implications of these findings for HCP practices. We explored the views of participants on the barriers and enablers to discussing deterioration, dying and EOLCP with ED patients, FCGs and HCPs and sought to identify information and training needs to support best practices.</w:t>
      </w:r>
    </w:p>
    <w:p w14:paraId="7CE7A02E" w14:textId="77777777" w:rsidR="000F7E56" w:rsidRPr="000F7E56" w:rsidRDefault="000F7E56" w:rsidP="000F7E56">
      <w:pPr>
        <w:spacing w:after="120" w:line="360" w:lineRule="auto"/>
        <w:rPr>
          <w:rFonts w:ascii="Calibri" w:eastAsia="Calibri" w:hAnsi="Calibri" w:cs="Times New Roman"/>
          <w:lang w:val="en-US"/>
        </w:rPr>
      </w:pPr>
    </w:p>
    <w:p w14:paraId="5CF8EE95" w14:textId="77777777" w:rsidR="000F7E56" w:rsidRPr="000F7E56" w:rsidRDefault="000F7E56" w:rsidP="000F7E56">
      <w:pPr>
        <w:spacing w:after="120" w:line="360" w:lineRule="auto"/>
        <w:rPr>
          <w:rFonts w:ascii="Calibri" w:eastAsia="Calibri" w:hAnsi="Calibri" w:cs="Times New Roman"/>
          <w:lang w:val="en-US"/>
        </w:rPr>
      </w:pPr>
      <w:r w:rsidRPr="000F7E56">
        <w:rPr>
          <w:rFonts w:ascii="Calibri" w:eastAsia="Calibri" w:hAnsi="Calibri" w:cs="Times New Roman"/>
          <w:lang w:val="en-US"/>
        </w:rPr>
        <w:t xml:space="preserve">Between December 2020 and the end of April 2021 we held eleven, virtual, one-hour discussion workshops with 37 participants. Another 13 participants completed workbooks. Each workshop and workbook were tailored for the stakeholder group (individuals from an ethnic minority ethnic community (Lay), Community or Faith Leader, academic, healthcare professional and educator) but all included discussion of fictionalized stories which were developed as discussed in Chapter 2. Although these stories were fictionalized they were based around the real-life cases studies and the narrative themes which they incorporated were mapped to the findings from WS1 and WS2. </w:t>
      </w:r>
    </w:p>
    <w:p w14:paraId="54E5BD4B" w14:textId="77777777" w:rsidR="000F7E56" w:rsidRPr="000F7E56" w:rsidRDefault="000F7E56" w:rsidP="000F7E56">
      <w:pPr>
        <w:spacing w:after="120" w:line="360" w:lineRule="auto"/>
        <w:rPr>
          <w:rFonts w:ascii="Calibri" w:eastAsia="Calibri" w:hAnsi="Calibri" w:cs="Times New Roman"/>
          <w:lang w:val="en-US"/>
        </w:rPr>
      </w:pPr>
    </w:p>
    <w:p w14:paraId="0C9BC70F" w14:textId="78BD695F" w:rsidR="000F7E56" w:rsidRPr="000F7E56" w:rsidRDefault="000F7E56" w:rsidP="000F7E56">
      <w:pPr>
        <w:tabs>
          <w:tab w:val="left" w:pos="2210"/>
        </w:tabs>
        <w:spacing w:after="120" w:line="360" w:lineRule="auto"/>
        <w:rPr>
          <w:rFonts w:ascii="Calibri" w:eastAsia="Calibri" w:hAnsi="Calibri" w:cs="Times New Roman"/>
          <w:lang w:val="en-US"/>
        </w:rPr>
      </w:pPr>
      <w:r w:rsidRPr="000F7E56">
        <w:rPr>
          <w:rFonts w:ascii="Calibri" w:eastAsia="Calibri" w:hAnsi="Calibri" w:cs="Times New Roman"/>
          <w:lang w:val="en-US"/>
        </w:rPr>
        <w:t xml:space="preserve">Details of the stakeholder participants and the workshops are shown in Table 9 and of those completing Workbooks are described in Table 10. The generic and potential ED themes of the stories used in the workshops and workbooks are described in Table 11 and the stories are included in </w:t>
      </w:r>
      <w:r w:rsidR="00E22E77">
        <w:rPr>
          <w:rFonts w:ascii="Calibri" w:eastAsia="Calibri" w:hAnsi="Calibri" w:cs="Times New Roman"/>
          <w:lang w:val="en-US"/>
        </w:rPr>
        <w:t xml:space="preserve">Boxes 3-11, </w:t>
      </w:r>
      <w:r w:rsidRPr="000F7E56">
        <w:rPr>
          <w:rFonts w:ascii="Calibri" w:eastAsia="Calibri" w:hAnsi="Calibri" w:cs="Times New Roman"/>
          <w:lang w:val="en-US"/>
        </w:rPr>
        <w:t xml:space="preserve">Appendix </w:t>
      </w:r>
      <w:r w:rsidR="00265AED">
        <w:rPr>
          <w:rFonts w:ascii="Calibri" w:eastAsia="Calibri" w:hAnsi="Calibri" w:cs="Times New Roman"/>
          <w:lang w:val="en-US"/>
        </w:rPr>
        <w:t>1</w:t>
      </w:r>
      <w:r w:rsidRPr="000F7E56">
        <w:rPr>
          <w:rFonts w:ascii="Calibri" w:eastAsia="Calibri" w:hAnsi="Calibri" w:cs="Times New Roman"/>
          <w:lang w:val="en-US"/>
        </w:rPr>
        <w:t>.</w:t>
      </w:r>
    </w:p>
    <w:p w14:paraId="4F3031A3" w14:textId="77777777" w:rsidR="000F7E56" w:rsidRPr="000F7E56" w:rsidRDefault="000F7E56" w:rsidP="000F7E56">
      <w:pPr>
        <w:spacing w:after="120" w:line="360" w:lineRule="auto"/>
        <w:rPr>
          <w:rFonts w:ascii="Calibri" w:eastAsia="Calibri" w:hAnsi="Calibri" w:cs="Times New Roman"/>
          <w:lang w:val="en-US"/>
        </w:rPr>
      </w:pPr>
    </w:p>
    <w:p w14:paraId="06ED13FC" w14:textId="77777777" w:rsidR="000F7E56" w:rsidRPr="000F7E56" w:rsidRDefault="000F7E56" w:rsidP="000F7E56">
      <w:pPr>
        <w:spacing w:after="120" w:line="360" w:lineRule="auto"/>
        <w:rPr>
          <w:rFonts w:ascii="Calibri" w:eastAsia="Calibri" w:hAnsi="Calibri" w:cs="Times New Roman"/>
          <w:lang w:val="en-US"/>
        </w:rPr>
      </w:pPr>
    </w:p>
    <w:p w14:paraId="50244EE3" w14:textId="77777777" w:rsidR="000F7E56" w:rsidRPr="000F7E56" w:rsidRDefault="000F7E56" w:rsidP="000F7E56">
      <w:pPr>
        <w:spacing w:after="120" w:line="360" w:lineRule="auto"/>
        <w:rPr>
          <w:rFonts w:ascii="Calibri" w:eastAsia="Calibri" w:hAnsi="Calibri" w:cs="Times New Roman"/>
          <w:lang w:val="en-US"/>
        </w:rPr>
      </w:pPr>
    </w:p>
    <w:p w14:paraId="1BF337FA" w14:textId="77777777" w:rsidR="000F7E56" w:rsidRPr="000F7E56" w:rsidRDefault="000F7E56" w:rsidP="000F7E56">
      <w:pPr>
        <w:spacing w:line="360" w:lineRule="auto"/>
        <w:jc w:val="both"/>
        <w:rPr>
          <w:rFonts w:ascii="Calibri" w:eastAsia="Calibri" w:hAnsi="Calibri" w:cs="Times New Roman"/>
          <w:lang w:val="en-US"/>
        </w:rPr>
      </w:pPr>
    </w:p>
    <w:p w14:paraId="5CB73FAB" w14:textId="77777777" w:rsidR="000F7E56" w:rsidRPr="000F7E56" w:rsidRDefault="000F7E56" w:rsidP="000F7E56">
      <w:pPr>
        <w:spacing w:line="360" w:lineRule="auto"/>
        <w:jc w:val="both"/>
        <w:rPr>
          <w:rFonts w:ascii="Calibri" w:eastAsia="Calibri" w:hAnsi="Calibri" w:cs="Times New Roman"/>
          <w:lang w:val="en-US"/>
        </w:rPr>
      </w:pPr>
    </w:p>
    <w:tbl>
      <w:tblPr>
        <w:tblStyle w:val="TableGrid"/>
        <w:tblW w:w="0" w:type="auto"/>
        <w:tblLook w:val="04A0" w:firstRow="1" w:lastRow="0" w:firstColumn="1" w:lastColumn="0" w:noHBand="0" w:noVBand="1"/>
      </w:tblPr>
      <w:tblGrid>
        <w:gridCol w:w="2287"/>
        <w:gridCol w:w="2242"/>
        <w:gridCol w:w="2282"/>
        <w:gridCol w:w="1689"/>
      </w:tblGrid>
      <w:tr w:rsidR="000F7E56" w:rsidRPr="000F7E56" w14:paraId="52D7B552" w14:textId="77777777" w:rsidTr="000F7E56">
        <w:tc>
          <w:tcPr>
            <w:tcW w:w="2287" w:type="dxa"/>
          </w:tcPr>
          <w:p w14:paraId="7D1278C1" w14:textId="77777777" w:rsidR="000F7E56" w:rsidRPr="000F7E56" w:rsidRDefault="000F7E56" w:rsidP="000F7E56">
            <w:pPr>
              <w:rPr>
                <w:rFonts w:ascii="Calibri" w:eastAsia="Calibri" w:hAnsi="Calibri" w:cs="Times New Roman"/>
                <w:b/>
              </w:rPr>
            </w:pPr>
            <w:r w:rsidRPr="000F7E56">
              <w:rPr>
                <w:rFonts w:ascii="Calibri" w:eastAsia="Calibri" w:hAnsi="Calibri" w:cs="Times New Roman"/>
                <w:b/>
              </w:rPr>
              <w:lastRenderedPageBreak/>
              <w:t>Stakeholder role</w:t>
            </w:r>
          </w:p>
        </w:tc>
        <w:tc>
          <w:tcPr>
            <w:tcW w:w="2242" w:type="dxa"/>
          </w:tcPr>
          <w:p w14:paraId="48AF8B0F" w14:textId="77777777" w:rsidR="000F7E56" w:rsidRPr="000F7E56" w:rsidRDefault="000F7E56" w:rsidP="000F7E56">
            <w:pPr>
              <w:rPr>
                <w:rFonts w:ascii="Calibri" w:eastAsia="Calibri" w:hAnsi="Calibri" w:cs="Times New Roman"/>
                <w:b/>
              </w:rPr>
            </w:pPr>
            <w:r w:rsidRPr="000F7E56">
              <w:rPr>
                <w:rFonts w:ascii="Calibri" w:eastAsia="Calibri" w:hAnsi="Calibri" w:cs="Times New Roman"/>
                <w:b/>
              </w:rPr>
              <w:t xml:space="preserve">Number of workshops  </w:t>
            </w:r>
          </w:p>
        </w:tc>
        <w:tc>
          <w:tcPr>
            <w:tcW w:w="2282" w:type="dxa"/>
          </w:tcPr>
          <w:p w14:paraId="11769D89" w14:textId="77777777" w:rsidR="000F7E56" w:rsidRPr="000F7E56" w:rsidRDefault="000F7E56" w:rsidP="000F7E56">
            <w:pPr>
              <w:rPr>
                <w:rFonts w:ascii="Calibri" w:eastAsia="Calibri" w:hAnsi="Calibri" w:cs="Times New Roman"/>
                <w:b/>
              </w:rPr>
            </w:pPr>
            <w:r w:rsidRPr="000F7E56">
              <w:rPr>
                <w:rFonts w:ascii="Calibri" w:eastAsia="Calibri" w:hAnsi="Calibri" w:cs="Times New Roman"/>
                <w:b/>
              </w:rPr>
              <w:t xml:space="preserve">Number of participants </w:t>
            </w:r>
          </w:p>
        </w:tc>
        <w:tc>
          <w:tcPr>
            <w:tcW w:w="1689" w:type="dxa"/>
          </w:tcPr>
          <w:p w14:paraId="0E865781" w14:textId="77777777" w:rsidR="000F7E56" w:rsidRPr="000F7E56" w:rsidRDefault="000F7E56" w:rsidP="000F7E56">
            <w:pPr>
              <w:rPr>
                <w:rFonts w:ascii="Calibri" w:eastAsia="Calibri" w:hAnsi="Calibri" w:cs="Times New Roman"/>
                <w:b/>
              </w:rPr>
            </w:pPr>
            <w:r w:rsidRPr="000F7E56">
              <w:rPr>
                <w:rFonts w:ascii="Calibri" w:eastAsia="Calibri" w:hAnsi="Calibri" w:cs="Times New Roman"/>
                <w:b/>
              </w:rPr>
              <w:t>Stories discussed</w:t>
            </w:r>
          </w:p>
        </w:tc>
      </w:tr>
      <w:tr w:rsidR="000F7E56" w:rsidRPr="000F7E56" w14:paraId="66F2CA17" w14:textId="77777777" w:rsidTr="000F7E56">
        <w:tc>
          <w:tcPr>
            <w:tcW w:w="2287" w:type="dxa"/>
          </w:tcPr>
          <w:p w14:paraId="3853F33D" w14:textId="77777777" w:rsidR="000F7E56" w:rsidRPr="000F7E56" w:rsidRDefault="000F7E56" w:rsidP="000F7E56">
            <w:pPr>
              <w:rPr>
                <w:rFonts w:ascii="Calibri" w:eastAsia="Calibri" w:hAnsi="Calibri" w:cs="Times New Roman"/>
              </w:rPr>
            </w:pPr>
            <w:r w:rsidRPr="000F7E56">
              <w:rPr>
                <w:rFonts w:ascii="Calibri" w:eastAsia="Calibri" w:hAnsi="Calibri" w:cs="Times New Roman"/>
              </w:rPr>
              <w:t>Lay</w:t>
            </w:r>
          </w:p>
        </w:tc>
        <w:tc>
          <w:tcPr>
            <w:tcW w:w="2242" w:type="dxa"/>
          </w:tcPr>
          <w:p w14:paraId="07A74CF2" w14:textId="77777777" w:rsidR="000F7E56" w:rsidRPr="000F7E56" w:rsidRDefault="000F7E56" w:rsidP="000F7E56">
            <w:pPr>
              <w:rPr>
                <w:rFonts w:ascii="Calibri" w:eastAsia="Calibri" w:hAnsi="Calibri" w:cs="Times New Roman"/>
              </w:rPr>
            </w:pPr>
            <w:r w:rsidRPr="000F7E56">
              <w:rPr>
                <w:rFonts w:ascii="Calibri" w:eastAsia="Calibri" w:hAnsi="Calibri" w:cs="Times New Roman"/>
              </w:rPr>
              <w:t>2</w:t>
            </w:r>
          </w:p>
        </w:tc>
        <w:tc>
          <w:tcPr>
            <w:tcW w:w="2282" w:type="dxa"/>
          </w:tcPr>
          <w:p w14:paraId="383F94F7" w14:textId="77777777" w:rsidR="000F7E56" w:rsidRPr="000F7E56" w:rsidRDefault="000F7E56" w:rsidP="000F7E56">
            <w:pPr>
              <w:rPr>
                <w:rFonts w:ascii="Calibri" w:eastAsia="Calibri" w:hAnsi="Calibri" w:cs="Times New Roman"/>
              </w:rPr>
            </w:pPr>
            <w:r w:rsidRPr="000F7E56">
              <w:rPr>
                <w:rFonts w:ascii="Calibri" w:eastAsia="Calibri" w:hAnsi="Calibri" w:cs="Times New Roman"/>
              </w:rPr>
              <w:t>8</w:t>
            </w:r>
          </w:p>
        </w:tc>
        <w:tc>
          <w:tcPr>
            <w:tcW w:w="1689" w:type="dxa"/>
          </w:tcPr>
          <w:p w14:paraId="7A429248" w14:textId="77777777" w:rsidR="000F7E56" w:rsidRPr="000F7E56" w:rsidRDefault="000F7E56" w:rsidP="000F7E56">
            <w:pPr>
              <w:rPr>
                <w:rFonts w:ascii="Calibri" w:eastAsia="Calibri" w:hAnsi="Calibri" w:cs="Times New Roman"/>
              </w:rPr>
            </w:pPr>
            <w:r w:rsidRPr="000F7E56">
              <w:rPr>
                <w:rFonts w:ascii="Calibri" w:eastAsia="Calibri" w:hAnsi="Calibri" w:cs="Times New Roman"/>
              </w:rPr>
              <w:t xml:space="preserve">1,2 &amp; 5 </w:t>
            </w:r>
          </w:p>
        </w:tc>
      </w:tr>
      <w:tr w:rsidR="000F7E56" w:rsidRPr="000F7E56" w14:paraId="012DFEBC" w14:textId="77777777" w:rsidTr="000F7E56">
        <w:tc>
          <w:tcPr>
            <w:tcW w:w="2287" w:type="dxa"/>
          </w:tcPr>
          <w:p w14:paraId="0B3FD0F7" w14:textId="77777777" w:rsidR="000F7E56" w:rsidRPr="000F7E56" w:rsidRDefault="000F7E56" w:rsidP="000F7E56">
            <w:pPr>
              <w:rPr>
                <w:rFonts w:ascii="Calibri" w:eastAsia="Calibri" w:hAnsi="Calibri" w:cs="Times New Roman"/>
              </w:rPr>
            </w:pPr>
            <w:r w:rsidRPr="000F7E56">
              <w:rPr>
                <w:rFonts w:ascii="Calibri" w:eastAsia="Calibri" w:hAnsi="Calibri" w:cs="Times New Roman"/>
              </w:rPr>
              <w:t>Community or Faith Leaders</w:t>
            </w:r>
          </w:p>
        </w:tc>
        <w:tc>
          <w:tcPr>
            <w:tcW w:w="2242" w:type="dxa"/>
          </w:tcPr>
          <w:p w14:paraId="2A4049D5" w14:textId="77777777" w:rsidR="000F7E56" w:rsidRPr="000F7E56" w:rsidRDefault="000F7E56" w:rsidP="000F7E56">
            <w:pPr>
              <w:rPr>
                <w:rFonts w:ascii="Calibri" w:eastAsia="Calibri" w:hAnsi="Calibri" w:cs="Times New Roman"/>
              </w:rPr>
            </w:pPr>
            <w:r w:rsidRPr="000F7E56">
              <w:rPr>
                <w:rFonts w:ascii="Calibri" w:eastAsia="Calibri" w:hAnsi="Calibri" w:cs="Times New Roman"/>
              </w:rPr>
              <w:t>1</w:t>
            </w:r>
          </w:p>
        </w:tc>
        <w:tc>
          <w:tcPr>
            <w:tcW w:w="2282" w:type="dxa"/>
          </w:tcPr>
          <w:p w14:paraId="7F5D2965" w14:textId="77777777" w:rsidR="000F7E56" w:rsidRPr="000F7E56" w:rsidRDefault="000F7E56" w:rsidP="000F7E56">
            <w:pPr>
              <w:rPr>
                <w:rFonts w:ascii="Calibri" w:eastAsia="Calibri" w:hAnsi="Calibri" w:cs="Times New Roman"/>
              </w:rPr>
            </w:pPr>
            <w:r w:rsidRPr="000F7E56">
              <w:rPr>
                <w:rFonts w:ascii="Calibri" w:eastAsia="Calibri" w:hAnsi="Calibri" w:cs="Times New Roman"/>
              </w:rPr>
              <w:t>2</w:t>
            </w:r>
          </w:p>
        </w:tc>
        <w:tc>
          <w:tcPr>
            <w:tcW w:w="1689" w:type="dxa"/>
          </w:tcPr>
          <w:p w14:paraId="340A10A9" w14:textId="77777777" w:rsidR="000F7E56" w:rsidRPr="000F7E56" w:rsidRDefault="000F7E56" w:rsidP="000F7E56">
            <w:pPr>
              <w:rPr>
                <w:rFonts w:ascii="Calibri" w:eastAsia="Calibri" w:hAnsi="Calibri" w:cs="Times New Roman"/>
              </w:rPr>
            </w:pPr>
            <w:r w:rsidRPr="000F7E56">
              <w:rPr>
                <w:rFonts w:ascii="Calibri" w:eastAsia="Calibri" w:hAnsi="Calibri" w:cs="Times New Roman"/>
              </w:rPr>
              <w:t>1 &amp; 7</w:t>
            </w:r>
          </w:p>
        </w:tc>
      </w:tr>
      <w:tr w:rsidR="000F7E56" w:rsidRPr="000F7E56" w14:paraId="25C4D8D3" w14:textId="77777777" w:rsidTr="000F7E56">
        <w:tc>
          <w:tcPr>
            <w:tcW w:w="2287" w:type="dxa"/>
          </w:tcPr>
          <w:p w14:paraId="5C9235E1" w14:textId="77777777" w:rsidR="000F7E56" w:rsidRPr="000F7E56" w:rsidRDefault="000F7E56" w:rsidP="000F7E56">
            <w:pPr>
              <w:rPr>
                <w:rFonts w:ascii="Calibri" w:eastAsia="Calibri" w:hAnsi="Calibri" w:cs="Times New Roman"/>
              </w:rPr>
            </w:pPr>
            <w:r w:rsidRPr="000F7E56">
              <w:rPr>
                <w:rFonts w:ascii="Calibri" w:eastAsia="Calibri" w:hAnsi="Calibri" w:cs="Times New Roman"/>
              </w:rPr>
              <w:t>Academic</w:t>
            </w:r>
          </w:p>
        </w:tc>
        <w:tc>
          <w:tcPr>
            <w:tcW w:w="2242" w:type="dxa"/>
          </w:tcPr>
          <w:p w14:paraId="7029F2CC" w14:textId="77777777" w:rsidR="000F7E56" w:rsidRPr="000F7E56" w:rsidRDefault="000F7E56" w:rsidP="000F7E56">
            <w:pPr>
              <w:rPr>
                <w:rFonts w:ascii="Calibri" w:eastAsia="Calibri" w:hAnsi="Calibri" w:cs="Times New Roman"/>
              </w:rPr>
            </w:pPr>
            <w:r w:rsidRPr="000F7E56">
              <w:rPr>
                <w:rFonts w:ascii="Calibri" w:eastAsia="Calibri" w:hAnsi="Calibri" w:cs="Times New Roman"/>
              </w:rPr>
              <w:t>1</w:t>
            </w:r>
          </w:p>
        </w:tc>
        <w:tc>
          <w:tcPr>
            <w:tcW w:w="2282" w:type="dxa"/>
          </w:tcPr>
          <w:p w14:paraId="14545D4B" w14:textId="77777777" w:rsidR="000F7E56" w:rsidRPr="000F7E56" w:rsidRDefault="000F7E56" w:rsidP="000F7E56">
            <w:pPr>
              <w:rPr>
                <w:rFonts w:ascii="Calibri" w:eastAsia="Calibri" w:hAnsi="Calibri" w:cs="Times New Roman"/>
              </w:rPr>
            </w:pPr>
            <w:r w:rsidRPr="000F7E56">
              <w:rPr>
                <w:rFonts w:ascii="Calibri" w:eastAsia="Calibri" w:hAnsi="Calibri" w:cs="Times New Roman"/>
              </w:rPr>
              <w:t>3</w:t>
            </w:r>
          </w:p>
        </w:tc>
        <w:tc>
          <w:tcPr>
            <w:tcW w:w="1689" w:type="dxa"/>
          </w:tcPr>
          <w:p w14:paraId="038BD05B" w14:textId="77777777" w:rsidR="000F7E56" w:rsidRPr="000F7E56" w:rsidRDefault="000F7E56" w:rsidP="000F7E56">
            <w:pPr>
              <w:rPr>
                <w:rFonts w:ascii="Calibri" w:eastAsia="Calibri" w:hAnsi="Calibri" w:cs="Times New Roman"/>
              </w:rPr>
            </w:pPr>
            <w:r w:rsidRPr="000F7E56">
              <w:rPr>
                <w:rFonts w:ascii="Calibri" w:eastAsia="Calibri" w:hAnsi="Calibri" w:cs="Times New Roman"/>
              </w:rPr>
              <w:t>1 &amp; 6</w:t>
            </w:r>
          </w:p>
        </w:tc>
      </w:tr>
      <w:tr w:rsidR="000F7E56" w:rsidRPr="000F7E56" w14:paraId="26F629F6" w14:textId="77777777" w:rsidTr="000F7E56">
        <w:tc>
          <w:tcPr>
            <w:tcW w:w="2287" w:type="dxa"/>
          </w:tcPr>
          <w:p w14:paraId="0BBEDF1D" w14:textId="77777777" w:rsidR="000F7E56" w:rsidRPr="000F7E56" w:rsidRDefault="000F7E56" w:rsidP="000F7E56">
            <w:pPr>
              <w:rPr>
                <w:rFonts w:ascii="Calibri" w:eastAsia="Calibri" w:hAnsi="Calibri" w:cs="Times New Roman"/>
              </w:rPr>
            </w:pPr>
            <w:r w:rsidRPr="000F7E56">
              <w:rPr>
                <w:rFonts w:ascii="Calibri" w:eastAsia="Calibri" w:hAnsi="Calibri" w:cs="Times New Roman"/>
              </w:rPr>
              <w:t>HCPs</w:t>
            </w:r>
          </w:p>
        </w:tc>
        <w:tc>
          <w:tcPr>
            <w:tcW w:w="2242" w:type="dxa"/>
          </w:tcPr>
          <w:p w14:paraId="34820173" w14:textId="77777777" w:rsidR="000F7E56" w:rsidRPr="000F7E56" w:rsidRDefault="000F7E56" w:rsidP="000F7E56">
            <w:pPr>
              <w:rPr>
                <w:rFonts w:ascii="Calibri" w:eastAsia="Calibri" w:hAnsi="Calibri" w:cs="Times New Roman"/>
              </w:rPr>
            </w:pPr>
            <w:r w:rsidRPr="000F7E56">
              <w:rPr>
                <w:rFonts w:ascii="Calibri" w:eastAsia="Calibri" w:hAnsi="Calibri" w:cs="Times New Roman"/>
              </w:rPr>
              <w:t>5</w:t>
            </w:r>
          </w:p>
        </w:tc>
        <w:tc>
          <w:tcPr>
            <w:tcW w:w="2282" w:type="dxa"/>
          </w:tcPr>
          <w:p w14:paraId="7A7E6F2B" w14:textId="77777777" w:rsidR="000F7E56" w:rsidRPr="000F7E56" w:rsidRDefault="000F7E56" w:rsidP="000F7E56">
            <w:pPr>
              <w:rPr>
                <w:rFonts w:ascii="Calibri" w:eastAsia="Calibri" w:hAnsi="Calibri" w:cs="Times New Roman"/>
              </w:rPr>
            </w:pPr>
            <w:r w:rsidRPr="000F7E56">
              <w:rPr>
                <w:rFonts w:ascii="Calibri" w:eastAsia="Calibri" w:hAnsi="Calibri" w:cs="Times New Roman"/>
              </w:rPr>
              <w:t>18</w:t>
            </w:r>
          </w:p>
        </w:tc>
        <w:tc>
          <w:tcPr>
            <w:tcW w:w="1689" w:type="dxa"/>
          </w:tcPr>
          <w:p w14:paraId="5F7BAF05" w14:textId="77777777" w:rsidR="000F7E56" w:rsidRPr="000F7E56" w:rsidRDefault="000F7E56" w:rsidP="000F7E56">
            <w:pPr>
              <w:rPr>
                <w:rFonts w:ascii="Calibri" w:eastAsia="Calibri" w:hAnsi="Calibri" w:cs="Times New Roman"/>
              </w:rPr>
            </w:pPr>
            <w:r w:rsidRPr="000F7E56">
              <w:rPr>
                <w:rFonts w:ascii="Calibri" w:eastAsia="Calibri" w:hAnsi="Calibri" w:cs="Times New Roman"/>
              </w:rPr>
              <w:t xml:space="preserve">2, 4 &amp; 8 </w:t>
            </w:r>
          </w:p>
        </w:tc>
      </w:tr>
      <w:tr w:rsidR="000F7E56" w:rsidRPr="000F7E56" w14:paraId="0BDD43E8" w14:textId="77777777" w:rsidTr="000F7E56">
        <w:tc>
          <w:tcPr>
            <w:tcW w:w="2287" w:type="dxa"/>
          </w:tcPr>
          <w:p w14:paraId="4CB47F5C" w14:textId="77777777" w:rsidR="000F7E56" w:rsidRPr="000F7E56" w:rsidRDefault="000F7E56" w:rsidP="000F7E56">
            <w:pPr>
              <w:rPr>
                <w:rFonts w:ascii="Calibri" w:eastAsia="Calibri" w:hAnsi="Calibri" w:cs="Times New Roman"/>
              </w:rPr>
            </w:pPr>
            <w:r w:rsidRPr="000F7E56">
              <w:rPr>
                <w:rFonts w:ascii="Calibri" w:eastAsia="Calibri" w:hAnsi="Calibri" w:cs="Times New Roman"/>
              </w:rPr>
              <w:t>Educators</w:t>
            </w:r>
          </w:p>
        </w:tc>
        <w:tc>
          <w:tcPr>
            <w:tcW w:w="2242" w:type="dxa"/>
          </w:tcPr>
          <w:p w14:paraId="4386C0B7" w14:textId="77777777" w:rsidR="000F7E56" w:rsidRPr="000F7E56" w:rsidRDefault="000F7E56" w:rsidP="000F7E56">
            <w:pPr>
              <w:rPr>
                <w:rFonts w:ascii="Calibri" w:eastAsia="Calibri" w:hAnsi="Calibri" w:cs="Times New Roman"/>
              </w:rPr>
            </w:pPr>
            <w:r w:rsidRPr="000F7E56">
              <w:rPr>
                <w:rFonts w:ascii="Calibri" w:eastAsia="Calibri" w:hAnsi="Calibri" w:cs="Times New Roman"/>
              </w:rPr>
              <w:t>2</w:t>
            </w:r>
          </w:p>
        </w:tc>
        <w:tc>
          <w:tcPr>
            <w:tcW w:w="2282" w:type="dxa"/>
          </w:tcPr>
          <w:p w14:paraId="239C1395" w14:textId="77777777" w:rsidR="000F7E56" w:rsidRPr="000F7E56" w:rsidRDefault="000F7E56" w:rsidP="000F7E56">
            <w:pPr>
              <w:rPr>
                <w:rFonts w:ascii="Calibri" w:eastAsia="Calibri" w:hAnsi="Calibri" w:cs="Times New Roman"/>
              </w:rPr>
            </w:pPr>
            <w:r w:rsidRPr="000F7E56">
              <w:rPr>
                <w:rFonts w:ascii="Calibri" w:eastAsia="Calibri" w:hAnsi="Calibri" w:cs="Times New Roman"/>
              </w:rPr>
              <w:t>6</w:t>
            </w:r>
          </w:p>
        </w:tc>
        <w:tc>
          <w:tcPr>
            <w:tcW w:w="1689" w:type="dxa"/>
          </w:tcPr>
          <w:p w14:paraId="35A81292" w14:textId="77777777" w:rsidR="000F7E56" w:rsidRPr="000F7E56" w:rsidRDefault="000F7E56" w:rsidP="000F7E56">
            <w:pPr>
              <w:rPr>
                <w:rFonts w:ascii="Calibri" w:eastAsia="Calibri" w:hAnsi="Calibri" w:cs="Times New Roman"/>
              </w:rPr>
            </w:pPr>
            <w:r w:rsidRPr="000F7E56">
              <w:rPr>
                <w:rFonts w:ascii="Calibri" w:eastAsia="Calibri" w:hAnsi="Calibri" w:cs="Times New Roman"/>
              </w:rPr>
              <w:t>8</w:t>
            </w:r>
          </w:p>
        </w:tc>
      </w:tr>
      <w:tr w:rsidR="000F7E56" w:rsidRPr="000F7E56" w14:paraId="1C868F86" w14:textId="77777777" w:rsidTr="000F7E56">
        <w:tc>
          <w:tcPr>
            <w:tcW w:w="2287" w:type="dxa"/>
          </w:tcPr>
          <w:p w14:paraId="4282DF17" w14:textId="77777777" w:rsidR="000F7E56" w:rsidRPr="000F7E56" w:rsidRDefault="000F7E56" w:rsidP="000F7E56">
            <w:pPr>
              <w:rPr>
                <w:rFonts w:ascii="Calibri" w:eastAsia="Calibri" w:hAnsi="Calibri" w:cs="Times New Roman"/>
              </w:rPr>
            </w:pPr>
            <w:r w:rsidRPr="000F7E56">
              <w:rPr>
                <w:rFonts w:ascii="Calibri" w:eastAsia="Calibri" w:hAnsi="Calibri" w:cs="Times New Roman"/>
              </w:rPr>
              <w:t>Total</w:t>
            </w:r>
          </w:p>
        </w:tc>
        <w:tc>
          <w:tcPr>
            <w:tcW w:w="2242" w:type="dxa"/>
          </w:tcPr>
          <w:p w14:paraId="31B55DF5" w14:textId="77777777" w:rsidR="000F7E56" w:rsidRPr="000F7E56" w:rsidRDefault="000F7E56" w:rsidP="000F7E56">
            <w:pPr>
              <w:rPr>
                <w:rFonts w:ascii="Calibri" w:eastAsia="Calibri" w:hAnsi="Calibri" w:cs="Times New Roman"/>
              </w:rPr>
            </w:pPr>
            <w:r w:rsidRPr="000F7E56">
              <w:rPr>
                <w:rFonts w:ascii="Calibri" w:eastAsia="Calibri" w:hAnsi="Calibri" w:cs="Times New Roman"/>
              </w:rPr>
              <w:t>11</w:t>
            </w:r>
          </w:p>
        </w:tc>
        <w:tc>
          <w:tcPr>
            <w:tcW w:w="2282" w:type="dxa"/>
          </w:tcPr>
          <w:p w14:paraId="15E2495D" w14:textId="77777777" w:rsidR="000F7E56" w:rsidRPr="000F7E56" w:rsidRDefault="000F7E56" w:rsidP="000F7E56">
            <w:pPr>
              <w:rPr>
                <w:rFonts w:ascii="Calibri" w:eastAsia="Calibri" w:hAnsi="Calibri" w:cs="Times New Roman"/>
              </w:rPr>
            </w:pPr>
            <w:r w:rsidRPr="000F7E56">
              <w:rPr>
                <w:rFonts w:ascii="Calibri" w:eastAsia="Calibri" w:hAnsi="Calibri" w:cs="Times New Roman"/>
              </w:rPr>
              <w:t>37</w:t>
            </w:r>
          </w:p>
        </w:tc>
        <w:tc>
          <w:tcPr>
            <w:tcW w:w="1689" w:type="dxa"/>
          </w:tcPr>
          <w:p w14:paraId="25252198" w14:textId="77777777" w:rsidR="000F7E56" w:rsidRPr="000F7E56" w:rsidRDefault="000F7E56" w:rsidP="000F7E56">
            <w:pPr>
              <w:rPr>
                <w:rFonts w:ascii="Calibri" w:eastAsia="Calibri" w:hAnsi="Calibri" w:cs="Times New Roman"/>
              </w:rPr>
            </w:pPr>
          </w:p>
        </w:tc>
      </w:tr>
    </w:tbl>
    <w:p w14:paraId="713CD035" w14:textId="0DBFE970" w:rsidR="000F7E56" w:rsidRPr="000F7E56" w:rsidRDefault="000F7E56" w:rsidP="000F7E56">
      <w:pPr>
        <w:keepNext/>
        <w:spacing w:after="200" w:line="240" w:lineRule="auto"/>
        <w:jc w:val="both"/>
        <w:rPr>
          <w:rFonts w:ascii="Calibri" w:eastAsia="Calibri" w:hAnsi="Calibri" w:cs="Times New Roman"/>
          <w:iCs/>
          <w:color w:val="44546A" w:themeColor="text2"/>
          <w:lang w:val="en-US"/>
        </w:rPr>
      </w:pPr>
      <w:bookmarkStart w:id="342" w:name="_Toc89967520"/>
      <w:bookmarkStart w:id="343" w:name="_Toc106701071"/>
      <w:r w:rsidRPr="000F7E56">
        <w:rPr>
          <w:rFonts w:cstheme="minorHAnsi"/>
          <w:iCs/>
          <w:color w:val="44546A" w:themeColor="text2"/>
        </w:rPr>
        <w:t xml:space="preserve">TABLE </w:t>
      </w:r>
      <w:r w:rsidRPr="000F7E56">
        <w:rPr>
          <w:rFonts w:cstheme="minorHAnsi"/>
          <w:iCs/>
          <w:color w:val="44546A" w:themeColor="text2"/>
        </w:rPr>
        <w:fldChar w:fldCharType="begin"/>
      </w:r>
      <w:r w:rsidRPr="000F7E56">
        <w:rPr>
          <w:rFonts w:cstheme="minorHAnsi"/>
          <w:iCs/>
          <w:color w:val="44546A" w:themeColor="text2"/>
        </w:rPr>
        <w:instrText xml:space="preserve"> SEQ Table \* ARABIC </w:instrText>
      </w:r>
      <w:r w:rsidRPr="000F7E56">
        <w:rPr>
          <w:rFonts w:cstheme="minorHAnsi"/>
          <w:iCs/>
          <w:color w:val="44546A" w:themeColor="text2"/>
        </w:rPr>
        <w:fldChar w:fldCharType="separate"/>
      </w:r>
      <w:r w:rsidR="00514EB4">
        <w:rPr>
          <w:rFonts w:cstheme="minorHAnsi"/>
          <w:iCs/>
          <w:noProof/>
          <w:color w:val="44546A" w:themeColor="text2"/>
        </w:rPr>
        <w:t>9</w:t>
      </w:r>
      <w:r w:rsidRPr="000F7E56">
        <w:rPr>
          <w:rFonts w:cstheme="minorHAnsi"/>
          <w:iCs/>
          <w:noProof/>
          <w:color w:val="44546A" w:themeColor="text2"/>
        </w:rPr>
        <w:fldChar w:fldCharType="end"/>
      </w:r>
      <w:r w:rsidRPr="000F7E56">
        <w:rPr>
          <w:rFonts w:cstheme="minorHAnsi"/>
          <w:iCs/>
          <w:noProof/>
          <w:color w:val="44546A" w:themeColor="text2"/>
        </w:rPr>
        <w:t xml:space="preserve"> -</w:t>
      </w:r>
      <w:r w:rsidRPr="000F7E56">
        <w:rPr>
          <w:rFonts w:cstheme="minorHAnsi"/>
          <w:iCs/>
          <w:color w:val="44546A" w:themeColor="text2"/>
        </w:rPr>
        <w:t xml:space="preserve"> Details of virtual stakeholder workshops</w:t>
      </w:r>
      <w:bookmarkEnd w:id="342"/>
      <w:bookmarkEnd w:id="343"/>
    </w:p>
    <w:p w14:paraId="450C7ADD" w14:textId="77777777" w:rsidR="000F7E56" w:rsidRPr="000F7E56" w:rsidRDefault="000F7E56" w:rsidP="000F7E56">
      <w:pPr>
        <w:spacing w:line="360" w:lineRule="auto"/>
        <w:jc w:val="both"/>
        <w:rPr>
          <w:rFonts w:ascii="Calibri" w:eastAsia="Calibri" w:hAnsi="Calibri" w:cs="Times New Roman"/>
          <w:lang w:val="en-US"/>
        </w:rPr>
      </w:pPr>
    </w:p>
    <w:tbl>
      <w:tblPr>
        <w:tblStyle w:val="TableGrid"/>
        <w:tblW w:w="0" w:type="auto"/>
        <w:tblLook w:val="04A0" w:firstRow="1" w:lastRow="0" w:firstColumn="1" w:lastColumn="0" w:noHBand="0" w:noVBand="1"/>
      </w:tblPr>
      <w:tblGrid>
        <w:gridCol w:w="2365"/>
        <w:gridCol w:w="1966"/>
        <w:gridCol w:w="2468"/>
      </w:tblGrid>
      <w:tr w:rsidR="000F7E56" w:rsidRPr="000F7E56" w14:paraId="4F0191EC" w14:textId="77777777" w:rsidTr="000F7E56">
        <w:tc>
          <w:tcPr>
            <w:tcW w:w="2365" w:type="dxa"/>
          </w:tcPr>
          <w:p w14:paraId="0AD242A3" w14:textId="77777777" w:rsidR="000F7E56" w:rsidRPr="000F7E56" w:rsidRDefault="000F7E56" w:rsidP="000F7E56">
            <w:pPr>
              <w:rPr>
                <w:rFonts w:ascii="Calibri" w:eastAsia="Calibri" w:hAnsi="Calibri" w:cs="Times New Roman"/>
                <w:b/>
              </w:rPr>
            </w:pPr>
            <w:r w:rsidRPr="000F7E56">
              <w:rPr>
                <w:rFonts w:ascii="Calibri" w:eastAsia="Calibri" w:hAnsi="Calibri" w:cs="Times New Roman"/>
                <w:b/>
              </w:rPr>
              <w:t>Stakeholder role</w:t>
            </w:r>
          </w:p>
          <w:p w14:paraId="3F530C3B" w14:textId="77777777" w:rsidR="000F7E56" w:rsidRPr="000F7E56" w:rsidRDefault="000F7E56" w:rsidP="000F7E56">
            <w:pPr>
              <w:rPr>
                <w:rFonts w:ascii="Calibri" w:eastAsia="Calibri" w:hAnsi="Calibri" w:cs="Times New Roman"/>
                <w:b/>
              </w:rPr>
            </w:pPr>
          </w:p>
        </w:tc>
        <w:tc>
          <w:tcPr>
            <w:tcW w:w="1966" w:type="dxa"/>
          </w:tcPr>
          <w:p w14:paraId="700902EE" w14:textId="77777777" w:rsidR="000F7E56" w:rsidRPr="000F7E56" w:rsidRDefault="000F7E56" w:rsidP="000F7E56">
            <w:pPr>
              <w:rPr>
                <w:rFonts w:ascii="Calibri" w:eastAsia="Calibri" w:hAnsi="Calibri" w:cs="Times New Roman"/>
                <w:b/>
              </w:rPr>
            </w:pPr>
            <w:r w:rsidRPr="000F7E56">
              <w:rPr>
                <w:rFonts w:ascii="Calibri" w:eastAsia="Calibri" w:hAnsi="Calibri" w:cs="Times New Roman"/>
                <w:b/>
              </w:rPr>
              <w:t>Number completing workbooks</w:t>
            </w:r>
          </w:p>
        </w:tc>
        <w:tc>
          <w:tcPr>
            <w:tcW w:w="2468" w:type="dxa"/>
          </w:tcPr>
          <w:p w14:paraId="24C259F3" w14:textId="77777777" w:rsidR="000F7E56" w:rsidRPr="000F7E56" w:rsidRDefault="000F7E56" w:rsidP="000F7E56">
            <w:pPr>
              <w:rPr>
                <w:rFonts w:ascii="Calibri" w:eastAsia="Calibri" w:hAnsi="Calibri" w:cs="Times New Roman"/>
                <w:b/>
              </w:rPr>
            </w:pPr>
            <w:r w:rsidRPr="000F7E56">
              <w:rPr>
                <w:rFonts w:ascii="Calibri" w:eastAsia="Calibri" w:hAnsi="Calibri" w:cs="Times New Roman"/>
                <w:b/>
              </w:rPr>
              <w:t xml:space="preserve">Stories discussed  </w:t>
            </w:r>
          </w:p>
        </w:tc>
      </w:tr>
      <w:tr w:rsidR="000F7E56" w:rsidRPr="000F7E56" w14:paraId="4BAC9EC4" w14:textId="77777777" w:rsidTr="000F7E56">
        <w:tc>
          <w:tcPr>
            <w:tcW w:w="2365" w:type="dxa"/>
          </w:tcPr>
          <w:p w14:paraId="0A47F1FD" w14:textId="77777777" w:rsidR="000F7E56" w:rsidRPr="000F7E56" w:rsidRDefault="000F7E56" w:rsidP="000F7E56">
            <w:pPr>
              <w:rPr>
                <w:rFonts w:ascii="Calibri" w:eastAsia="Calibri" w:hAnsi="Calibri" w:cs="Times New Roman"/>
              </w:rPr>
            </w:pPr>
            <w:r w:rsidRPr="000F7E56">
              <w:rPr>
                <w:rFonts w:ascii="Calibri" w:eastAsia="Calibri" w:hAnsi="Calibri" w:cs="Times New Roman"/>
              </w:rPr>
              <w:t>Lay</w:t>
            </w:r>
          </w:p>
        </w:tc>
        <w:tc>
          <w:tcPr>
            <w:tcW w:w="1966" w:type="dxa"/>
          </w:tcPr>
          <w:p w14:paraId="051B35EE" w14:textId="77777777" w:rsidR="000F7E56" w:rsidRPr="000F7E56" w:rsidRDefault="000F7E56" w:rsidP="000F7E56">
            <w:pPr>
              <w:rPr>
                <w:rFonts w:ascii="Calibri" w:eastAsia="Calibri" w:hAnsi="Calibri" w:cs="Times New Roman"/>
              </w:rPr>
            </w:pPr>
            <w:r w:rsidRPr="000F7E56">
              <w:rPr>
                <w:rFonts w:ascii="Calibri" w:eastAsia="Calibri" w:hAnsi="Calibri" w:cs="Times New Roman"/>
              </w:rPr>
              <w:t>6</w:t>
            </w:r>
          </w:p>
        </w:tc>
        <w:tc>
          <w:tcPr>
            <w:tcW w:w="2468" w:type="dxa"/>
          </w:tcPr>
          <w:p w14:paraId="7FF095B8" w14:textId="77777777" w:rsidR="000F7E56" w:rsidRPr="000F7E56" w:rsidRDefault="000F7E56" w:rsidP="000F7E56">
            <w:pPr>
              <w:rPr>
                <w:rFonts w:ascii="Calibri" w:eastAsia="Calibri" w:hAnsi="Calibri" w:cs="Times New Roman"/>
              </w:rPr>
            </w:pPr>
            <w:r w:rsidRPr="000F7E56">
              <w:rPr>
                <w:rFonts w:ascii="Calibri" w:eastAsia="Calibri" w:hAnsi="Calibri" w:cs="Times New Roman"/>
              </w:rPr>
              <w:t>2 &amp; 4</w:t>
            </w:r>
          </w:p>
        </w:tc>
      </w:tr>
      <w:tr w:rsidR="000F7E56" w:rsidRPr="000F7E56" w14:paraId="352183FB" w14:textId="77777777" w:rsidTr="000F7E56">
        <w:tc>
          <w:tcPr>
            <w:tcW w:w="2365" w:type="dxa"/>
          </w:tcPr>
          <w:p w14:paraId="3853A6D6" w14:textId="77777777" w:rsidR="000F7E56" w:rsidRPr="000F7E56" w:rsidRDefault="000F7E56" w:rsidP="000F7E56">
            <w:pPr>
              <w:rPr>
                <w:rFonts w:ascii="Calibri" w:eastAsia="Calibri" w:hAnsi="Calibri" w:cs="Times New Roman"/>
              </w:rPr>
            </w:pPr>
            <w:r w:rsidRPr="000F7E56">
              <w:rPr>
                <w:rFonts w:ascii="Calibri" w:eastAsia="Calibri" w:hAnsi="Calibri" w:cs="Times New Roman"/>
              </w:rPr>
              <w:t>Community or Faith Leaders</w:t>
            </w:r>
          </w:p>
        </w:tc>
        <w:tc>
          <w:tcPr>
            <w:tcW w:w="1966" w:type="dxa"/>
          </w:tcPr>
          <w:p w14:paraId="7C342D37" w14:textId="77777777" w:rsidR="000F7E56" w:rsidRPr="000F7E56" w:rsidRDefault="000F7E56" w:rsidP="000F7E56">
            <w:pPr>
              <w:rPr>
                <w:rFonts w:ascii="Calibri" w:eastAsia="Calibri" w:hAnsi="Calibri" w:cs="Times New Roman"/>
              </w:rPr>
            </w:pPr>
            <w:r w:rsidRPr="000F7E56">
              <w:rPr>
                <w:rFonts w:ascii="Calibri" w:eastAsia="Calibri" w:hAnsi="Calibri" w:cs="Times New Roman"/>
              </w:rPr>
              <w:t>3</w:t>
            </w:r>
          </w:p>
        </w:tc>
        <w:tc>
          <w:tcPr>
            <w:tcW w:w="2468" w:type="dxa"/>
          </w:tcPr>
          <w:p w14:paraId="78B79023" w14:textId="77777777" w:rsidR="000F7E56" w:rsidRPr="000F7E56" w:rsidRDefault="000F7E56" w:rsidP="000F7E56">
            <w:pPr>
              <w:rPr>
                <w:rFonts w:ascii="Calibri" w:eastAsia="Calibri" w:hAnsi="Calibri" w:cs="Times New Roman"/>
              </w:rPr>
            </w:pPr>
            <w:r w:rsidRPr="000F7E56">
              <w:rPr>
                <w:rFonts w:ascii="Calibri" w:eastAsia="Calibri" w:hAnsi="Calibri" w:cs="Times New Roman"/>
              </w:rPr>
              <w:t>3, 4, 6,7,</w:t>
            </w:r>
          </w:p>
        </w:tc>
      </w:tr>
      <w:tr w:rsidR="000F7E56" w:rsidRPr="000F7E56" w14:paraId="17AC05E3" w14:textId="77777777" w:rsidTr="000F7E56">
        <w:tc>
          <w:tcPr>
            <w:tcW w:w="2365" w:type="dxa"/>
          </w:tcPr>
          <w:p w14:paraId="61D0F1FF" w14:textId="77777777" w:rsidR="000F7E56" w:rsidRPr="000F7E56" w:rsidRDefault="000F7E56" w:rsidP="000F7E56">
            <w:pPr>
              <w:rPr>
                <w:rFonts w:ascii="Calibri" w:eastAsia="Calibri" w:hAnsi="Calibri" w:cs="Times New Roman"/>
              </w:rPr>
            </w:pPr>
            <w:r w:rsidRPr="000F7E56">
              <w:rPr>
                <w:rFonts w:ascii="Calibri" w:eastAsia="Calibri" w:hAnsi="Calibri" w:cs="Times New Roman"/>
              </w:rPr>
              <w:t>Academic</w:t>
            </w:r>
          </w:p>
        </w:tc>
        <w:tc>
          <w:tcPr>
            <w:tcW w:w="1966" w:type="dxa"/>
          </w:tcPr>
          <w:p w14:paraId="27E0BE39" w14:textId="77777777" w:rsidR="000F7E56" w:rsidRPr="000F7E56" w:rsidRDefault="000F7E56" w:rsidP="000F7E56">
            <w:pPr>
              <w:rPr>
                <w:rFonts w:ascii="Calibri" w:eastAsia="Calibri" w:hAnsi="Calibri" w:cs="Times New Roman"/>
              </w:rPr>
            </w:pPr>
            <w:r w:rsidRPr="000F7E56">
              <w:rPr>
                <w:rFonts w:ascii="Calibri" w:eastAsia="Calibri" w:hAnsi="Calibri" w:cs="Times New Roman"/>
              </w:rPr>
              <w:t>4</w:t>
            </w:r>
          </w:p>
        </w:tc>
        <w:tc>
          <w:tcPr>
            <w:tcW w:w="2468" w:type="dxa"/>
          </w:tcPr>
          <w:p w14:paraId="73EE4A79" w14:textId="77777777" w:rsidR="000F7E56" w:rsidRPr="000F7E56" w:rsidRDefault="000F7E56" w:rsidP="000F7E56">
            <w:pPr>
              <w:rPr>
                <w:rFonts w:ascii="Calibri" w:eastAsia="Calibri" w:hAnsi="Calibri" w:cs="Times New Roman"/>
              </w:rPr>
            </w:pPr>
            <w:r w:rsidRPr="000F7E56">
              <w:rPr>
                <w:rFonts w:ascii="Calibri" w:eastAsia="Calibri" w:hAnsi="Calibri" w:cs="Times New Roman"/>
              </w:rPr>
              <w:t>1,3,4,6,7</w:t>
            </w:r>
          </w:p>
        </w:tc>
      </w:tr>
      <w:tr w:rsidR="000F7E56" w:rsidRPr="000F7E56" w14:paraId="3A1C2D10" w14:textId="77777777" w:rsidTr="000F7E56">
        <w:tc>
          <w:tcPr>
            <w:tcW w:w="2365" w:type="dxa"/>
          </w:tcPr>
          <w:p w14:paraId="3D6A87BE" w14:textId="77777777" w:rsidR="000F7E56" w:rsidRPr="000F7E56" w:rsidRDefault="000F7E56" w:rsidP="000F7E56">
            <w:pPr>
              <w:rPr>
                <w:rFonts w:ascii="Calibri" w:eastAsia="Calibri" w:hAnsi="Calibri" w:cs="Times New Roman"/>
              </w:rPr>
            </w:pPr>
            <w:r w:rsidRPr="000F7E56">
              <w:rPr>
                <w:rFonts w:ascii="Calibri" w:eastAsia="Calibri" w:hAnsi="Calibri" w:cs="Times New Roman"/>
              </w:rPr>
              <w:t>HCPs</w:t>
            </w:r>
          </w:p>
        </w:tc>
        <w:tc>
          <w:tcPr>
            <w:tcW w:w="1966" w:type="dxa"/>
          </w:tcPr>
          <w:p w14:paraId="3AE6594B" w14:textId="77777777" w:rsidR="000F7E56" w:rsidRPr="000F7E56" w:rsidRDefault="000F7E56" w:rsidP="000F7E56">
            <w:pPr>
              <w:rPr>
                <w:rFonts w:ascii="Calibri" w:eastAsia="Calibri" w:hAnsi="Calibri" w:cs="Times New Roman"/>
              </w:rPr>
            </w:pPr>
            <w:r w:rsidRPr="000F7E56">
              <w:rPr>
                <w:rFonts w:ascii="Calibri" w:eastAsia="Calibri" w:hAnsi="Calibri" w:cs="Times New Roman"/>
              </w:rPr>
              <w:t>0</w:t>
            </w:r>
          </w:p>
        </w:tc>
        <w:tc>
          <w:tcPr>
            <w:tcW w:w="2468" w:type="dxa"/>
          </w:tcPr>
          <w:p w14:paraId="31FC60D9" w14:textId="77777777" w:rsidR="000F7E56" w:rsidRPr="000F7E56" w:rsidRDefault="000F7E56" w:rsidP="000F7E56">
            <w:pPr>
              <w:rPr>
                <w:rFonts w:ascii="Calibri" w:eastAsia="Calibri" w:hAnsi="Calibri" w:cs="Times New Roman"/>
              </w:rPr>
            </w:pPr>
          </w:p>
        </w:tc>
      </w:tr>
      <w:tr w:rsidR="000F7E56" w:rsidRPr="000F7E56" w14:paraId="2474F968" w14:textId="77777777" w:rsidTr="000F7E56">
        <w:tc>
          <w:tcPr>
            <w:tcW w:w="2365" w:type="dxa"/>
          </w:tcPr>
          <w:p w14:paraId="65F99C8C" w14:textId="77777777" w:rsidR="000F7E56" w:rsidRPr="000F7E56" w:rsidRDefault="000F7E56" w:rsidP="000F7E56">
            <w:pPr>
              <w:rPr>
                <w:rFonts w:ascii="Calibri" w:eastAsia="Calibri" w:hAnsi="Calibri" w:cs="Times New Roman"/>
              </w:rPr>
            </w:pPr>
            <w:r w:rsidRPr="000F7E56">
              <w:rPr>
                <w:rFonts w:ascii="Calibri" w:eastAsia="Calibri" w:hAnsi="Calibri" w:cs="Times New Roman"/>
              </w:rPr>
              <w:t>Educators</w:t>
            </w:r>
          </w:p>
        </w:tc>
        <w:tc>
          <w:tcPr>
            <w:tcW w:w="1966" w:type="dxa"/>
          </w:tcPr>
          <w:p w14:paraId="33F7899E" w14:textId="77777777" w:rsidR="000F7E56" w:rsidRPr="000F7E56" w:rsidRDefault="000F7E56" w:rsidP="000F7E56">
            <w:pPr>
              <w:rPr>
                <w:rFonts w:ascii="Calibri" w:eastAsia="Calibri" w:hAnsi="Calibri" w:cs="Times New Roman"/>
              </w:rPr>
            </w:pPr>
            <w:r w:rsidRPr="000F7E56">
              <w:rPr>
                <w:rFonts w:ascii="Calibri" w:eastAsia="Calibri" w:hAnsi="Calibri" w:cs="Times New Roman"/>
              </w:rPr>
              <w:t>0</w:t>
            </w:r>
          </w:p>
        </w:tc>
        <w:tc>
          <w:tcPr>
            <w:tcW w:w="2468" w:type="dxa"/>
          </w:tcPr>
          <w:p w14:paraId="3A67354F" w14:textId="77777777" w:rsidR="000F7E56" w:rsidRPr="000F7E56" w:rsidRDefault="000F7E56" w:rsidP="000F7E56">
            <w:pPr>
              <w:rPr>
                <w:rFonts w:ascii="Calibri" w:eastAsia="Calibri" w:hAnsi="Calibri" w:cs="Times New Roman"/>
              </w:rPr>
            </w:pPr>
          </w:p>
        </w:tc>
      </w:tr>
      <w:tr w:rsidR="000F7E56" w:rsidRPr="000F7E56" w14:paraId="0F345C2F" w14:textId="77777777" w:rsidTr="000F7E56">
        <w:tc>
          <w:tcPr>
            <w:tcW w:w="2365" w:type="dxa"/>
          </w:tcPr>
          <w:p w14:paraId="3690DF3A" w14:textId="77777777" w:rsidR="000F7E56" w:rsidRPr="000F7E56" w:rsidRDefault="000F7E56" w:rsidP="000F7E56">
            <w:pPr>
              <w:rPr>
                <w:rFonts w:ascii="Calibri" w:eastAsia="Calibri" w:hAnsi="Calibri" w:cs="Times New Roman"/>
              </w:rPr>
            </w:pPr>
            <w:r w:rsidRPr="000F7E56">
              <w:rPr>
                <w:rFonts w:ascii="Calibri" w:eastAsia="Calibri" w:hAnsi="Calibri" w:cs="Times New Roman"/>
              </w:rPr>
              <w:t>Total</w:t>
            </w:r>
          </w:p>
        </w:tc>
        <w:tc>
          <w:tcPr>
            <w:tcW w:w="1966" w:type="dxa"/>
          </w:tcPr>
          <w:p w14:paraId="6ED082BE" w14:textId="77777777" w:rsidR="000F7E56" w:rsidRPr="000F7E56" w:rsidRDefault="000F7E56" w:rsidP="000F7E56">
            <w:pPr>
              <w:rPr>
                <w:rFonts w:ascii="Calibri" w:eastAsia="Calibri" w:hAnsi="Calibri" w:cs="Times New Roman"/>
              </w:rPr>
            </w:pPr>
            <w:r w:rsidRPr="000F7E56">
              <w:rPr>
                <w:rFonts w:ascii="Calibri" w:eastAsia="Calibri" w:hAnsi="Calibri" w:cs="Times New Roman"/>
              </w:rPr>
              <w:t>13</w:t>
            </w:r>
          </w:p>
        </w:tc>
        <w:tc>
          <w:tcPr>
            <w:tcW w:w="2468" w:type="dxa"/>
          </w:tcPr>
          <w:p w14:paraId="5034A896" w14:textId="77777777" w:rsidR="000F7E56" w:rsidRPr="000F7E56" w:rsidRDefault="000F7E56" w:rsidP="000F7E56">
            <w:pPr>
              <w:rPr>
                <w:rFonts w:ascii="Calibri" w:eastAsia="Calibri" w:hAnsi="Calibri" w:cs="Times New Roman"/>
              </w:rPr>
            </w:pPr>
          </w:p>
        </w:tc>
      </w:tr>
    </w:tbl>
    <w:p w14:paraId="07F77A1B" w14:textId="1C3BA903" w:rsidR="00514EB4" w:rsidRDefault="00514EB4" w:rsidP="00514EB4">
      <w:pPr>
        <w:pStyle w:val="Caption"/>
      </w:pPr>
      <w:bookmarkStart w:id="344" w:name="_Toc106701072"/>
      <w:r>
        <w:t xml:space="preserve">TABLE </w:t>
      </w:r>
      <w:r w:rsidR="00D74EFC">
        <w:fldChar w:fldCharType="begin"/>
      </w:r>
      <w:r w:rsidR="00D74EFC">
        <w:instrText xml:space="preserve"> SEQ Table \* ARABIC </w:instrText>
      </w:r>
      <w:r w:rsidR="00D74EFC">
        <w:fldChar w:fldCharType="separate"/>
      </w:r>
      <w:r>
        <w:rPr>
          <w:noProof/>
        </w:rPr>
        <w:t>10</w:t>
      </w:r>
      <w:r w:rsidR="00D74EFC">
        <w:rPr>
          <w:noProof/>
        </w:rPr>
        <w:fldChar w:fldCharType="end"/>
      </w:r>
      <w:r>
        <w:t xml:space="preserve"> - Details of Stakeholders completing workbooks</w:t>
      </w:r>
      <w:bookmarkEnd w:id="344"/>
    </w:p>
    <w:p w14:paraId="1DF9F8D5" w14:textId="465D64F9" w:rsidR="000F7E56" w:rsidRPr="000F7E56" w:rsidRDefault="000F7E56" w:rsidP="00D74EFC">
      <w:pPr>
        <w:pStyle w:val="Caption"/>
        <w:rPr>
          <w:rFonts w:ascii="Calibri" w:eastAsia="Calibri" w:hAnsi="Calibri" w:cs="Times New Roman"/>
          <w:lang w:val="en-US"/>
        </w:rPr>
      </w:pPr>
      <w:r w:rsidRPr="000F7E56">
        <w:rPr>
          <w:rFonts w:ascii="Calibri" w:eastAsia="Calibri" w:hAnsi="Calibri" w:cs="Times New Roman"/>
          <w:lang w:val="en-US"/>
        </w:rPr>
        <w:t xml:space="preserve">Participants were asked to consider one or two stories and asked questions around the following key areas: </w:t>
      </w:r>
    </w:p>
    <w:p w14:paraId="19CBD0DB" w14:textId="77777777" w:rsidR="000F7E56" w:rsidRPr="000F7E56" w:rsidRDefault="000F7E56" w:rsidP="000F7E56">
      <w:pPr>
        <w:numPr>
          <w:ilvl w:val="3"/>
          <w:numId w:val="6"/>
        </w:numPr>
        <w:spacing w:after="120" w:line="360" w:lineRule="auto"/>
        <w:ind w:left="426"/>
        <w:contextualSpacing/>
        <w:rPr>
          <w:rFonts w:ascii="Calibri" w:eastAsia="Calibri" w:hAnsi="Calibri" w:cs="Times New Roman"/>
          <w:lang w:val="en-US"/>
        </w:rPr>
      </w:pPr>
      <w:r w:rsidRPr="000F7E56">
        <w:rPr>
          <w:rFonts w:ascii="Calibri" w:eastAsia="Calibri" w:hAnsi="Calibri" w:cs="Times New Roman"/>
          <w:lang w:val="en-US"/>
        </w:rPr>
        <w:t xml:space="preserve">what are the ‘generic’ issues; </w:t>
      </w:r>
    </w:p>
    <w:p w14:paraId="3B18345B" w14:textId="77777777" w:rsidR="000F7E56" w:rsidRPr="000F7E56" w:rsidRDefault="000F7E56" w:rsidP="000F7E56">
      <w:pPr>
        <w:numPr>
          <w:ilvl w:val="3"/>
          <w:numId w:val="6"/>
        </w:numPr>
        <w:spacing w:after="120" w:line="360" w:lineRule="auto"/>
        <w:ind w:left="426"/>
        <w:contextualSpacing/>
        <w:rPr>
          <w:rFonts w:ascii="Calibri" w:eastAsia="Calibri" w:hAnsi="Calibri" w:cs="Times New Roman"/>
          <w:lang w:val="en-US"/>
        </w:rPr>
      </w:pPr>
      <w:r w:rsidRPr="000F7E56">
        <w:rPr>
          <w:rFonts w:ascii="Calibri" w:eastAsia="Calibri" w:hAnsi="Calibri" w:cs="Times New Roman"/>
          <w:lang w:val="en-US"/>
        </w:rPr>
        <w:t xml:space="preserve">are there any specific issues related to ethnicity, culture or faith; </w:t>
      </w:r>
    </w:p>
    <w:p w14:paraId="2A9D55E3" w14:textId="77777777" w:rsidR="000F7E56" w:rsidRPr="000F7E56" w:rsidRDefault="000F7E56" w:rsidP="000F7E56">
      <w:pPr>
        <w:numPr>
          <w:ilvl w:val="3"/>
          <w:numId w:val="6"/>
        </w:numPr>
        <w:spacing w:after="120" w:line="360" w:lineRule="auto"/>
        <w:ind w:left="426"/>
        <w:contextualSpacing/>
        <w:rPr>
          <w:rFonts w:ascii="Calibri" w:eastAsia="Calibri" w:hAnsi="Calibri" w:cs="Times New Roman"/>
          <w:lang w:val="en-US"/>
        </w:rPr>
      </w:pPr>
      <w:r w:rsidRPr="000F7E56">
        <w:rPr>
          <w:rFonts w:ascii="Calibri" w:eastAsia="Calibri" w:hAnsi="Calibri" w:cs="Times New Roman"/>
          <w:lang w:val="en-US"/>
        </w:rPr>
        <w:t xml:space="preserve">how does an ethnically </w:t>
      </w:r>
      <w:proofErr w:type="spellStart"/>
      <w:r w:rsidRPr="000F7E56">
        <w:rPr>
          <w:rFonts w:ascii="Calibri" w:eastAsia="Calibri" w:hAnsi="Calibri" w:cs="Times New Roman"/>
          <w:lang w:val="en-US"/>
        </w:rPr>
        <w:t>minoritised</w:t>
      </w:r>
      <w:proofErr w:type="spellEnd"/>
      <w:r w:rsidRPr="000F7E56">
        <w:rPr>
          <w:rFonts w:ascii="Calibri" w:eastAsia="Calibri" w:hAnsi="Calibri" w:cs="Times New Roman"/>
          <w:lang w:val="en-US"/>
        </w:rPr>
        <w:t xml:space="preserve"> background overlay/increase complexity of the generic issues; </w:t>
      </w:r>
    </w:p>
    <w:p w14:paraId="70F49C3C" w14:textId="77777777" w:rsidR="000F7E56" w:rsidRPr="000F7E56" w:rsidRDefault="000F7E56" w:rsidP="000F7E56">
      <w:pPr>
        <w:numPr>
          <w:ilvl w:val="3"/>
          <w:numId w:val="6"/>
        </w:numPr>
        <w:spacing w:after="120" w:line="360" w:lineRule="auto"/>
        <w:ind w:left="426"/>
        <w:contextualSpacing/>
        <w:rPr>
          <w:rFonts w:ascii="Calibri" w:eastAsia="Calibri" w:hAnsi="Calibri" w:cs="Times New Roman"/>
          <w:sz w:val="24"/>
          <w:szCs w:val="24"/>
          <w:lang w:val="en-US"/>
        </w:rPr>
      </w:pPr>
      <w:r w:rsidRPr="000F7E56">
        <w:rPr>
          <w:rFonts w:ascii="Calibri" w:eastAsia="Calibri" w:hAnsi="Calibri" w:cs="Times New Roman"/>
          <w:lang w:val="en-US"/>
        </w:rPr>
        <w:t>how can professionals effectively engage with patients and families in EOLCP discussions in the cross-cultural context?</w:t>
      </w:r>
    </w:p>
    <w:p w14:paraId="731AA188" w14:textId="77777777" w:rsidR="000F7E56" w:rsidRPr="000F7E56" w:rsidRDefault="000F7E56" w:rsidP="000F7E56">
      <w:pPr>
        <w:spacing w:after="120" w:line="360" w:lineRule="auto"/>
        <w:rPr>
          <w:rFonts w:ascii="Calibri" w:eastAsia="Calibri" w:hAnsi="Calibri" w:cs="Times New Roman"/>
          <w:lang w:val="en-US"/>
        </w:rPr>
      </w:pPr>
    </w:p>
    <w:p w14:paraId="5FB3C26F" w14:textId="77777777" w:rsidR="000F7E56" w:rsidRPr="000F7E56" w:rsidRDefault="000F7E56" w:rsidP="000F7E56">
      <w:pPr>
        <w:spacing w:after="120" w:line="360" w:lineRule="auto"/>
        <w:rPr>
          <w:rFonts w:ascii="Calibri" w:eastAsia="Calibri" w:hAnsi="Calibri" w:cs="Times New Roman"/>
          <w:lang w:val="en-US"/>
        </w:rPr>
      </w:pPr>
      <w:r w:rsidRPr="000F7E56">
        <w:rPr>
          <w:rFonts w:ascii="Calibri" w:eastAsia="Calibri" w:hAnsi="Calibri" w:cs="Times New Roman"/>
          <w:lang w:val="en-US"/>
        </w:rPr>
        <w:t xml:space="preserve">Stakeholders were also asked to discuss key themes presented in the stories. This included but was not limited to: </w:t>
      </w:r>
    </w:p>
    <w:p w14:paraId="0E37090C" w14:textId="77777777" w:rsidR="000F7E56" w:rsidRPr="000F7E56" w:rsidRDefault="000F7E56" w:rsidP="000F7E56">
      <w:pPr>
        <w:numPr>
          <w:ilvl w:val="0"/>
          <w:numId w:val="6"/>
        </w:numPr>
        <w:spacing w:after="120" w:line="360" w:lineRule="auto"/>
        <w:contextualSpacing/>
        <w:rPr>
          <w:rFonts w:ascii="Calibri" w:eastAsia="Calibri" w:hAnsi="Calibri" w:cs="Times New Roman"/>
          <w:lang w:val="en-US"/>
        </w:rPr>
      </w:pPr>
      <w:r w:rsidRPr="000F7E56">
        <w:rPr>
          <w:rFonts w:ascii="Calibri" w:eastAsia="Calibri" w:hAnsi="Calibri" w:cs="Times New Roman"/>
          <w:lang w:val="en-US"/>
        </w:rPr>
        <w:t xml:space="preserve">trust and mistrust: how do we help HCP develop the skills to gain the patient’s trust?; </w:t>
      </w:r>
    </w:p>
    <w:p w14:paraId="7062DA56" w14:textId="77777777" w:rsidR="000F7E56" w:rsidRPr="000F7E56" w:rsidRDefault="000F7E56" w:rsidP="000F7E56">
      <w:pPr>
        <w:numPr>
          <w:ilvl w:val="0"/>
          <w:numId w:val="6"/>
        </w:numPr>
        <w:spacing w:after="120" w:line="360" w:lineRule="auto"/>
        <w:contextualSpacing/>
        <w:rPr>
          <w:rFonts w:ascii="Calibri" w:eastAsia="Calibri" w:hAnsi="Calibri" w:cs="Times New Roman"/>
          <w:lang w:val="en-US"/>
        </w:rPr>
      </w:pPr>
      <w:r w:rsidRPr="000F7E56">
        <w:rPr>
          <w:rFonts w:ascii="Calibri" w:eastAsia="Calibri" w:hAnsi="Calibri" w:cs="Times New Roman"/>
          <w:lang w:val="en-US"/>
        </w:rPr>
        <w:t xml:space="preserve">talking about dying: how do we help HCP learn how to explore state of readiness and acceptability of having EOL discussions?; </w:t>
      </w:r>
    </w:p>
    <w:p w14:paraId="1B5F124D" w14:textId="77777777" w:rsidR="000F7E56" w:rsidRPr="000F7E56" w:rsidRDefault="000F7E56" w:rsidP="000F7E56">
      <w:pPr>
        <w:numPr>
          <w:ilvl w:val="0"/>
          <w:numId w:val="6"/>
        </w:numPr>
        <w:spacing w:after="120" w:line="360" w:lineRule="auto"/>
        <w:contextualSpacing/>
        <w:rPr>
          <w:rFonts w:ascii="Calibri" w:eastAsia="Calibri" w:hAnsi="Calibri" w:cs="Times New Roman"/>
          <w:lang w:val="en-US"/>
        </w:rPr>
      </w:pPr>
      <w:r w:rsidRPr="000F7E56">
        <w:rPr>
          <w:rFonts w:ascii="Calibri" w:eastAsia="Calibri" w:hAnsi="Calibri" w:cs="Times New Roman"/>
          <w:lang w:val="en-US"/>
        </w:rPr>
        <w:t xml:space="preserve">being known: how do we equip HCP to ‘get to know’ patients? </w:t>
      </w:r>
    </w:p>
    <w:p w14:paraId="294DCD98" w14:textId="77777777" w:rsidR="000F7E56" w:rsidRPr="000F7E56" w:rsidRDefault="000F7E56" w:rsidP="000F7E56">
      <w:pPr>
        <w:spacing w:line="360" w:lineRule="auto"/>
        <w:ind w:left="48"/>
        <w:jc w:val="both"/>
        <w:rPr>
          <w:rFonts w:ascii="Calibri" w:eastAsia="Calibri" w:hAnsi="Calibri" w:cs="Times New Roman"/>
          <w:lang w:val="en-US"/>
        </w:rPr>
      </w:pPr>
    </w:p>
    <w:p w14:paraId="28D50DD9" w14:textId="77777777" w:rsidR="000F7E56" w:rsidRPr="000F7E56" w:rsidRDefault="000F7E56" w:rsidP="000F7E56">
      <w:pPr>
        <w:spacing w:line="360" w:lineRule="auto"/>
        <w:rPr>
          <w:rFonts w:ascii="Calibri" w:eastAsia="Calibri" w:hAnsi="Calibri" w:cs="Times New Roman"/>
          <w:b/>
          <w:lang w:val="en-US"/>
        </w:rPr>
        <w:sectPr w:rsidR="000F7E56" w:rsidRPr="000F7E56" w:rsidSect="000F7E56">
          <w:headerReference w:type="default" r:id="rId27"/>
          <w:footerReference w:type="default" r:id="rId28"/>
          <w:pgSz w:w="11906" w:h="16838"/>
          <w:pgMar w:top="1440" w:right="1440" w:bottom="1440" w:left="1440" w:header="708" w:footer="708" w:gutter="0"/>
          <w:cols w:space="708"/>
          <w:docGrid w:linePitch="360"/>
        </w:sectPr>
      </w:pPr>
    </w:p>
    <w:tbl>
      <w:tblPr>
        <w:tblStyle w:val="TableGrid"/>
        <w:tblW w:w="5000" w:type="pct"/>
        <w:tblLook w:val="04A0" w:firstRow="1" w:lastRow="0" w:firstColumn="1" w:lastColumn="0" w:noHBand="0" w:noVBand="1"/>
      </w:tblPr>
      <w:tblGrid>
        <w:gridCol w:w="1125"/>
        <w:gridCol w:w="3423"/>
        <w:gridCol w:w="2152"/>
        <w:gridCol w:w="2316"/>
      </w:tblGrid>
      <w:tr w:rsidR="000F7E56" w:rsidRPr="000F7E56" w14:paraId="15DD7F25" w14:textId="77777777" w:rsidTr="0040316A">
        <w:tc>
          <w:tcPr>
            <w:tcW w:w="615" w:type="pct"/>
          </w:tcPr>
          <w:p w14:paraId="1080F834" w14:textId="77777777" w:rsidR="000F7E56" w:rsidRPr="000F7E56" w:rsidRDefault="000F7E56" w:rsidP="000F7E56">
            <w:pPr>
              <w:spacing w:line="360" w:lineRule="auto"/>
              <w:rPr>
                <w:rFonts w:ascii="Calibri" w:eastAsia="Calibri" w:hAnsi="Calibri" w:cs="Times New Roman"/>
                <w:b/>
                <w:lang w:val="en-US"/>
              </w:rPr>
            </w:pPr>
            <w:bookmarkStart w:id="345" w:name="_Toc89967521"/>
            <w:r w:rsidRPr="000F7E56">
              <w:rPr>
                <w:rFonts w:ascii="Calibri" w:eastAsia="Calibri" w:hAnsi="Calibri" w:cs="Times New Roman"/>
                <w:b/>
                <w:lang w:val="en-US"/>
              </w:rPr>
              <w:lastRenderedPageBreak/>
              <w:t xml:space="preserve">Story name </w:t>
            </w:r>
          </w:p>
        </w:tc>
        <w:tc>
          <w:tcPr>
            <w:tcW w:w="1869" w:type="pct"/>
          </w:tcPr>
          <w:p w14:paraId="3EBEA979" w14:textId="77777777" w:rsidR="000F7E56" w:rsidRPr="000F7E56" w:rsidRDefault="000F7E56" w:rsidP="000F7E56">
            <w:pPr>
              <w:spacing w:line="360" w:lineRule="auto"/>
              <w:rPr>
                <w:rFonts w:ascii="Calibri" w:eastAsia="Calibri" w:hAnsi="Calibri" w:cs="Times New Roman"/>
                <w:b/>
                <w:lang w:val="en-US"/>
              </w:rPr>
            </w:pPr>
            <w:r w:rsidRPr="000F7E56">
              <w:rPr>
                <w:rFonts w:ascii="Calibri" w:eastAsia="Calibri" w:hAnsi="Calibri" w:cs="Times New Roman"/>
                <w:b/>
                <w:lang w:val="en-US"/>
              </w:rPr>
              <w:t>Generic themes</w:t>
            </w:r>
          </w:p>
        </w:tc>
        <w:tc>
          <w:tcPr>
            <w:tcW w:w="1174" w:type="pct"/>
          </w:tcPr>
          <w:p w14:paraId="337864D8" w14:textId="77777777" w:rsidR="000F7E56" w:rsidRPr="000F7E56" w:rsidRDefault="000F7E56" w:rsidP="000F7E56">
            <w:pPr>
              <w:spacing w:line="360" w:lineRule="auto"/>
              <w:rPr>
                <w:rFonts w:ascii="Calibri" w:eastAsia="Calibri" w:hAnsi="Calibri" w:cs="Times New Roman"/>
                <w:b/>
                <w:lang w:val="en-US"/>
              </w:rPr>
            </w:pPr>
            <w:r w:rsidRPr="000F7E56">
              <w:rPr>
                <w:rFonts w:ascii="Calibri" w:eastAsia="Calibri" w:hAnsi="Calibri" w:cs="Times New Roman"/>
                <w:b/>
                <w:lang w:val="en-US"/>
              </w:rPr>
              <w:t>Ethnically diverse themes</w:t>
            </w:r>
          </w:p>
        </w:tc>
        <w:tc>
          <w:tcPr>
            <w:tcW w:w="1342" w:type="pct"/>
          </w:tcPr>
          <w:p w14:paraId="2CC17CCD" w14:textId="77777777" w:rsidR="000F7E56" w:rsidRPr="000F7E56" w:rsidRDefault="000F7E56" w:rsidP="000F7E56">
            <w:pPr>
              <w:spacing w:line="360" w:lineRule="auto"/>
              <w:rPr>
                <w:rFonts w:ascii="Calibri" w:eastAsia="Calibri" w:hAnsi="Calibri" w:cs="Times New Roman"/>
                <w:b/>
                <w:lang w:val="en-US"/>
              </w:rPr>
            </w:pPr>
            <w:r w:rsidRPr="000F7E56">
              <w:rPr>
                <w:rFonts w:ascii="Calibri" w:eastAsia="Calibri" w:hAnsi="Calibri" w:cs="Times New Roman"/>
                <w:b/>
                <w:lang w:val="en-US"/>
              </w:rPr>
              <w:t>Other themes/keywords</w:t>
            </w:r>
          </w:p>
        </w:tc>
      </w:tr>
      <w:tr w:rsidR="000F7E56" w:rsidRPr="000F7E56" w14:paraId="04779429" w14:textId="77777777" w:rsidTr="0040316A">
        <w:tc>
          <w:tcPr>
            <w:tcW w:w="615" w:type="pct"/>
          </w:tcPr>
          <w:p w14:paraId="6D636A88" w14:textId="77777777" w:rsidR="000F7E56" w:rsidRPr="000F7E56" w:rsidRDefault="000F7E56" w:rsidP="000F7E56">
            <w:pPr>
              <w:rPr>
                <w:rFonts w:ascii="Calibri" w:eastAsia="Calibri" w:hAnsi="Calibri" w:cs="Times New Roman"/>
                <w:lang w:val="en-US"/>
              </w:rPr>
            </w:pPr>
            <w:r w:rsidRPr="000F7E56">
              <w:rPr>
                <w:rFonts w:ascii="Calibri" w:eastAsia="Calibri" w:hAnsi="Calibri" w:cs="Times New Roman"/>
                <w:lang w:val="en-US"/>
              </w:rPr>
              <w:t>Story 1: Jay (Patient)</w:t>
            </w:r>
          </w:p>
        </w:tc>
        <w:tc>
          <w:tcPr>
            <w:tcW w:w="1869" w:type="pct"/>
          </w:tcPr>
          <w:p w14:paraId="19FAD72C" w14:textId="77777777" w:rsidR="000F7E56" w:rsidRPr="000F7E56" w:rsidRDefault="000F7E56" w:rsidP="000F7E56">
            <w:pPr>
              <w:rPr>
                <w:rFonts w:ascii="Calibri" w:eastAsia="Calibri" w:hAnsi="Calibri" w:cs="Times New Roman"/>
                <w:lang w:val="en-US"/>
              </w:rPr>
            </w:pPr>
            <w:r w:rsidRPr="000F7E56">
              <w:rPr>
                <w:rFonts w:ascii="Calibri" w:eastAsia="Calibri" w:hAnsi="Calibri" w:cs="Times New Roman"/>
                <w:lang w:val="en-US"/>
              </w:rPr>
              <w:t>It’s not the right time yet</w:t>
            </w:r>
          </w:p>
          <w:p w14:paraId="471D7EE3" w14:textId="77777777" w:rsidR="000F7E56" w:rsidRPr="000F7E56" w:rsidRDefault="000F7E56" w:rsidP="000F7E56">
            <w:pPr>
              <w:rPr>
                <w:rFonts w:ascii="Calibri" w:eastAsia="Calibri" w:hAnsi="Calibri" w:cs="Times New Roman"/>
                <w:lang w:val="en-US"/>
              </w:rPr>
            </w:pPr>
          </w:p>
          <w:p w14:paraId="5199A461" w14:textId="77777777" w:rsidR="000F7E56" w:rsidRPr="000F7E56" w:rsidRDefault="000F7E56" w:rsidP="000F7E56">
            <w:pPr>
              <w:rPr>
                <w:rFonts w:ascii="Calibri" w:eastAsia="Calibri" w:hAnsi="Calibri" w:cs="Times New Roman"/>
                <w:lang w:val="en-US"/>
              </w:rPr>
            </w:pPr>
            <w:r w:rsidRPr="000F7E56">
              <w:rPr>
                <w:rFonts w:ascii="Calibri" w:eastAsia="Calibri" w:hAnsi="Calibri" w:cs="Times New Roman"/>
                <w:lang w:val="en-US"/>
              </w:rPr>
              <w:t>The future is not in my hands</w:t>
            </w:r>
          </w:p>
          <w:p w14:paraId="0E43F5E2" w14:textId="77777777" w:rsidR="000F7E56" w:rsidRPr="000F7E56" w:rsidRDefault="000F7E56" w:rsidP="000F7E56">
            <w:pPr>
              <w:rPr>
                <w:rFonts w:ascii="Calibri" w:eastAsia="Calibri" w:hAnsi="Calibri" w:cs="Times New Roman"/>
                <w:lang w:val="en-US"/>
              </w:rPr>
            </w:pPr>
          </w:p>
          <w:p w14:paraId="603C8E01" w14:textId="77777777" w:rsidR="000F7E56" w:rsidRPr="000F7E56" w:rsidRDefault="000F7E56" w:rsidP="000F7E56">
            <w:pPr>
              <w:rPr>
                <w:rFonts w:ascii="Calibri" w:eastAsia="Calibri" w:hAnsi="Calibri" w:cs="Times New Roman"/>
                <w:lang w:val="en-US"/>
              </w:rPr>
            </w:pPr>
            <w:r w:rsidRPr="000F7E56">
              <w:rPr>
                <w:rFonts w:ascii="Calibri" w:eastAsia="Calibri" w:hAnsi="Calibri" w:cs="Times New Roman"/>
                <w:lang w:val="en-US"/>
              </w:rPr>
              <w:t>I don’t want to think about that</w:t>
            </w:r>
          </w:p>
          <w:p w14:paraId="0E20B154" w14:textId="77777777" w:rsidR="000F7E56" w:rsidRPr="000F7E56" w:rsidRDefault="000F7E56" w:rsidP="000F7E56">
            <w:pPr>
              <w:rPr>
                <w:rFonts w:ascii="Calibri" w:eastAsia="Calibri" w:hAnsi="Calibri" w:cs="Times New Roman"/>
                <w:lang w:val="en-US"/>
              </w:rPr>
            </w:pPr>
          </w:p>
          <w:p w14:paraId="173FABC0" w14:textId="77777777" w:rsidR="000F7E56" w:rsidRPr="000F7E56" w:rsidRDefault="000F7E56" w:rsidP="000F7E56">
            <w:pPr>
              <w:rPr>
                <w:rFonts w:ascii="Calibri" w:eastAsia="Calibri" w:hAnsi="Calibri" w:cs="Times New Roman"/>
                <w:lang w:val="en-US"/>
              </w:rPr>
            </w:pPr>
            <w:r w:rsidRPr="000F7E56">
              <w:rPr>
                <w:rFonts w:ascii="Calibri" w:eastAsia="Calibri" w:hAnsi="Calibri" w:cs="Times New Roman"/>
                <w:lang w:val="en-US"/>
              </w:rPr>
              <w:t>Fear of deterioration</w:t>
            </w:r>
          </w:p>
          <w:p w14:paraId="00AC9C20" w14:textId="77777777" w:rsidR="000F7E56" w:rsidRPr="000F7E56" w:rsidRDefault="000F7E56" w:rsidP="000F7E56">
            <w:pPr>
              <w:rPr>
                <w:rFonts w:ascii="Calibri" w:eastAsia="Calibri" w:hAnsi="Calibri" w:cs="Times New Roman"/>
                <w:lang w:val="en-US"/>
              </w:rPr>
            </w:pPr>
          </w:p>
          <w:p w14:paraId="78EE3404" w14:textId="77777777" w:rsidR="000F7E56" w:rsidRPr="000F7E56" w:rsidRDefault="000F7E56" w:rsidP="000F7E56">
            <w:pPr>
              <w:rPr>
                <w:rFonts w:ascii="Calibri" w:eastAsia="Calibri" w:hAnsi="Calibri" w:cs="Times New Roman"/>
                <w:lang w:val="en-US"/>
              </w:rPr>
            </w:pPr>
            <w:r w:rsidRPr="000F7E56">
              <w:rPr>
                <w:rFonts w:ascii="Calibri" w:eastAsia="Calibri" w:hAnsi="Calibri" w:cs="Times New Roman"/>
                <w:lang w:val="en-US"/>
              </w:rPr>
              <w:t>Maintenance of hope</w:t>
            </w:r>
          </w:p>
        </w:tc>
        <w:tc>
          <w:tcPr>
            <w:tcW w:w="1174" w:type="pct"/>
          </w:tcPr>
          <w:p w14:paraId="654E66BA" w14:textId="77777777" w:rsidR="000F7E56" w:rsidRPr="000F7E56" w:rsidRDefault="000F7E56" w:rsidP="000F7E56">
            <w:pPr>
              <w:rPr>
                <w:rFonts w:ascii="Calibri" w:eastAsia="Calibri" w:hAnsi="Calibri" w:cs="Times New Roman"/>
                <w:lang w:val="en-US"/>
              </w:rPr>
            </w:pPr>
            <w:r w:rsidRPr="000F7E56">
              <w:rPr>
                <w:rFonts w:ascii="Calibri" w:eastAsia="Calibri" w:hAnsi="Calibri" w:cs="Times New Roman"/>
                <w:lang w:val="en-US"/>
              </w:rPr>
              <w:t>Activist</w:t>
            </w:r>
          </w:p>
          <w:p w14:paraId="0BC7DAE5" w14:textId="77777777" w:rsidR="000F7E56" w:rsidRPr="000F7E56" w:rsidRDefault="000F7E56" w:rsidP="000F7E56">
            <w:pPr>
              <w:rPr>
                <w:rFonts w:ascii="Calibri" w:eastAsia="Calibri" w:hAnsi="Calibri" w:cs="Times New Roman"/>
                <w:lang w:val="en-US"/>
              </w:rPr>
            </w:pPr>
            <w:r w:rsidRPr="000F7E56">
              <w:rPr>
                <w:rFonts w:ascii="Calibri" w:eastAsia="Calibri" w:hAnsi="Calibri" w:cs="Times New Roman"/>
                <w:lang w:val="en-US"/>
              </w:rPr>
              <w:t>Multiple family deaths</w:t>
            </w:r>
          </w:p>
          <w:p w14:paraId="0D253732" w14:textId="77777777" w:rsidR="000F7E56" w:rsidRPr="000F7E56" w:rsidRDefault="000F7E56" w:rsidP="000F7E56">
            <w:pPr>
              <w:rPr>
                <w:rFonts w:ascii="Calibri" w:eastAsia="Calibri" w:hAnsi="Calibri" w:cs="Times New Roman"/>
                <w:lang w:val="en-US"/>
              </w:rPr>
            </w:pPr>
            <w:r w:rsidRPr="000F7E56">
              <w:rPr>
                <w:rFonts w:ascii="Calibri" w:eastAsia="Calibri" w:hAnsi="Calibri" w:cs="Times New Roman"/>
                <w:lang w:val="en-US"/>
              </w:rPr>
              <w:t>Delayed diagnosis</w:t>
            </w:r>
          </w:p>
          <w:p w14:paraId="67C32EE3" w14:textId="77777777" w:rsidR="000F7E56" w:rsidRPr="000F7E56" w:rsidRDefault="000F7E56" w:rsidP="000F7E56">
            <w:pPr>
              <w:rPr>
                <w:rFonts w:ascii="Calibri" w:eastAsia="Calibri" w:hAnsi="Calibri" w:cs="Times New Roman"/>
                <w:lang w:val="en-US"/>
              </w:rPr>
            </w:pPr>
            <w:r w:rsidRPr="000F7E56">
              <w:rPr>
                <w:rFonts w:ascii="Calibri" w:eastAsia="Calibri" w:hAnsi="Calibri" w:cs="Times New Roman"/>
                <w:lang w:val="en-US"/>
              </w:rPr>
              <w:t>Mistrust of health systems: have to fight to get help/equality</w:t>
            </w:r>
          </w:p>
          <w:p w14:paraId="45EA9D5F" w14:textId="77777777" w:rsidR="000F7E56" w:rsidRPr="000F7E56" w:rsidRDefault="000F7E56" w:rsidP="000F7E56">
            <w:pPr>
              <w:rPr>
                <w:rFonts w:ascii="Calibri" w:eastAsia="Calibri" w:hAnsi="Calibri" w:cs="Times New Roman"/>
                <w:lang w:val="en-US"/>
              </w:rPr>
            </w:pPr>
            <w:r w:rsidRPr="000F7E56">
              <w:rPr>
                <w:rFonts w:ascii="Calibri" w:eastAsia="Calibri" w:hAnsi="Calibri" w:cs="Times New Roman"/>
                <w:lang w:val="en-US"/>
              </w:rPr>
              <w:t>Faith based approach to future: Miracles will happen</w:t>
            </w:r>
          </w:p>
          <w:p w14:paraId="54A4165C" w14:textId="77777777" w:rsidR="000F7E56" w:rsidRPr="000F7E56" w:rsidRDefault="000F7E56" w:rsidP="000F7E56">
            <w:pPr>
              <w:rPr>
                <w:rFonts w:ascii="Calibri" w:eastAsia="Calibri" w:hAnsi="Calibri" w:cs="Times New Roman"/>
                <w:lang w:val="en-US"/>
              </w:rPr>
            </w:pPr>
            <w:r w:rsidRPr="000F7E56">
              <w:rPr>
                <w:rFonts w:ascii="Calibri" w:eastAsia="Calibri" w:hAnsi="Calibri" w:cs="Times New Roman"/>
                <w:lang w:val="en-US"/>
              </w:rPr>
              <w:t>Role of eldest son</w:t>
            </w:r>
          </w:p>
          <w:p w14:paraId="35FAA0E3" w14:textId="77777777" w:rsidR="000F7E56" w:rsidRPr="000F7E56" w:rsidRDefault="000F7E56" w:rsidP="000F7E56">
            <w:pPr>
              <w:rPr>
                <w:rFonts w:ascii="Calibri" w:eastAsia="Calibri" w:hAnsi="Calibri" w:cs="Times New Roman"/>
                <w:lang w:val="en-US"/>
              </w:rPr>
            </w:pPr>
            <w:r w:rsidRPr="000F7E56">
              <w:rPr>
                <w:rFonts w:ascii="Calibri" w:eastAsia="Calibri" w:hAnsi="Calibri" w:cs="Times New Roman"/>
                <w:lang w:val="en-US"/>
              </w:rPr>
              <w:t>Sense of duty</w:t>
            </w:r>
          </w:p>
        </w:tc>
        <w:tc>
          <w:tcPr>
            <w:tcW w:w="1342" w:type="pct"/>
          </w:tcPr>
          <w:p w14:paraId="6AFAF9A8" w14:textId="77777777" w:rsidR="000F7E56" w:rsidRPr="000F7E56" w:rsidRDefault="000F7E56" w:rsidP="000F7E56">
            <w:pPr>
              <w:rPr>
                <w:rFonts w:ascii="Calibri" w:eastAsia="Calibri" w:hAnsi="Calibri" w:cs="Times New Roman"/>
              </w:rPr>
            </w:pPr>
            <w:r w:rsidRPr="000F7E56">
              <w:rPr>
                <w:rFonts w:ascii="Calibri" w:eastAsia="Calibri" w:hAnsi="Calibri" w:cs="Times New Roman"/>
              </w:rPr>
              <w:t>Formidable</w:t>
            </w:r>
          </w:p>
          <w:p w14:paraId="39489007" w14:textId="77777777" w:rsidR="000F7E56" w:rsidRPr="000F7E56" w:rsidRDefault="000F7E56" w:rsidP="000F7E56">
            <w:pPr>
              <w:rPr>
                <w:rFonts w:ascii="Calibri" w:eastAsia="Calibri" w:hAnsi="Calibri" w:cs="Times New Roman"/>
              </w:rPr>
            </w:pPr>
            <w:r w:rsidRPr="000F7E56">
              <w:rPr>
                <w:rFonts w:ascii="Calibri" w:eastAsia="Calibri" w:hAnsi="Calibri" w:cs="Times New Roman"/>
              </w:rPr>
              <w:t>Intellectual</w:t>
            </w:r>
          </w:p>
          <w:p w14:paraId="2FCA28E5" w14:textId="77777777" w:rsidR="000F7E56" w:rsidRPr="000F7E56" w:rsidRDefault="000F7E56" w:rsidP="000F7E56">
            <w:pPr>
              <w:rPr>
                <w:rFonts w:ascii="Calibri" w:eastAsia="Calibri" w:hAnsi="Calibri" w:cs="Times New Roman"/>
              </w:rPr>
            </w:pPr>
            <w:r w:rsidRPr="000F7E56">
              <w:rPr>
                <w:rFonts w:ascii="Calibri" w:eastAsia="Calibri" w:hAnsi="Calibri" w:cs="Times New Roman"/>
              </w:rPr>
              <w:t>Frightened</w:t>
            </w:r>
          </w:p>
          <w:p w14:paraId="798FB68D" w14:textId="77777777" w:rsidR="000F7E56" w:rsidRPr="000F7E56" w:rsidRDefault="000F7E56" w:rsidP="000F7E56">
            <w:pPr>
              <w:rPr>
                <w:rFonts w:ascii="Calibri" w:eastAsia="Calibri" w:hAnsi="Calibri" w:cs="Times New Roman"/>
              </w:rPr>
            </w:pPr>
            <w:r w:rsidRPr="000F7E56">
              <w:rPr>
                <w:rFonts w:ascii="Calibri" w:eastAsia="Calibri" w:hAnsi="Calibri" w:cs="Times New Roman"/>
              </w:rPr>
              <w:t>Autonomy: strong sense of who he is and what he wants</w:t>
            </w:r>
          </w:p>
          <w:p w14:paraId="195B2581" w14:textId="77777777" w:rsidR="000F7E56" w:rsidRPr="000F7E56" w:rsidRDefault="000F7E56" w:rsidP="000F7E56">
            <w:pPr>
              <w:rPr>
                <w:rFonts w:ascii="Calibri" w:eastAsia="Calibri" w:hAnsi="Calibri" w:cs="Times New Roman"/>
              </w:rPr>
            </w:pPr>
            <w:r w:rsidRPr="000F7E56">
              <w:rPr>
                <w:rFonts w:ascii="Calibri" w:eastAsia="Calibri" w:hAnsi="Calibri" w:cs="Times New Roman"/>
              </w:rPr>
              <w:t>State of readiness</w:t>
            </w:r>
          </w:p>
          <w:p w14:paraId="58BA7717" w14:textId="77777777" w:rsidR="000F7E56" w:rsidRPr="000F7E56" w:rsidRDefault="000F7E56" w:rsidP="000F7E56">
            <w:pPr>
              <w:rPr>
                <w:rFonts w:ascii="Calibri" w:eastAsia="Calibri" w:hAnsi="Calibri" w:cs="Times New Roman"/>
                <w:lang w:val="en-US"/>
              </w:rPr>
            </w:pPr>
          </w:p>
        </w:tc>
      </w:tr>
      <w:tr w:rsidR="000F7E56" w:rsidRPr="000F7E56" w14:paraId="39B810FF" w14:textId="77777777" w:rsidTr="0040316A">
        <w:tc>
          <w:tcPr>
            <w:tcW w:w="615" w:type="pct"/>
          </w:tcPr>
          <w:p w14:paraId="7A7BA476" w14:textId="77777777" w:rsidR="000F7E56" w:rsidRPr="000F7E56" w:rsidRDefault="000F7E56" w:rsidP="000F7E56">
            <w:pPr>
              <w:rPr>
                <w:rFonts w:ascii="Calibri" w:eastAsia="Calibri" w:hAnsi="Calibri" w:cs="Times New Roman"/>
                <w:lang w:val="en-US"/>
              </w:rPr>
            </w:pPr>
            <w:r w:rsidRPr="000F7E56">
              <w:rPr>
                <w:rFonts w:ascii="Calibri" w:eastAsia="Calibri" w:hAnsi="Calibri" w:cs="Times New Roman"/>
                <w:lang w:val="en-US"/>
              </w:rPr>
              <w:t>Story 2: Ibrahim</w:t>
            </w:r>
          </w:p>
          <w:p w14:paraId="74612C37" w14:textId="77777777" w:rsidR="000F7E56" w:rsidRPr="000F7E56" w:rsidRDefault="000F7E56" w:rsidP="000F7E56">
            <w:pPr>
              <w:rPr>
                <w:rFonts w:ascii="Calibri" w:eastAsia="Calibri" w:hAnsi="Calibri" w:cs="Times New Roman"/>
                <w:lang w:val="en-US"/>
              </w:rPr>
            </w:pPr>
            <w:r w:rsidRPr="000F7E56">
              <w:rPr>
                <w:rFonts w:ascii="Calibri" w:eastAsia="Calibri" w:hAnsi="Calibri" w:cs="Times New Roman"/>
                <w:lang w:val="en-US"/>
              </w:rPr>
              <w:t>(Patient)</w:t>
            </w:r>
          </w:p>
        </w:tc>
        <w:tc>
          <w:tcPr>
            <w:tcW w:w="1869" w:type="pct"/>
          </w:tcPr>
          <w:p w14:paraId="4EEA22CE" w14:textId="77777777" w:rsidR="000F7E56" w:rsidRPr="000F7E56" w:rsidRDefault="000F7E56" w:rsidP="000F7E56">
            <w:pPr>
              <w:rPr>
                <w:rFonts w:ascii="Calibri" w:eastAsia="Calibri" w:hAnsi="Calibri" w:cs="Times New Roman"/>
                <w:lang w:val="en-US"/>
              </w:rPr>
            </w:pPr>
            <w:r w:rsidRPr="000F7E56">
              <w:rPr>
                <w:rFonts w:ascii="Calibri" w:eastAsia="Calibri" w:hAnsi="Calibri" w:cs="Times New Roman"/>
                <w:lang w:val="en-US"/>
              </w:rPr>
              <w:t>Resuscitation decision making</w:t>
            </w:r>
          </w:p>
          <w:p w14:paraId="0746172D" w14:textId="77777777" w:rsidR="000F7E56" w:rsidRPr="000F7E56" w:rsidRDefault="000F7E56" w:rsidP="000F7E56">
            <w:pPr>
              <w:rPr>
                <w:rFonts w:ascii="Calibri" w:eastAsia="Calibri" w:hAnsi="Calibri" w:cs="Times New Roman"/>
                <w:lang w:val="en-US"/>
              </w:rPr>
            </w:pPr>
          </w:p>
          <w:p w14:paraId="26F3C0C3" w14:textId="77777777" w:rsidR="000F7E56" w:rsidRPr="000F7E56" w:rsidRDefault="000F7E56" w:rsidP="000F7E56">
            <w:pPr>
              <w:rPr>
                <w:rFonts w:ascii="Calibri" w:eastAsia="Calibri" w:hAnsi="Calibri" w:cs="Times New Roman"/>
                <w:lang w:val="en-US"/>
              </w:rPr>
            </w:pPr>
            <w:r w:rsidRPr="000F7E56">
              <w:rPr>
                <w:rFonts w:ascii="Calibri" w:eastAsia="Calibri" w:hAnsi="Calibri" w:cs="Times New Roman"/>
                <w:lang w:val="en-US"/>
              </w:rPr>
              <w:t>Advanced on-malignant co-morbidities</w:t>
            </w:r>
          </w:p>
        </w:tc>
        <w:tc>
          <w:tcPr>
            <w:tcW w:w="1174" w:type="pct"/>
          </w:tcPr>
          <w:p w14:paraId="7036C125" w14:textId="77777777" w:rsidR="000F7E56" w:rsidRPr="000F7E56" w:rsidRDefault="000F7E56" w:rsidP="000F7E56">
            <w:pPr>
              <w:ind w:left="360"/>
              <w:rPr>
                <w:rFonts w:ascii="Calibri" w:eastAsia="Calibri" w:hAnsi="Calibri" w:cs="Times New Roman"/>
                <w:lang w:val="en-US"/>
              </w:rPr>
            </w:pPr>
          </w:p>
          <w:p w14:paraId="7F9C8D24" w14:textId="77777777" w:rsidR="000F7E56" w:rsidRPr="000F7E56" w:rsidRDefault="000F7E56" w:rsidP="000F7E56">
            <w:pPr>
              <w:rPr>
                <w:rFonts w:ascii="Calibri" w:eastAsia="Calibri" w:hAnsi="Calibri" w:cs="Times New Roman"/>
                <w:lang w:val="en-US"/>
              </w:rPr>
            </w:pPr>
            <w:r w:rsidRPr="000F7E56">
              <w:rPr>
                <w:rFonts w:ascii="Calibri" w:eastAsia="Calibri" w:hAnsi="Calibri" w:cs="Times New Roman"/>
                <w:lang w:val="en-US"/>
              </w:rPr>
              <w:t>Decisions take time to think about</w:t>
            </w:r>
          </w:p>
          <w:p w14:paraId="33DFA314" w14:textId="77777777" w:rsidR="000F7E56" w:rsidRPr="000F7E56" w:rsidRDefault="000F7E56" w:rsidP="000F7E56">
            <w:pPr>
              <w:ind w:left="360"/>
              <w:rPr>
                <w:rFonts w:ascii="Calibri" w:eastAsia="Calibri" w:hAnsi="Calibri" w:cs="Times New Roman"/>
                <w:lang w:val="en-US"/>
              </w:rPr>
            </w:pPr>
          </w:p>
          <w:p w14:paraId="257FF9A1" w14:textId="77777777" w:rsidR="000F7E56" w:rsidRPr="000F7E56" w:rsidRDefault="000F7E56" w:rsidP="000F7E56">
            <w:pPr>
              <w:rPr>
                <w:rFonts w:ascii="Calibri" w:eastAsia="Calibri" w:hAnsi="Calibri" w:cs="Times New Roman"/>
                <w:lang w:val="en-US"/>
              </w:rPr>
            </w:pPr>
            <w:r w:rsidRPr="000F7E56">
              <w:rPr>
                <w:rFonts w:ascii="Calibri" w:eastAsia="Calibri" w:hAnsi="Calibri" w:cs="Times New Roman"/>
                <w:lang w:val="en-US"/>
              </w:rPr>
              <w:t>Duty: to God, to family</w:t>
            </w:r>
          </w:p>
          <w:p w14:paraId="39985447" w14:textId="77777777" w:rsidR="000F7E56" w:rsidRPr="000F7E56" w:rsidRDefault="000F7E56" w:rsidP="000F7E56">
            <w:pPr>
              <w:rPr>
                <w:rFonts w:ascii="Calibri" w:eastAsia="Calibri" w:hAnsi="Calibri" w:cs="Times New Roman"/>
                <w:lang w:val="en-US"/>
              </w:rPr>
            </w:pPr>
          </w:p>
          <w:p w14:paraId="23E609E0" w14:textId="77777777" w:rsidR="000F7E56" w:rsidRPr="000F7E56" w:rsidRDefault="000F7E56" w:rsidP="000F7E56">
            <w:pPr>
              <w:rPr>
                <w:rFonts w:ascii="Calibri" w:eastAsia="Calibri" w:hAnsi="Calibri" w:cs="Times New Roman"/>
                <w:lang w:val="en-US"/>
              </w:rPr>
            </w:pPr>
            <w:r w:rsidRPr="000F7E56">
              <w:rPr>
                <w:rFonts w:ascii="Calibri" w:eastAsia="Calibri" w:hAnsi="Calibri" w:cs="Times New Roman"/>
                <w:lang w:val="en-US"/>
              </w:rPr>
              <w:t>Duty of care by family</w:t>
            </w:r>
          </w:p>
          <w:p w14:paraId="4B15A74C" w14:textId="77777777" w:rsidR="000F7E56" w:rsidRPr="000F7E56" w:rsidRDefault="000F7E56" w:rsidP="000F7E56">
            <w:pPr>
              <w:rPr>
                <w:rFonts w:ascii="Calibri" w:eastAsia="Calibri" w:hAnsi="Calibri" w:cs="Times New Roman"/>
                <w:lang w:val="en-US"/>
              </w:rPr>
            </w:pPr>
          </w:p>
          <w:p w14:paraId="18BFEF0B" w14:textId="77777777" w:rsidR="000F7E56" w:rsidRPr="000F7E56" w:rsidRDefault="000F7E56" w:rsidP="000F7E56">
            <w:pPr>
              <w:rPr>
                <w:rFonts w:ascii="Calibri" w:eastAsia="Calibri" w:hAnsi="Calibri" w:cs="Times New Roman"/>
                <w:lang w:val="en-US"/>
              </w:rPr>
            </w:pPr>
            <w:r w:rsidRPr="000F7E56">
              <w:rPr>
                <w:rFonts w:ascii="Calibri" w:eastAsia="Calibri" w:hAnsi="Calibri" w:cs="Times New Roman"/>
                <w:lang w:val="en-US"/>
              </w:rPr>
              <w:t>Religion and how life is lived.</w:t>
            </w:r>
          </w:p>
          <w:p w14:paraId="16424A12" w14:textId="77777777" w:rsidR="000F7E56" w:rsidRPr="000F7E56" w:rsidRDefault="000F7E56" w:rsidP="000F7E56">
            <w:pPr>
              <w:ind w:left="360"/>
              <w:rPr>
                <w:rFonts w:ascii="Calibri" w:eastAsia="Calibri" w:hAnsi="Calibri" w:cs="Times New Roman"/>
                <w:lang w:val="en-US"/>
              </w:rPr>
            </w:pPr>
          </w:p>
          <w:p w14:paraId="08205C8D" w14:textId="77777777" w:rsidR="000F7E56" w:rsidRPr="000F7E56" w:rsidRDefault="000F7E56" w:rsidP="000F7E56">
            <w:pPr>
              <w:rPr>
                <w:rFonts w:ascii="Calibri" w:eastAsia="Calibri" w:hAnsi="Calibri" w:cs="Times New Roman"/>
                <w:lang w:val="en-US"/>
              </w:rPr>
            </w:pPr>
            <w:r w:rsidRPr="000F7E56">
              <w:rPr>
                <w:rFonts w:ascii="Calibri" w:eastAsia="Calibri" w:hAnsi="Calibri" w:cs="Times New Roman"/>
                <w:lang w:val="en-US"/>
              </w:rPr>
              <w:t xml:space="preserve">Health literacy: Understanding DNACPR </w:t>
            </w:r>
          </w:p>
          <w:p w14:paraId="5C8B2FB0" w14:textId="77777777" w:rsidR="000F7E56" w:rsidRPr="000F7E56" w:rsidRDefault="000F7E56" w:rsidP="000F7E56">
            <w:pPr>
              <w:rPr>
                <w:rFonts w:ascii="Calibri" w:eastAsia="Calibri" w:hAnsi="Calibri" w:cs="Times New Roman"/>
                <w:lang w:val="en-US"/>
              </w:rPr>
            </w:pPr>
          </w:p>
          <w:p w14:paraId="62B1620E" w14:textId="77777777" w:rsidR="000F7E56" w:rsidRPr="000F7E56" w:rsidRDefault="000F7E56" w:rsidP="000F7E56">
            <w:pPr>
              <w:rPr>
                <w:rFonts w:ascii="Calibri" w:eastAsia="Calibri" w:hAnsi="Calibri" w:cs="Times New Roman"/>
                <w:lang w:val="en-US"/>
              </w:rPr>
            </w:pPr>
            <w:r w:rsidRPr="000F7E56">
              <w:rPr>
                <w:rFonts w:ascii="Calibri" w:eastAsia="Calibri" w:hAnsi="Calibri" w:cs="Times New Roman"/>
                <w:lang w:val="en-US"/>
              </w:rPr>
              <w:t>concept/clinical what will happen in his illness/decisions he will face</w:t>
            </w:r>
          </w:p>
          <w:p w14:paraId="4A0B9B3C" w14:textId="77777777" w:rsidR="000F7E56" w:rsidRPr="000F7E56" w:rsidRDefault="000F7E56" w:rsidP="000F7E56">
            <w:pPr>
              <w:ind w:left="360"/>
              <w:rPr>
                <w:rFonts w:ascii="Calibri" w:eastAsia="Calibri" w:hAnsi="Calibri" w:cs="Times New Roman"/>
                <w:lang w:val="en-US"/>
              </w:rPr>
            </w:pPr>
          </w:p>
          <w:p w14:paraId="3A4F3912" w14:textId="77777777" w:rsidR="000F7E56" w:rsidRPr="000F7E56" w:rsidRDefault="000F7E56" w:rsidP="000F7E56">
            <w:pPr>
              <w:rPr>
                <w:rFonts w:ascii="Calibri" w:eastAsia="Calibri" w:hAnsi="Calibri" w:cs="Times New Roman"/>
                <w:lang w:val="en-US"/>
              </w:rPr>
            </w:pPr>
            <w:r w:rsidRPr="000F7E56">
              <w:rPr>
                <w:rFonts w:ascii="Calibri" w:eastAsia="Calibri" w:hAnsi="Calibri" w:cs="Times New Roman"/>
                <w:lang w:val="en-US"/>
              </w:rPr>
              <w:t>Collaborative decision making</w:t>
            </w:r>
          </w:p>
          <w:p w14:paraId="0C4D2D13" w14:textId="77777777" w:rsidR="000F7E56" w:rsidRPr="000F7E56" w:rsidRDefault="000F7E56" w:rsidP="000F7E56">
            <w:pPr>
              <w:ind w:left="360"/>
              <w:rPr>
                <w:rFonts w:ascii="Calibri" w:eastAsia="Calibri" w:hAnsi="Calibri" w:cs="Times New Roman"/>
                <w:lang w:val="en-US"/>
              </w:rPr>
            </w:pPr>
          </w:p>
          <w:p w14:paraId="07C6FAF6" w14:textId="77777777" w:rsidR="000F7E56" w:rsidRPr="000F7E56" w:rsidRDefault="000F7E56" w:rsidP="000F7E56">
            <w:pPr>
              <w:rPr>
                <w:rFonts w:ascii="Calibri" w:eastAsia="Calibri" w:hAnsi="Calibri" w:cs="Times New Roman"/>
                <w:lang w:val="en-US"/>
              </w:rPr>
            </w:pPr>
            <w:r w:rsidRPr="000F7E56">
              <w:rPr>
                <w:rFonts w:ascii="Calibri" w:eastAsia="Calibri" w:hAnsi="Calibri" w:cs="Times New Roman"/>
                <w:lang w:val="en-US"/>
              </w:rPr>
              <w:t>Language barriers/interpreters/  EOLCP discussions through family members</w:t>
            </w:r>
          </w:p>
          <w:p w14:paraId="779666A9" w14:textId="77777777" w:rsidR="000F7E56" w:rsidRPr="000F7E56" w:rsidRDefault="000F7E56" w:rsidP="000F7E56">
            <w:pPr>
              <w:rPr>
                <w:rFonts w:ascii="Calibri" w:eastAsia="Calibri" w:hAnsi="Calibri" w:cs="Times New Roman"/>
                <w:lang w:val="en-US"/>
              </w:rPr>
            </w:pPr>
          </w:p>
        </w:tc>
        <w:tc>
          <w:tcPr>
            <w:tcW w:w="1342" w:type="pct"/>
          </w:tcPr>
          <w:p w14:paraId="5FED638B" w14:textId="77777777" w:rsidR="000F7E56" w:rsidRPr="000F7E56" w:rsidRDefault="000F7E56" w:rsidP="000F7E56">
            <w:pPr>
              <w:rPr>
                <w:rFonts w:ascii="Calibri" w:eastAsia="Calibri" w:hAnsi="Calibri" w:cs="Times New Roman"/>
                <w:lang w:val="en-US"/>
              </w:rPr>
            </w:pPr>
            <w:r w:rsidRPr="000F7E56">
              <w:rPr>
                <w:rFonts w:ascii="Calibri" w:eastAsia="Calibri" w:hAnsi="Calibri" w:cs="Times New Roman"/>
                <w:lang w:val="en-US"/>
              </w:rPr>
              <w:t>I don’t want to talk about it</w:t>
            </w:r>
          </w:p>
          <w:p w14:paraId="3110B8F8" w14:textId="77777777" w:rsidR="000F7E56" w:rsidRPr="000F7E56" w:rsidRDefault="000F7E56" w:rsidP="000F7E56">
            <w:pPr>
              <w:rPr>
                <w:rFonts w:ascii="Calibri" w:eastAsia="Calibri" w:hAnsi="Calibri" w:cs="Times New Roman"/>
                <w:lang w:val="en-US"/>
              </w:rPr>
            </w:pPr>
            <w:r w:rsidRPr="000F7E56">
              <w:rPr>
                <w:rFonts w:ascii="Calibri" w:eastAsia="Calibri" w:hAnsi="Calibri" w:cs="Times New Roman"/>
                <w:lang w:val="en-US"/>
              </w:rPr>
              <w:t>Is it allowed in Islam?</w:t>
            </w:r>
          </w:p>
          <w:p w14:paraId="6994C407" w14:textId="77777777" w:rsidR="000F7E56" w:rsidRPr="000F7E56" w:rsidRDefault="000F7E56" w:rsidP="000F7E56">
            <w:pPr>
              <w:ind w:left="360"/>
              <w:rPr>
                <w:rFonts w:ascii="Calibri" w:eastAsia="Calibri" w:hAnsi="Calibri" w:cs="Times New Roman"/>
                <w:lang w:val="en-US"/>
              </w:rPr>
            </w:pPr>
          </w:p>
          <w:p w14:paraId="0B313AC1" w14:textId="77777777" w:rsidR="000F7E56" w:rsidRPr="000F7E56" w:rsidRDefault="000F7E56" w:rsidP="000F7E56">
            <w:pPr>
              <w:rPr>
                <w:rFonts w:ascii="Calibri" w:eastAsia="Calibri" w:hAnsi="Calibri" w:cs="Times New Roman"/>
                <w:lang w:val="en-US"/>
              </w:rPr>
            </w:pPr>
          </w:p>
          <w:p w14:paraId="7AA7BB67" w14:textId="77777777" w:rsidR="000F7E56" w:rsidRPr="000F7E56" w:rsidRDefault="000F7E56" w:rsidP="000F7E56">
            <w:pPr>
              <w:rPr>
                <w:rFonts w:ascii="Calibri" w:eastAsia="Calibri" w:hAnsi="Calibri" w:cs="Times New Roman"/>
                <w:lang w:val="en-US"/>
              </w:rPr>
            </w:pPr>
            <w:r w:rsidRPr="000F7E56">
              <w:rPr>
                <w:rFonts w:ascii="Calibri" w:eastAsia="Calibri" w:hAnsi="Calibri" w:cs="Times New Roman"/>
                <w:lang w:val="en-US"/>
              </w:rPr>
              <w:t>Social pressures and stigma</w:t>
            </w:r>
          </w:p>
          <w:p w14:paraId="0FCD4E97" w14:textId="77777777" w:rsidR="000F7E56" w:rsidRPr="000F7E56" w:rsidRDefault="000F7E56" w:rsidP="000F7E56">
            <w:pPr>
              <w:ind w:left="360"/>
              <w:rPr>
                <w:rFonts w:ascii="Calibri" w:eastAsia="Calibri" w:hAnsi="Calibri" w:cs="Times New Roman"/>
                <w:lang w:val="en-US"/>
              </w:rPr>
            </w:pPr>
          </w:p>
          <w:p w14:paraId="524CA72F" w14:textId="77777777" w:rsidR="000F7E56" w:rsidRPr="000F7E56" w:rsidRDefault="000F7E56" w:rsidP="000F7E56">
            <w:pPr>
              <w:rPr>
                <w:rFonts w:ascii="Calibri" w:eastAsia="Calibri" w:hAnsi="Calibri" w:cs="Times New Roman"/>
                <w:lang w:val="en-US"/>
              </w:rPr>
            </w:pPr>
            <w:proofErr w:type="spellStart"/>
            <w:r w:rsidRPr="000F7E56">
              <w:rPr>
                <w:rFonts w:ascii="Calibri" w:eastAsia="Calibri" w:hAnsi="Calibri" w:cs="Times New Roman"/>
                <w:lang w:val="en-US"/>
              </w:rPr>
              <w:t>Carer’s</w:t>
            </w:r>
            <w:proofErr w:type="spellEnd"/>
            <w:r w:rsidRPr="000F7E56">
              <w:rPr>
                <w:rFonts w:ascii="Calibri" w:eastAsia="Calibri" w:hAnsi="Calibri" w:cs="Times New Roman"/>
                <w:lang w:val="en-US"/>
              </w:rPr>
              <w:t xml:space="preserve"> burden</w:t>
            </w:r>
          </w:p>
          <w:p w14:paraId="61B695FB" w14:textId="77777777" w:rsidR="000F7E56" w:rsidRPr="000F7E56" w:rsidRDefault="000F7E56" w:rsidP="000F7E56">
            <w:pPr>
              <w:ind w:left="360"/>
              <w:rPr>
                <w:rFonts w:ascii="Calibri" w:eastAsia="Calibri" w:hAnsi="Calibri" w:cs="Times New Roman"/>
                <w:lang w:val="en-US"/>
              </w:rPr>
            </w:pPr>
          </w:p>
          <w:p w14:paraId="34A4AB35" w14:textId="77777777" w:rsidR="000F7E56" w:rsidRPr="000F7E56" w:rsidRDefault="000F7E56" w:rsidP="000F7E56">
            <w:pPr>
              <w:rPr>
                <w:rFonts w:ascii="Calibri" w:eastAsia="Calibri" w:hAnsi="Calibri" w:cs="Times New Roman"/>
              </w:rPr>
            </w:pPr>
            <w:r w:rsidRPr="000F7E56">
              <w:rPr>
                <w:rFonts w:ascii="Calibri" w:eastAsia="Calibri" w:hAnsi="Calibri" w:cs="Times New Roman"/>
              </w:rPr>
              <w:t xml:space="preserve">Expectation that HCP to make the decisions in time of crisis </w:t>
            </w:r>
          </w:p>
          <w:p w14:paraId="2C48CEBF" w14:textId="77777777" w:rsidR="000F7E56" w:rsidRPr="000F7E56" w:rsidRDefault="000F7E56" w:rsidP="000F7E56">
            <w:pPr>
              <w:ind w:left="360"/>
              <w:rPr>
                <w:rFonts w:ascii="Calibri" w:eastAsia="Calibri" w:hAnsi="Calibri" w:cs="Times New Roman"/>
              </w:rPr>
            </w:pPr>
          </w:p>
          <w:p w14:paraId="00303B99" w14:textId="77777777" w:rsidR="000F7E56" w:rsidRPr="000F7E56" w:rsidRDefault="000F7E56" w:rsidP="000F7E56">
            <w:pPr>
              <w:rPr>
                <w:rFonts w:ascii="Calibri" w:eastAsia="Calibri" w:hAnsi="Calibri" w:cs="Times New Roman"/>
              </w:rPr>
            </w:pPr>
            <w:r w:rsidRPr="000F7E56">
              <w:rPr>
                <w:rFonts w:ascii="Calibri" w:eastAsia="Calibri" w:hAnsi="Calibri" w:cs="Times New Roman"/>
              </w:rPr>
              <w:t>Ambiguity of views on decision making and wanting to talk about it</w:t>
            </w:r>
          </w:p>
          <w:p w14:paraId="556B17A0" w14:textId="77777777" w:rsidR="000F7E56" w:rsidRPr="000F7E56" w:rsidRDefault="000F7E56" w:rsidP="000F7E56">
            <w:pPr>
              <w:rPr>
                <w:rFonts w:ascii="Calibri" w:eastAsia="Calibri" w:hAnsi="Calibri" w:cs="Times New Roman"/>
                <w:color w:val="5B9BD5"/>
              </w:rPr>
            </w:pPr>
          </w:p>
          <w:p w14:paraId="08763410" w14:textId="77777777" w:rsidR="000F7E56" w:rsidRPr="000F7E56" w:rsidRDefault="000F7E56" w:rsidP="000F7E56">
            <w:pPr>
              <w:ind w:left="360"/>
              <w:rPr>
                <w:rFonts w:ascii="Calibri" w:eastAsia="Calibri" w:hAnsi="Calibri" w:cs="Times New Roman"/>
                <w:lang w:val="en-US"/>
              </w:rPr>
            </w:pPr>
          </w:p>
        </w:tc>
      </w:tr>
      <w:tr w:rsidR="000F7E56" w:rsidRPr="000F7E56" w14:paraId="06DBB29A" w14:textId="77777777" w:rsidTr="0040316A">
        <w:tc>
          <w:tcPr>
            <w:tcW w:w="615" w:type="pct"/>
          </w:tcPr>
          <w:p w14:paraId="6570CF8A" w14:textId="77777777" w:rsidR="000F7E56" w:rsidRPr="000F7E56" w:rsidRDefault="000F7E56" w:rsidP="000F7E56">
            <w:pPr>
              <w:rPr>
                <w:rFonts w:ascii="Calibri" w:eastAsia="Calibri" w:hAnsi="Calibri" w:cs="Times New Roman"/>
                <w:lang w:val="en-US"/>
              </w:rPr>
            </w:pPr>
            <w:r w:rsidRPr="000F7E56">
              <w:rPr>
                <w:rFonts w:ascii="Calibri" w:eastAsia="Calibri" w:hAnsi="Calibri" w:cs="Times New Roman"/>
                <w:lang w:val="en-US"/>
              </w:rPr>
              <w:t>Story 3: Patience</w:t>
            </w:r>
          </w:p>
          <w:p w14:paraId="33D6D739" w14:textId="77777777" w:rsidR="000F7E56" w:rsidRPr="000F7E56" w:rsidRDefault="000F7E56" w:rsidP="000F7E56">
            <w:pPr>
              <w:rPr>
                <w:rFonts w:ascii="Calibri" w:eastAsia="Calibri" w:hAnsi="Calibri" w:cs="Times New Roman"/>
                <w:lang w:val="en-US"/>
              </w:rPr>
            </w:pPr>
            <w:r w:rsidRPr="000F7E56">
              <w:rPr>
                <w:rFonts w:ascii="Calibri" w:eastAsia="Calibri" w:hAnsi="Calibri" w:cs="Times New Roman"/>
                <w:lang w:val="en-US"/>
              </w:rPr>
              <w:t>(Patient)</w:t>
            </w:r>
          </w:p>
        </w:tc>
        <w:tc>
          <w:tcPr>
            <w:tcW w:w="1869" w:type="pct"/>
          </w:tcPr>
          <w:p w14:paraId="540B635F" w14:textId="77777777" w:rsidR="000F7E56" w:rsidRPr="000F7E56" w:rsidRDefault="000F7E56" w:rsidP="000F7E56">
            <w:pPr>
              <w:rPr>
                <w:rFonts w:ascii="Calibri" w:eastAsia="Calibri" w:hAnsi="Calibri" w:cs="Times New Roman"/>
                <w:lang w:val="en-US"/>
              </w:rPr>
            </w:pPr>
            <w:r w:rsidRPr="000F7E56">
              <w:rPr>
                <w:rFonts w:ascii="Calibri" w:eastAsia="Calibri" w:hAnsi="Calibri" w:cs="Times New Roman"/>
                <w:lang w:val="en-US"/>
              </w:rPr>
              <w:t>Ready and waiting</w:t>
            </w:r>
          </w:p>
          <w:p w14:paraId="53F02028" w14:textId="77777777" w:rsidR="000F7E56" w:rsidRPr="000F7E56" w:rsidRDefault="000F7E56" w:rsidP="000F7E56">
            <w:pPr>
              <w:rPr>
                <w:rFonts w:ascii="Calibri" w:eastAsia="Calibri" w:hAnsi="Calibri" w:cs="Times New Roman"/>
                <w:lang w:val="en-US"/>
              </w:rPr>
            </w:pPr>
          </w:p>
          <w:p w14:paraId="3E0E86E8" w14:textId="77777777" w:rsidR="000F7E56" w:rsidRPr="000F7E56" w:rsidRDefault="000F7E56" w:rsidP="000F7E56">
            <w:pPr>
              <w:rPr>
                <w:rFonts w:ascii="Calibri" w:eastAsia="Calibri" w:hAnsi="Calibri" w:cs="Times New Roman"/>
                <w:lang w:val="en-US"/>
              </w:rPr>
            </w:pPr>
            <w:r w:rsidRPr="000F7E56">
              <w:rPr>
                <w:rFonts w:ascii="Calibri" w:eastAsia="Calibri" w:hAnsi="Calibri" w:cs="Times New Roman"/>
                <w:lang w:val="en-US"/>
              </w:rPr>
              <w:t>Autonomy &amp; choice – including desired but impossible choices</w:t>
            </w:r>
          </w:p>
          <w:p w14:paraId="4E5A4D18" w14:textId="77777777" w:rsidR="000F7E56" w:rsidRPr="000F7E56" w:rsidRDefault="000F7E56" w:rsidP="000F7E56">
            <w:pPr>
              <w:rPr>
                <w:rFonts w:ascii="Calibri" w:eastAsia="Calibri" w:hAnsi="Calibri" w:cs="Times New Roman"/>
                <w:lang w:val="en-US"/>
              </w:rPr>
            </w:pPr>
          </w:p>
          <w:p w14:paraId="794C7140" w14:textId="77777777" w:rsidR="000F7E56" w:rsidRPr="000F7E56" w:rsidRDefault="000F7E56" w:rsidP="000F7E56">
            <w:pPr>
              <w:rPr>
                <w:rFonts w:ascii="Calibri" w:eastAsia="Calibri" w:hAnsi="Calibri" w:cs="Times New Roman"/>
                <w:lang w:val="en-US"/>
              </w:rPr>
            </w:pPr>
            <w:r w:rsidRPr="000F7E56">
              <w:rPr>
                <w:rFonts w:ascii="Calibri" w:eastAsia="Calibri" w:hAnsi="Calibri" w:cs="Times New Roman"/>
                <w:lang w:val="en-US"/>
              </w:rPr>
              <w:t>Too early/ prognosis uncertain/treatment ongoing</w:t>
            </w:r>
          </w:p>
          <w:p w14:paraId="04A194CC" w14:textId="77777777" w:rsidR="000F7E56" w:rsidRPr="000F7E56" w:rsidRDefault="000F7E56" w:rsidP="000F7E56">
            <w:pPr>
              <w:rPr>
                <w:rFonts w:ascii="Calibri" w:eastAsia="Calibri" w:hAnsi="Calibri" w:cs="Times New Roman"/>
                <w:lang w:val="en-US"/>
              </w:rPr>
            </w:pPr>
          </w:p>
          <w:p w14:paraId="45D602FE" w14:textId="77777777" w:rsidR="000F7E56" w:rsidRPr="000F7E56" w:rsidRDefault="000F7E56" w:rsidP="000F7E56">
            <w:pPr>
              <w:rPr>
                <w:rFonts w:ascii="Calibri" w:eastAsia="Calibri" w:hAnsi="Calibri" w:cs="Times New Roman"/>
                <w:lang w:val="en-US"/>
              </w:rPr>
            </w:pPr>
            <w:r w:rsidRPr="000F7E56">
              <w:rPr>
                <w:rFonts w:ascii="Calibri" w:eastAsia="Calibri" w:hAnsi="Calibri" w:cs="Times New Roman"/>
                <w:lang w:val="en-US"/>
              </w:rPr>
              <w:t>Conflicting perspectives of patient/health profs – missed opportunities</w:t>
            </w:r>
          </w:p>
          <w:p w14:paraId="3E3D9C8C" w14:textId="77777777" w:rsidR="000F7E56" w:rsidRPr="000F7E56" w:rsidRDefault="000F7E56" w:rsidP="000F7E56">
            <w:pPr>
              <w:rPr>
                <w:rFonts w:ascii="Calibri" w:eastAsia="Calibri" w:hAnsi="Calibri" w:cs="Times New Roman"/>
                <w:lang w:val="en-US"/>
              </w:rPr>
            </w:pPr>
          </w:p>
          <w:p w14:paraId="5CAB6B44" w14:textId="77777777" w:rsidR="000F7E56" w:rsidRPr="000F7E56" w:rsidRDefault="000F7E56" w:rsidP="000F7E56">
            <w:pPr>
              <w:rPr>
                <w:rFonts w:ascii="Calibri" w:eastAsia="Calibri" w:hAnsi="Calibri" w:cs="Times New Roman"/>
                <w:lang w:val="en-US"/>
              </w:rPr>
            </w:pPr>
            <w:r w:rsidRPr="000F7E56">
              <w:rPr>
                <w:rFonts w:ascii="Calibri" w:eastAsia="Calibri" w:hAnsi="Calibri" w:cs="Times New Roman"/>
                <w:lang w:val="en-US"/>
              </w:rPr>
              <w:t xml:space="preserve">Very little knowledge of patient and their home situation </w:t>
            </w:r>
          </w:p>
          <w:p w14:paraId="373F09B0" w14:textId="77777777" w:rsidR="000F7E56" w:rsidRPr="000F7E56" w:rsidRDefault="000F7E56" w:rsidP="000F7E56">
            <w:pPr>
              <w:rPr>
                <w:rFonts w:ascii="Calibri" w:eastAsia="Calibri" w:hAnsi="Calibri" w:cs="Times New Roman"/>
                <w:lang w:val="en-US"/>
              </w:rPr>
            </w:pPr>
          </w:p>
          <w:p w14:paraId="086373B1" w14:textId="77777777" w:rsidR="000F7E56" w:rsidRPr="000F7E56" w:rsidRDefault="000F7E56" w:rsidP="000F7E56">
            <w:pPr>
              <w:rPr>
                <w:rFonts w:ascii="Calibri" w:eastAsia="Calibri" w:hAnsi="Calibri" w:cs="Times New Roman"/>
                <w:lang w:val="en-US"/>
              </w:rPr>
            </w:pPr>
            <w:proofErr w:type="spellStart"/>
            <w:r w:rsidRPr="000F7E56">
              <w:rPr>
                <w:rFonts w:ascii="Calibri" w:eastAsia="Calibri" w:hAnsi="Calibri" w:cs="Times New Roman"/>
                <w:lang w:val="en-US"/>
              </w:rPr>
              <w:t>Carer</w:t>
            </w:r>
            <w:proofErr w:type="spellEnd"/>
            <w:r w:rsidRPr="000F7E56">
              <w:rPr>
                <w:rFonts w:ascii="Calibri" w:eastAsia="Calibri" w:hAnsi="Calibri" w:cs="Times New Roman"/>
                <w:lang w:val="en-US"/>
              </w:rPr>
              <w:t xml:space="preserve"> burden </w:t>
            </w:r>
          </w:p>
          <w:p w14:paraId="6A59FD1A" w14:textId="77777777" w:rsidR="000F7E56" w:rsidRPr="000F7E56" w:rsidRDefault="000F7E56" w:rsidP="000F7E56">
            <w:pPr>
              <w:rPr>
                <w:rFonts w:ascii="Calibri" w:eastAsia="Calibri" w:hAnsi="Calibri" w:cs="Times New Roman"/>
                <w:lang w:val="en-US"/>
              </w:rPr>
            </w:pPr>
          </w:p>
          <w:p w14:paraId="194FCA4E" w14:textId="77777777" w:rsidR="000F7E56" w:rsidRPr="000F7E56" w:rsidRDefault="000F7E56" w:rsidP="000F7E56">
            <w:pPr>
              <w:rPr>
                <w:rFonts w:ascii="Calibri" w:eastAsia="Calibri" w:hAnsi="Calibri" w:cs="Times New Roman"/>
                <w:lang w:val="en-US"/>
              </w:rPr>
            </w:pPr>
            <w:r w:rsidRPr="000F7E56">
              <w:rPr>
                <w:rFonts w:ascii="Calibri" w:eastAsia="Calibri" w:hAnsi="Calibri" w:cs="Times New Roman"/>
                <w:lang w:val="en-US"/>
              </w:rPr>
              <w:t xml:space="preserve">Lack of information about support </w:t>
            </w:r>
          </w:p>
          <w:p w14:paraId="2510CF7B" w14:textId="77777777" w:rsidR="000F7E56" w:rsidRPr="000F7E56" w:rsidRDefault="000F7E56" w:rsidP="000F7E56">
            <w:pPr>
              <w:rPr>
                <w:rFonts w:ascii="Calibri" w:eastAsia="Calibri" w:hAnsi="Calibri" w:cs="Times New Roman"/>
                <w:lang w:val="en-US"/>
              </w:rPr>
            </w:pPr>
          </w:p>
          <w:p w14:paraId="10F45D8E" w14:textId="77777777" w:rsidR="000F7E56" w:rsidRPr="000F7E56" w:rsidRDefault="000F7E56" w:rsidP="000F7E56">
            <w:pPr>
              <w:rPr>
                <w:rFonts w:ascii="Calibri" w:eastAsia="Calibri" w:hAnsi="Calibri" w:cs="Times New Roman"/>
                <w:lang w:val="en-US"/>
              </w:rPr>
            </w:pPr>
            <w:r w:rsidRPr="000F7E56">
              <w:rPr>
                <w:rFonts w:ascii="Calibri" w:eastAsia="Calibri" w:hAnsi="Calibri" w:cs="Times New Roman"/>
                <w:lang w:val="en-US"/>
              </w:rPr>
              <w:t>Perceived harsh and cold discussion of dying in crisis situation</w:t>
            </w:r>
          </w:p>
          <w:p w14:paraId="09B5C916" w14:textId="77777777" w:rsidR="000F7E56" w:rsidRPr="000F7E56" w:rsidRDefault="000F7E56" w:rsidP="000F7E56">
            <w:pPr>
              <w:rPr>
                <w:rFonts w:ascii="Calibri" w:eastAsia="Calibri" w:hAnsi="Calibri" w:cs="Times New Roman"/>
                <w:lang w:val="en-US"/>
              </w:rPr>
            </w:pPr>
          </w:p>
        </w:tc>
        <w:tc>
          <w:tcPr>
            <w:tcW w:w="1174" w:type="pct"/>
          </w:tcPr>
          <w:p w14:paraId="1DF002D2" w14:textId="77777777" w:rsidR="000F7E56" w:rsidRPr="000F7E56" w:rsidRDefault="000F7E56" w:rsidP="000F7E56">
            <w:pPr>
              <w:rPr>
                <w:rFonts w:ascii="Calibri" w:eastAsia="Calibri" w:hAnsi="Calibri" w:cs="Times New Roman"/>
                <w:lang w:val="en-US"/>
              </w:rPr>
            </w:pPr>
            <w:r w:rsidRPr="000F7E56">
              <w:rPr>
                <w:rFonts w:ascii="Calibri" w:eastAsia="Calibri" w:hAnsi="Calibri" w:cs="Times New Roman"/>
                <w:lang w:val="en-US"/>
              </w:rPr>
              <w:lastRenderedPageBreak/>
              <w:t xml:space="preserve">P’s opinions conflict with cultural ‘taboos’ (serves to isolate from even ‘close’ </w:t>
            </w:r>
            <w:r w:rsidRPr="000F7E56">
              <w:rPr>
                <w:rFonts w:ascii="Calibri" w:eastAsia="Calibri" w:hAnsi="Calibri" w:cs="Times New Roman"/>
                <w:lang w:val="en-US"/>
              </w:rPr>
              <w:lastRenderedPageBreak/>
              <w:t>family who could help?)</w:t>
            </w:r>
          </w:p>
          <w:p w14:paraId="1BA9041D" w14:textId="77777777" w:rsidR="000F7E56" w:rsidRPr="000F7E56" w:rsidRDefault="000F7E56" w:rsidP="000F7E56">
            <w:pPr>
              <w:ind w:left="360"/>
              <w:rPr>
                <w:rFonts w:ascii="Calibri" w:eastAsia="Calibri" w:hAnsi="Calibri" w:cs="Times New Roman"/>
                <w:lang w:val="en-US"/>
              </w:rPr>
            </w:pPr>
          </w:p>
          <w:p w14:paraId="3E0F8D80" w14:textId="77777777" w:rsidR="000F7E56" w:rsidRPr="000F7E56" w:rsidRDefault="000F7E56" w:rsidP="000F7E56">
            <w:pPr>
              <w:rPr>
                <w:rFonts w:ascii="Calibri" w:eastAsia="Calibri" w:hAnsi="Calibri" w:cs="Times New Roman"/>
                <w:lang w:val="en-US"/>
              </w:rPr>
            </w:pPr>
            <w:r w:rsidRPr="000F7E56">
              <w:rPr>
                <w:rFonts w:ascii="Calibri" w:eastAsia="Calibri" w:hAnsi="Calibri" w:cs="Times New Roman"/>
                <w:lang w:val="en-US"/>
              </w:rPr>
              <w:t>Are HCPs treating this patient just like any other – i.e. equality and diversity means treating everyone the same but thereby there is inequity – no-one knows much about her family situation, so may not even think about ethnicity being important</w:t>
            </w:r>
          </w:p>
          <w:p w14:paraId="75B42D7B" w14:textId="77777777" w:rsidR="000F7E56" w:rsidRPr="000F7E56" w:rsidRDefault="000F7E56" w:rsidP="000F7E56">
            <w:pPr>
              <w:ind w:left="360"/>
              <w:rPr>
                <w:rFonts w:ascii="Calibri" w:eastAsia="Calibri" w:hAnsi="Calibri" w:cs="Times New Roman"/>
                <w:lang w:val="en-US"/>
              </w:rPr>
            </w:pPr>
          </w:p>
          <w:p w14:paraId="1C41BA8D" w14:textId="77777777" w:rsidR="000F7E56" w:rsidRPr="000F7E56" w:rsidRDefault="000F7E56" w:rsidP="000F7E56">
            <w:pPr>
              <w:rPr>
                <w:rFonts w:ascii="Calibri" w:eastAsia="Calibri" w:hAnsi="Calibri" w:cs="Times New Roman"/>
                <w:lang w:val="en-US"/>
              </w:rPr>
            </w:pPr>
            <w:r w:rsidRPr="000F7E56">
              <w:rPr>
                <w:rFonts w:ascii="Calibri" w:eastAsia="Calibri" w:hAnsi="Calibri" w:cs="Times New Roman"/>
                <w:lang w:val="en-US"/>
              </w:rPr>
              <w:t>Access to services:  generally, later maybe because of less information in their networks.</w:t>
            </w:r>
          </w:p>
          <w:p w14:paraId="209E783C" w14:textId="77777777" w:rsidR="000F7E56" w:rsidRPr="000F7E56" w:rsidRDefault="000F7E56" w:rsidP="000F7E56">
            <w:pPr>
              <w:ind w:left="360"/>
              <w:rPr>
                <w:rFonts w:ascii="Calibri" w:eastAsia="Calibri" w:hAnsi="Calibri" w:cs="Times New Roman"/>
                <w:lang w:val="en-US"/>
              </w:rPr>
            </w:pPr>
          </w:p>
          <w:p w14:paraId="7A77546F" w14:textId="77777777" w:rsidR="000F7E56" w:rsidRPr="000F7E56" w:rsidRDefault="000F7E56" w:rsidP="000F7E56">
            <w:pPr>
              <w:rPr>
                <w:rFonts w:ascii="Calibri" w:eastAsia="Calibri" w:hAnsi="Calibri" w:cs="Times New Roman"/>
                <w:lang w:val="en-US"/>
              </w:rPr>
            </w:pPr>
            <w:r w:rsidRPr="000F7E56">
              <w:rPr>
                <w:rFonts w:ascii="Calibri" w:eastAsia="Calibri" w:hAnsi="Calibri" w:cs="Times New Roman"/>
                <w:lang w:val="en-US"/>
              </w:rPr>
              <w:t>EOLCP is about funerals/after death preparations.</w:t>
            </w:r>
          </w:p>
          <w:p w14:paraId="4EEF20D5" w14:textId="77777777" w:rsidR="000F7E56" w:rsidRPr="000F7E56" w:rsidRDefault="000F7E56" w:rsidP="000F7E56">
            <w:pPr>
              <w:ind w:left="360"/>
              <w:rPr>
                <w:rFonts w:ascii="Calibri" w:eastAsia="Calibri" w:hAnsi="Calibri" w:cs="Times New Roman"/>
                <w:lang w:val="en-US"/>
              </w:rPr>
            </w:pPr>
          </w:p>
          <w:p w14:paraId="46CB649E" w14:textId="77777777" w:rsidR="000F7E56" w:rsidRPr="000F7E56" w:rsidRDefault="000F7E56" w:rsidP="000F7E56">
            <w:pPr>
              <w:rPr>
                <w:rFonts w:ascii="Calibri" w:eastAsia="Calibri" w:hAnsi="Calibri" w:cs="Times New Roman"/>
                <w:lang w:val="en-US"/>
              </w:rPr>
            </w:pPr>
            <w:r w:rsidRPr="000F7E56">
              <w:rPr>
                <w:rFonts w:ascii="Calibri" w:eastAsia="Calibri" w:hAnsi="Calibri" w:cs="Times New Roman"/>
                <w:lang w:val="en-US"/>
              </w:rPr>
              <w:t>Social persona based on need to integrate into expected UK cultural norms</w:t>
            </w:r>
          </w:p>
        </w:tc>
        <w:tc>
          <w:tcPr>
            <w:tcW w:w="1342" w:type="pct"/>
          </w:tcPr>
          <w:p w14:paraId="03DFE80E" w14:textId="77777777" w:rsidR="000F7E56" w:rsidRPr="000F7E56" w:rsidRDefault="000F7E56" w:rsidP="000F7E56">
            <w:pPr>
              <w:rPr>
                <w:rFonts w:ascii="Calibri" w:eastAsia="Calibri" w:hAnsi="Calibri" w:cs="Times New Roman"/>
                <w:bCs/>
              </w:rPr>
            </w:pPr>
            <w:r w:rsidRPr="000F7E56">
              <w:rPr>
                <w:rFonts w:ascii="Calibri" w:eastAsia="Calibri" w:hAnsi="Calibri" w:cs="Times New Roman"/>
                <w:bCs/>
              </w:rPr>
              <w:lastRenderedPageBreak/>
              <w:t>Individual/independent response alongside cultural affiliation</w:t>
            </w:r>
          </w:p>
          <w:p w14:paraId="3FD60EB8" w14:textId="77777777" w:rsidR="000F7E56" w:rsidRPr="000F7E56" w:rsidRDefault="000F7E56" w:rsidP="000F7E56">
            <w:pPr>
              <w:rPr>
                <w:rFonts w:ascii="Calibri" w:eastAsia="Calibri" w:hAnsi="Calibri" w:cs="Times New Roman"/>
                <w:lang w:val="en-US"/>
              </w:rPr>
            </w:pPr>
          </w:p>
          <w:p w14:paraId="11FF7413" w14:textId="77777777" w:rsidR="000F7E56" w:rsidRPr="000F7E56" w:rsidRDefault="000F7E56" w:rsidP="000F7E56">
            <w:pPr>
              <w:rPr>
                <w:rFonts w:ascii="Calibri" w:eastAsia="Calibri" w:hAnsi="Calibri" w:cs="Times New Roman"/>
                <w:lang w:val="en-US"/>
              </w:rPr>
            </w:pPr>
          </w:p>
          <w:p w14:paraId="1014BE78" w14:textId="77777777" w:rsidR="000F7E56" w:rsidRPr="000F7E56" w:rsidRDefault="000F7E56" w:rsidP="000F7E56">
            <w:pPr>
              <w:rPr>
                <w:rFonts w:ascii="Calibri" w:eastAsia="Calibri" w:hAnsi="Calibri" w:cs="Times New Roman"/>
                <w:lang w:val="en-US"/>
              </w:rPr>
            </w:pPr>
            <w:r w:rsidRPr="000F7E56">
              <w:rPr>
                <w:rFonts w:ascii="Calibri" w:eastAsia="Calibri" w:hAnsi="Calibri" w:cs="Times New Roman"/>
                <w:lang w:val="en-US"/>
              </w:rPr>
              <w:t xml:space="preserve">Equality and equity </w:t>
            </w:r>
          </w:p>
        </w:tc>
      </w:tr>
      <w:tr w:rsidR="000F7E56" w:rsidRPr="000F7E56" w14:paraId="426F4598" w14:textId="77777777" w:rsidTr="0040316A">
        <w:tc>
          <w:tcPr>
            <w:tcW w:w="615" w:type="pct"/>
          </w:tcPr>
          <w:p w14:paraId="355F697B" w14:textId="77777777" w:rsidR="000F7E56" w:rsidRPr="000F7E56" w:rsidRDefault="000F7E56" w:rsidP="000F7E56">
            <w:pPr>
              <w:rPr>
                <w:rFonts w:ascii="Calibri" w:eastAsia="Calibri" w:hAnsi="Calibri" w:cs="Times New Roman"/>
                <w:lang w:val="en-US"/>
              </w:rPr>
            </w:pPr>
            <w:r w:rsidRPr="000F7E56">
              <w:rPr>
                <w:rFonts w:ascii="Calibri" w:eastAsia="Calibri" w:hAnsi="Calibri" w:cs="Times New Roman"/>
                <w:lang w:val="en-US"/>
              </w:rPr>
              <w:lastRenderedPageBreak/>
              <w:t>Story 4: Adamma</w:t>
            </w:r>
          </w:p>
          <w:p w14:paraId="285E5B9E" w14:textId="77777777" w:rsidR="000F7E56" w:rsidRPr="000F7E56" w:rsidRDefault="000F7E56" w:rsidP="000F7E56">
            <w:pPr>
              <w:rPr>
                <w:rFonts w:ascii="Calibri" w:eastAsia="Calibri" w:hAnsi="Calibri" w:cs="Times New Roman"/>
                <w:lang w:val="en-US"/>
              </w:rPr>
            </w:pPr>
            <w:r w:rsidRPr="000F7E56">
              <w:rPr>
                <w:rFonts w:ascii="Calibri" w:eastAsia="Calibri" w:hAnsi="Calibri" w:cs="Times New Roman"/>
                <w:lang w:val="en-US"/>
              </w:rPr>
              <w:t xml:space="preserve">(Patient) </w:t>
            </w:r>
          </w:p>
        </w:tc>
        <w:tc>
          <w:tcPr>
            <w:tcW w:w="1869" w:type="pct"/>
          </w:tcPr>
          <w:p w14:paraId="46ED7E43" w14:textId="77777777" w:rsidR="000F7E56" w:rsidRPr="000F7E56" w:rsidRDefault="000F7E56" w:rsidP="000F7E56">
            <w:pPr>
              <w:rPr>
                <w:rFonts w:ascii="Calibri" w:eastAsia="Calibri" w:hAnsi="Calibri" w:cs="Times New Roman"/>
                <w:lang w:val="en-US"/>
              </w:rPr>
            </w:pPr>
            <w:r w:rsidRPr="000F7E56">
              <w:rPr>
                <w:rFonts w:ascii="Calibri" w:eastAsia="Calibri" w:hAnsi="Calibri" w:cs="Times New Roman"/>
                <w:lang w:val="en-US"/>
              </w:rPr>
              <w:t xml:space="preserve">Poor record systems </w:t>
            </w:r>
          </w:p>
          <w:p w14:paraId="20119D38" w14:textId="77777777" w:rsidR="000F7E56" w:rsidRPr="000F7E56" w:rsidRDefault="000F7E56" w:rsidP="000F7E56">
            <w:pPr>
              <w:rPr>
                <w:rFonts w:ascii="Calibri" w:eastAsia="Calibri" w:hAnsi="Calibri" w:cs="Times New Roman"/>
                <w:lang w:val="en-US"/>
              </w:rPr>
            </w:pPr>
          </w:p>
          <w:p w14:paraId="5EC92EC1" w14:textId="77777777" w:rsidR="000F7E56" w:rsidRPr="000F7E56" w:rsidRDefault="000F7E56" w:rsidP="000F7E56">
            <w:pPr>
              <w:rPr>
                <w:rFonts w:ascii="Calibri" w:eastAsia="Calibri" w:hAnsi="Calibri" w:cs="Times New Roman"/>
                <w:lang w:val="en-US"/>
              </w:rPr>
            </w:pPr>
            <w:r w:rsidRPr="000F7E56">
              <w:rPr>
                <w:rFonts w:ascii="Calibri" w:eastAsia="Calibri" w:hAnsi="Calibri" w:cs="Times New Roman"/>
                <w:lang w:val="en-US"/>
              </w:rPr>
              <w:t>Late diagnosis</w:t>
            </w:r>
          </w:p>
          <w:p w14:paraId="671391E7" w14:textId="77777777" w:rsidR="000F7E56" w:rsidRPr="000F7E56" w:rsidRDefault="000F7E56" w:rsidP="000F7E56">
            <w:pPr>
              <w:rPr>
                <w:rFonts w:ascii="Calibri" w:eastAsia="Calibri" w:hAnsi="Calibri" w:cs="Times New Roman"/>
                <w:lang w:val="en-US"/>
              </w:rPr>
            </w:pPr>
            <w:r w:rsidRPr="000F7E56">
              <w:rPr>
                <w:rFonts w:ascii="Calibri" w:eastAsia="Calibri" w:hAnsi="Calibri" w:cs="Times New Roman"/>
                <w:lang w:val="en-US"/>
              </w:rPr>
              <w:t>Previous poor health experiences</w:t>
            </w:r>
          </w:p>
          <w:p w14:paraId="74D14B6B" w14:textId="77777777" w:rsidR="000F7E56" w:rsidRPr="000F7E56" w:rsidRDefault="000F7E56" w:rsidP="000F7E56">
            <w:pPr>
              <w:rPr>
                <w:rFonts w:ascii="Calibri" w:eastAsia="Calibri" w:hAnsi="Calibri" w:cs="Times New Roman"/>
                <w:lang w:val="en-US"/>
              </w:rPr>
            </w:pPr>
          </w:p>
          <w:p w14:paraId="1C47356B" w14:textId="77777777" w:rsidR="000F7E56" w:rsidRPr="00D74EFC" w:rsidRDefault="000F7E56" w:rsidP="000F7E56">
            <w:pPr>
              <w:rPr>
                <w:rFonts w:ascii="Calibri" w:eastAsia="Calibri" w:hAnsi="Calibri" w:cs="Times New Roman"/>
                <w:lang w:val="fr-FR"/>
              </w:rPr>
            </w:pPr>
            <w:proofErr w:type="spellStart"/>
            <w:r w:rsidRPr="00D74EFC">
              <w:rPr>
                <w:rFonts w:ascii="Calibri" w:eastAsia="Calibri" w:hAnsi="Calibri" w:cs="Times New Roman"/>
                <w:lang w:val="fr-FR"/>
              </w:rPr>
              <w:t>Misconceptions</w:t>
            </w:r>
            <w:proofErr w:type="spellEnd"/>
            <w:r w:rsidRPr="00D74EFC">
              <w:rPr>
                <w:rFonts w:ascii="Calibri" w:eastAsia="Calibri" w:hAnsi="Calibri" w:cs="Times New Roman"/>
                <w:lang w:val="fr-FR"/>
              </w:rPr>
              <w:t>/</w:t>
            </w:r>
            <w:proofErr w:type="spellStart"/>
            <w:r w:rsidRPr="00D74EFC">
              <w:rPr>
                <w:rFonts w:ascii="Calibri" w:eastAsia="Calibri" w:hAnsi="Calibri" w:cs="Times New Roman"/>
                <w:lang w:val="fr-FR"/>
              </w:rPr>
              <w:t>Miscommunication</w:t>
            </w:r>
            <w:proofErr w:type="spellEnd"/>
            <w:r w:rsidRPr="00D74EFC">
              <w:rPr>
                <w:rFonts w:ascii="Calibri" w:eastAsia="Calibri" w:hAnsi="Calibri" w:cs="Times New Roman"/>
                <w:lang w:val="fr-FR"/>
              </w:rPr>
              <w:t xml:space="preserve">  </w:t>
            </w:r>
          </w:p>
          <w:p w14:paraId="72D912EC" w14:textId="77777777" w:rsidR="000F7E56" w:rsidRPr="00D74EFC" w:rsidRDefault="000F7E56" w:rsidP="000F7E56">
            <w:pPr>
              <w:rPr>
                <w:rFonts w:ascii="Calibri" w:eastAsia="Calibri" w:hAnsi="Calibri" w:cs="Times New Roman"/>
                <w:lang w:val="fr-FR"/>
              </w:rPr>
            </w:pPr>
          </w:p>
          <w:p w14:paraId="0CB7EBC3" w14:textId="77777777" w:rsidR="000F7E56" w:rsidRPr="00D74EFC" w:rsidRDefault="000F7E56" w:rsidP="000F7E56">
            <w:pPr>
              <w:rPr>
                <w:rFonts w:ascii="Calibri" w:eastAsia="Calibri" w:hAnsi="Calibri" w:cs="Times New Roman"/>
                <w:lang w:val="fr-FR"/>
              </w:rPr>
            </w:pPr>
            <w:r w:rsidRPr="00D74EFC">
              <w:rPr>
                <w:rFonts w:ascii="Calibri" w:eastAsia="Calibri" w:hAnsi="Calibri" w:cs="Times New Roman"/>
                <w:lang w:val="fr-FR"/>
              </w:rPr>
              <w:t>Non-</w:t>
            </w:r>
            <w:proofErr w:type="spellStart"/>
            <w:r w:rsidRPr="00D74EFC">
              <w:rPr>
                <w:rFonts w:ascii="Calibri" w:eastAsia="Calibri" w:hAnsi="Calibri" w:cs="Times New Roman"/>
                <w:lang w:val="fr-FR"/>
              </w:rPr>
              <w:t>malignant</w:t>
            </w:r>
            <w:proofErr w:type="spellEnd"/>
            <w:r w:rsidRPr="00D74EFC">
              <w:rPr>
                <w:rFonts w:ascii="Calibri" w:eastAsia="Calibri" w:hAnsi="Calibri" w:cs="Times New Roman"/>
                <w:lang w:val="fr-FR"/>
              </w:rPr>
              <w:t xml:space="preserve"> </w:t>
            </w:r>
            <w:proofErr w:type="spellStart"/>
            <w:r w:rsidRPr="00D74EFC">
              <w:rPr>
                <w:rFonts w:ascii="Calibri" w:eastAsia="Calibri" w:hAnsi="Calibri" w:cs="Times New Roman"/>
                <w:lang w:val="fr-FR"/>
              </w:rPr>
              <w:t>illness</w:t>
            </w:r>
            <w:proofErr w:type="spellEnd"/>
          </w:p>
        </w:tc>
        <w:tc>
          <w:tcPr>
            <w:tcW w:w="1174" w:type="pct"/>
          </w:tcPr>
          <w:p w14:paraId="06DC4D6B" w14:textId="77777777" w:rsidR="000F7E56" w:rsidRPr="000F7E56" w:rsidRDefault="000F7E56" w:rsidP="000F7E56">
            <w:pPr>
              <w:rPr>
                <w:rFonts w:ascii="Calibri" w:eastAsia="Calibri" w:hAnsi="Calibri" w:cs="Times New Roman"/>
                <w:lang w:val="en-US"/>
              </w:rPr>
            </w:pPr>
            <w:r w:rsidRPr="000F7E56">
              <w:rPr>
                <w:rFonts w:ascii="Calibri" w:eastAsia="Calibri" w:hAnsi="Calibri" w:cs="Times New Roman"/>
                <w:lang w:val="en-US"/>
              </w:rPr>
              <w:t>Such discussions are a Family matter</w:t>
            </w:r>
          </w:p>
          <w:p w14:paraId="4C92B07A" w14:textId="77777777" w:rsidR="000F7E56" w:rsidRPr="000F7E56" w:rsidRDefault="000F7E56" w:rsidP="000F7E56">
            <w:pPr>
              <w:rPr>
                <w:rFonts w:ascii="Calibri" w:eastAsia="Calibri" w:hAnsi="Calibri" w:cs="Times New Roman"/>
                <w:lang w:val="en-US"/>
              </w:rPr>
            </w:pPr>
          </w:p>
          <w:p w14:paraId="32891169" w14:textId="77777777" w:rsidR="000F7E56" w:rsidRPr="000F7E56" w:rsidRDefault="000F7E56" w:rsidP="000F7E56">
            <w:pPr>
              <w:rPr>
                <w:rFonts w:ascii="Calibri" w:eastAsia="Calibri" w:hAnsi="Calibri" w:cs="Times New Roman"/>
                <w:lang w:val="en-US"/>
              </w:rPr>
            </w:pPr>
            <w:r w:rsidRPr="000F7E56">
              <w:rPr>
                <w:rFonts w:ascii="Calibri" w:eastAsia="Calibri" w:hAnsi="Calibri" w:cs="Times New Roman"/>
                <w:lang w:val="en-US"/>
              </w:rPr>
              <w:t>Delayed diagnosis</w:t>
            </w:r>
          </w:p>
          <w:p w14:paraId="4F6DC1DC" w14:textId="77777777" w:rsidR="000F7E56" w:rsidRPr="000F7E56" w:rsidRDefault="000F7E56" w:rsidP="000F7E56">
            <w:pPr>
              <w:rPr>
                <w:rFonts w:ascii="Calibri" w:eastAsia="Calibri" w:hAnsi="Calibri" w:cs="Times New Roman"/>
                <w:lang w:val="en-US"/>
              </w:rPr>
            </w:pPr>
            <w:r w:rsidRPr="000F7E56">
              <w:rPr>
                <w:rFonts w:ascii="Calibri" w:eastAsia="Calibri" w:hAnsi="Calibri" w:cs="Times New Roman"/>
                <w:lang w:val="en-US"/>
              </w:rPr>
              <w:t xml:space="preserve">Mistrust of health care systems </w:t>
            </w:r>
          </w:p>
          <w:p w14:paraId="40B2F129" w14:textId="77777777" w:rsidR="000F7E56" w:rsidRPr="000F7E56" w:rsidRDefault="000F7E56" w:rsidP="000F7E56">
            <w:pPr>
              <w:rPr>
                <w:rFonts w:ascii="Calibri" w:eastAsia="Calibri" w:hAnsi="Calibri" w:cs="Times New Roman"/>
                <w:lang w:val="en-US"/>
              </w:rPr>
            </w:pPr>
          </w:p>
          <w:p w14:paraId="2BDA7C60" w14:textId="77777777" w:rsidR="000F7E56" w:rsidRPr="000F7E56" w:rsidRDefault="000F7E56" w:rsidP="000F7E56">
            <w:pPr>
              <w:rPr>
                <w:rFonts w:ascii="Calibri" w:eastAsia="Calibri" w:hAnsi="Calibri" w:cs="Times New Roman"/>
                <w:lang w:val="en-US"/>
              </w:rPr>
            </w:pPr>
            <w:r w:rsidRPr="000F7E56">
              <w:rPr>
                <w:rFonts w:ascii="Calibri" w:eastAsia="Calibri" w:hAnsi="Calibri" w:cs="Times New Roman"/>
                <w:lang w:val="en-US"/>
              </w:rPr>
              <w:t>Bad Karma/evil forces</w:t>
            </w:r>
          </w:p>
          <w:p w14:paraId="77E2377A" w14:textId="77777777" w:rsidR="000F7E56" w:rsidRPr="000F7E56" w:rsidRDefault="000F7E56" w:rsidP="000F7E56">
            <w:pPr>
              <w:rPr>
                <w:rFonts w:ascii="Calibri" w:eastAsia="Calibri" w:hAnsi="Calibri" w:cs="Times New Roman"/>
                <w:lang w:val="en-US"/>
              </w:rPr>
            </w:pPr>
            <w:r w:rsidRPr="000F7E56">
              <w:rPr>
                <w:rFonts w:ascii="Calibri" w:eastAsia="Calibri" w:hAnsi="Calibri" w:cs="Times New Roman"/>
                <w:lang w:val="en-US"/>
              </w:rPr>
              <w:t xml:space="preserve">Faith-based approach/thoughts </w:t>
            </w:r>
          </w:p>
          <w:p w14:paraId="3C7743E6" w14:textId="77777777" w:rsidR="000F7E56" w:rsidRPr="000F7E56" w:rsidRDefault="000F7E56" w:rsidP="000F7E56">
            <w:pPr>
              <w:rPr>
                <w:rFonts w:ascii="Calibri" w:eastAsia="Calibri" w:hAnsi="Calibri" w:cs="Times New Roman"/>
                <w:lang w:val="en-US"/>
              </w:rPr>
            </w:pPr>
          </w:p>
          <w:p w14:paraId="46749CB4" w14:textId="77777777" w:rsidR="000F7E56" w:rsidRPr="000F7E56" w:rsidRDefault="000F7E56" w:rsidP="000F7E56">
            <w:pPr>
              <w:rPr>
                <w:rFonts w:ascii="Calibri" w:eastAsia="Calibri" w:hAnsi="Calibri" w:cs="Times New Roman"/>
                <w:lang w:val="en-US"/>
              </w:rPr>
            </w:pPr>
            <w:r w:rsidRPr="000F7E56">
              <w:rPr>
                <w:rFonts w:ascii="Calibri" w:eastAsia="Calibri" w:hAnsi="Calibri" w:cs="Times New Roman"/>
                <w:lang w:val="en-US"/>
              </w:rPr>
              <w:t xml:space="preserve">Spiritual preparation for life after death  </w:t>
            </w:r>
          </w:p>
          <w:p w14:paraId="02AC908B" w14:textId="77777777" w:rsidR="000F7E56" w:rsidRPr="000F7E56" w:rsidRDefault="000F7E56" w:rsidP="000F7E56">
            <w:pPr>
              <w:rPr>
                <w:rFonts w:ascii="Calibri" w:eastAsia="Calibri" w:hAnsi="Calibri" w:cs="Times New Roman"/>
                <w:lang w:val="en-US"/>
              </w:rPr>
            </w:pPr>
          </w:p>
          <w:p w14:paraId="3131CE3B" w14:textId="77777777" w:rsidR="000F7E56" w:rsidRPr="000F7E56" w:rsidRDefault="000F7E56" w:rsidP="000F7E56">
            <w:pPr>
              <w:rPr>
                <w:rFonts w:ascii="Calibri" w:eastAsia="Calibri" w:hAnsi="Calibri" w:cs="Times New Roman"/>
                <w:lang w:val="en-US"/>
              </w:rPr>
            </w:pPr>
          </w:p>
        </w:tc>
        <w:tc>
          <w:tcPr>
            <w:tcW w:w="1342" w:type="pct"/>
          </w:tcPr>
          <w:p w14:paraId="5EC18DF1" w14:textId="77777777" w:rsidR="000F7E56" w:rsidRPr="000F7E56" w:rsidRDefault="000F7E56" w:rsidP="000F7E56">
            <w:pPr>
              <w:rPr>
                <w:rFonts w:ascii="Calibri" w:eastAsia="Calibri" w:hAnsi="Calibri" w:cs="Times New Roman"/>
                <w:lang w:val="en-US"/>
              </w:rPr>
            </w:pPr>
          </w:p>
        </w:tc>
      </w:tr>
      <w:tr w:rsidR="000F7E56" w:rsidRPr="000F7E56" w14:paraId="514EEFB5" w14:textId="77777777" w:rsidTr="0040316A">
        <w:tc>
          <w:tcPr>
            <w:tcW w:w="615" w:type="pct"/>
          </w:tcPr>
          <w:p w14:paraId="41CDB967" w14:textId="77777777" w:rsidR="000F7E56" w:rsidRPr="000F7E56" w:rsidRDefault="000F7E56" w:rsidP="000F7E56">
            <w:pPr>
              <w:rPr>
                <w:rFonts w:ascii="Calibri" w:eastAsia="Calibri" w:hAnsi="Calibri" w:cs="Times New Roman"/>
                <w:lang w:val="en-US"/>
              </w:rPr>
            </w:pPr>
            <w:r w:rsidRPr="000F7E56">
              <w:rPr>
                <w:rFonts w:ascii="Calibri" w:eastAsia="Calibri" w:hAnsi="Calibri" w:cs="Times New Roman"/>
                <w:lang w:val="en-US"/>
              </w:rPr>
              <w:t xml:space="preserve">Story 5: </w:t>
            </w:r>
            <w:proofErr w:type="spellStart"/>
            <w:r w:rsidRPr="000F7E56">
              <w:rPr>
                <w:rFonts w:ascii="Calibri" w:eastAsia="Calibri" w:hAnsi="Calibri" w:cs="Times New Roman"/>
                <w:lang w:val="en-US"/>
              </w:rPr>
              <w:t>Delun</w:t>
            </w:r>
            <w:proofErr w:type="spellEnd"/>
            <w:r w:rsidRPr="000F7E56">
              <w:rPr>
                <w:rFonts w:ascii="Calibri" w:eastAsia="Calibri" w:hAnsi="Calibri" w:cs="Times New Roman"/>
                <w:lang w:val="en-US"/>
              </w:rPr>
              <w:t xml:space="preserve"> (Patient </w:t>
            </w:r>
            <w:r w:rsidRPr="000F7E56">
              <w:rPr>
                <w:rFonts w:ascii="Calibri" w:eastAsia="Calibri" w:hAnsi="Calibri" w:cs="Times New Roman"/>
                <w:lang w:val="en-US"/>
              </w:rPr>
              <w:lastRenderedPageBreak/>
              <w:t>but told by son)</w:t>
            </w:r>
          </w:p>
        </w:tc>
        <w:tc>
          <w:tcPr>
            <w:tcW w:w="1869" w:type="pct"/>
          </w:tcPr>
          <w:p w14:paraId="0C4E6E73" w14:textId="77777777" w:rsidR="000F7E56" w:rsidRPr="000F7E56" w:rsidRDefault="000F7E56" w:rsidP="000F7E56">
            <w:pPr>
              <w:rPr>
                <w:rFonts w:ascii="Calibri" w:eastAsia="Calibri" w:hAnsi="Calibri" w:cs="Times New Roman"/>
                <w:lang w:val="en-US"/>
              </w:rPr>
            </w:pPr>
            <w:r w:rsidRPr="000F7E56">
              <w:rPr>
                <w:rFonts w:ascii="Calibri" w:eastAsia="Calibri" w:hAnsi="Calibri" w:cs="Times New Roman"/>
                <w:lang w:val="en-US"/>
              </w:rPr>
              <w:lastRenderedPageBreak/>
              <w:t xml:space="preserve">Misconceptions/Miscommunication  </w:t>
            </w:r>
          </w:p>
          <w:p w14:paraId="37EFF6F0" w14:textId="77777777" w:rsidR="000F7E56" w:rsidRPr="000F7E56" w:rsidRDefault="000F7E56" w:rsidP="000F7E56">
            <w:pPr>
              <w:rPr>
                <w:rFonts w:ascii="Calibri" w:eastAsia="Calibri" w:hAnsi="Calibri" w:cs="Times New Roman"/>
                <w:lang w:val="en-US"/>
              </w:rPr>
            </w:pPr>
          </w:p>
          <w:p w14:paraId="0BE121C5" w14:textId="77777777" w:rsidR="000F7E56" w:rsidRPr="000F7E56" w:rsidRDefault="000F7E56" w:rsidP="000F7E56">
            <w:pPr>
              <w:rPr>
                <w:rFonts w:ascii="Calibri" w:eastAsia="Calibri" w:hAnsi="Calibri" w:cs="Times New Roman"/>
                <w:lang w:val="en-US"/>
              </w:rPr>
            </w:pPr>
            <w:r w:rsidRPr="000F7E56">
              <w:rPr>
                <w:rFonts w:ascii="Calibri" w:eastAsia="Calibri" w:hAnsi="Calibri" w:cs="Times New Roman"/>
                <w:lang w:val="en-US"/>
              </w:rPr>
              <w:t>Multiple family losses</w:t>
            </w:r>
          </w:p>
          <w:p w14:paraId="56D9281B" w14:textId="77777777" w:rsidR="000F7E56" w:rsidRPr="000F7E56" w:rsidRDefault="000F7E56" w:rsidP="000F7E56">
            <w:pPr>
              <w:rPr>
                <w:rFonts w:ascii="Calibri" w:eastAsia="Calibri" w:hAnsi="Calibri" w:cs="Times New Roman"/>
                <w:lang w:val="en-US"/>
              </w:rPr>
            </w:pPr>
          </w:p>
          <w:p w14:paraId="63E46DB8" w14:textId="77777777" w:rsidR="000F7E56" w:rsidRPr="000F7E56" w:rsidRDefault="000F7E56" w:rsidP="000F7E56">
            <w:pPr>
              <w:rPr>
                <w:rFonts w:ascii="Calibri" w:eastAsia="Calibri" w:hAnsi="Calibri" w:cs="Times New Roman"/>
                <w:lang w:val="en-US"/>
              </w:rPr>
            </w:pPr>
            <w:proofErr w:type="spellStart"/>
            <w:r w:rsidRPr="000F7E56">
              <w:rPr>
                <w:rFonts w:ascii="Calibri" w:eastAsia="Calibri" w:hAnsi="Calibri" w:cs="Times New Roman"/>
                <w:lang w:val="en-US"/>
              </w:rPr>
              <w:t>Carer</w:t>
            </w:r>
            <w:proofErr w:type="spellEnd"/>
            <w:r w:rsidRPr="000F7E56">
              <w:rPr>
                <w:rFonts w:ascii="Calibri" w:eastAsia="Calibri" w:hAnsi="Calibri" w:cs="Times New Roman"/>
                <w:lang w:val="en-US"/>
              </w:rPr>
              <w:t xml:space="preserve"> burden: needing to take leave</w:t>
            </w:r>
          </w:p>
        </w:tc>
        <w:tc>
          <w:tcPr>
            <w:tcW w:w="1174" w:type="pct"/>
          </w:tcPr>
          <w:p w14:paraId="4D522AD9" w14:textId="77777777" w:rsidR="000F7E56" w:rsidRPr="000F7E56" w:rsidRDefault="000F7E56" w:rsidP="000F7E56">
            <w:pPr>
              <w:rPr>
                <w:rFonts w:ascii="Calibri" w:eastAsia="Calibri" w:hAnsi="Calibri" w:cs="Times New Roman"/>
                <w:lang w:val="en-US"/>
              </w:rPr>
            </w:pPr>
            <w:r w:rsidRPr="000F7E56">
              <w:rPr>
                <w:rFonts w:ascii="Calibri" w:eastAsia="Calibri" w:hAnsi="Calibri" w:cs="Times New Roman"/>
                <w:lang w:val="en-US"/>
              </w:rPr>
              <w:lastRenderedPageBreak/>
              <w:t xml:space="preserve">Isolation of someone who doesn’t have English as a first language – within </w:t>
            </w:r>
            <w:r w:rsidRPr="000F7E56">
              <w:rPr>
                <w:rFonts w:ascii="Calibri" w:eastAsia="Calibri" w:hAnsi="Calibri" w:cs="Times New Roman"/>
                <w:lang w:val="en-US"/>
              </w:rPr>
              <w:lastRenderedPageBreak/>
              <w:t xml:space="preserve">healthcare systems and within his </w:t>
            </w:r>
            <w:proofErr w:type="spellStart"/>
            <w:r w:rsidRPr="000F7E56">
              <w:rPr>
                <w:rFonts w:ascii="Calibri" w:eastAsia="Calibri" w:hAnsi="Calibri" w:cs="Times New Roman"/>
                <w:lang w:val="en-US"/>
              </w:rPr>
              <w:t>neighbourhood</w:t>
            </w:r>
            <w:proofErr w:type="spellEnd"/>
            <w:r w:rsidRPr="000F7E56">
              <w:rPr>
                <w:rFonts w:ascii="Calibri" w:eastAsia="Calibri" w:hAnsi="Calibri" w:cs="Times New Roman"/>
                <w:lang w:val="en-US"/>
              </w:rPr>
              <w:t xml:space="preserve">. </w:t>
            </w:r>
          </w:p>
          <w:p w14:paraId="64429C19" w14:textId="77777777" w:rsidR="000F7E56" w:rsidRPr="000F7E56" w:rsidRDefault="000F7E56" w:rsidP="000F7E56">
            <w:pPr>
              <w:rPr>
                <w:rFonts w:ascii="Calibri" w:eastAsia="Calibri" w:hAnsi="Calibri" w:cs="Times New Roman"/>
                <w:lang w:val="en-US"/>
              </w:rPr>
            </w:pPr>
          </w:p>
          <w:p w14:paraId="6A6B600B" w14:textId="77777777" w:rsidR="000F7E56" w:rsidRPr="000F7E56" w:rsidRDefault="000F7E56" w:rsidP="000F7E56">
            <w:pPr>
              <w:rPr>
                <w:rFonts w:ascii="Calibri" w:eastAsia="Calibri" w:hAnsi="Calibri" w:cs="Times New Roman"/>
                <w:lang w:val="en-US"/>
              </w:rPr>
            </w:pPr>
            <w:r w:rsidRPr="000F7E56">
              <w:rPr>
                <w:rFonts w:ascii="Calibri" w:eastAsia="Calibri" w:hAnsi="Calibri" w:cs="Times New Roman"/>
                <w:lang w:val="en-US"/>
              </w:rPr>
              <w:t>Language problems impacting ability and confidence to attend for treatment</w:t>
            </w:r>
          </w:p>
          <w:p w14:paraId="34507497" w14:textId="77777777" w:rsidR="000F7E56" w:rsidRPr="000F7E56" w:rsidRDefault="000F7E56" w:rsidP="000F7E56">
            <w:pPr>
              <w:rPr>
                <w:rFonts w:ascii="Calibri" w:eastAsia="Calibri" w:hAnsi="Calibri" w:cs="Times New Roman"/>
                <w:lang w:val="en-US"/>
              </w:rPr>
            </w:pPr>
          </w:p>
          <w:p w14:paraId="0D95A298" w14:textId="77777777" w:rsidR="000F7E56" w:rsidRPr="000F7E56" w:rsidRDefault="000F7E56" w:rsidP="000F7E56">
            <w:pPr>
              <w:rPr>
                <w:rFonts w:ascii="Calibri" w:eastAsia="Calibri" w:hAnsi="Calibri" w:cs="Times New Roman"/>
                <w:lang w:val="en-US"/>
              </w:rPr>
            </w:pPr>
            <w:r w:rsidRPr="000F7E56">
              <w:rPr>
                <w:rFonts w:ascii="Calibri" w:eastAsia="Calibri" w:hAnsi="Calibri" w:cs="Times New Roman"/>
                <w:lang w:val="en-US"/>
              </w:rPr>
              <w:t xml:space="preserve">Mistrust of health care systems </w:t>
            </w:r>
          </w:p>
          <w:p w14:paraId="408B5D9C" w14:textId="77777777" w:rsidR="000F7E56" w:rsidRPr="000F7E56" w:rsidRDefault="000F7E56" w:rsidP="000F7E56">
            <w:pPr>
              <w:ind w:left="360"/>
              <w:rPr>
                <w:rFonts w:ascii="Calibri" w:eastAsia="Calibri" w:hAnsi="Calibri" w:cs="Times New Roman"/>
                <w:lang w:val="en-US"/>
              </w:rPr>
            </w:pPr>
          </w:p>
          <w:p w14:paraId="3D9312F2" w14:textId="77777777" w:rsidR="000F7E56" w:rsidRPr="000F7E56" w:rsidRDefault="000F7E56" w:rsidP="000F7E56">
            <w:pPr>
              <w:rPr>
                <w:rFonts w:ascii="Calibri" w:eastAsia="Calibri" w:hAnsi="Calibri" w:cs="Times New Roman"/>
                <w:lang w:val="en-US"/>
              </w:rPr>
            </w:pPr>
            <w:r w:rsidRPr="000F7E56">
              <w:rPr>
                <w:rFonts w:ascii="Calibri" w:eastAsia="Calibri" w:hAnsi="Calibri" w:cs="Times New Roman"/>
                <w:lang w:val="en-US"/>
              </w:rPr>
              <w:t>Burden of responsibility on a young adult’s shoulders – missing work – impacting on family economics possibly/</w:t>
            </w:r>
            <w:proofErr w:type="spellStart"/>
            <w:r w:rsidRPr="000F7E56">
              <w:rPr>
                <w:rFonts w:ascii="Calibri" w:eastAsia="Calibri" w:hAnsi="Calibri" w:cs="Times New Roman"/>
                <w:lang w:val="en-US"/>
              </w:rPr>
              <w:t>carers</w:t>
            </w:r>
            <w:proofErr w:type="spellEnd"/>
            <w:r w:rsidRPr="000F7E56">
              <w:rPr>
                <w:rFonts w:ascii="Calibri" w:eastAsia="Calibri" w:hAnsi="Calibri" w:cs="Times New Roman"/>
                <w:lang w:val="en-US"/>
              </w:rPr>
              <w:t xml:space="preserve"> Burden</w:t>
            </w:r>
          </w:p>
          <w:p w14:paraId="4E4AAF9F" w14:textId="77777777" w:rsidR="000F7E56" w:rsidRPr="000F7E56" w:rsidRDefault="000F7E56" w:rsidP="000F7E56">
            <w:pPr>
              <w:ind w:left="360"/>
              <w:rPr>
                <w:rFonts w:ascii="Calibri" w:eastAsia="Calibri" w:hAnsi="Calibri" w:cs="Times New Roman"/>
                <w:lang w:val="en-US"/>
              </w:rPr>
            </w:pPr>
          </w:p>
          <w:p w14:paraId="22403B35" w14:textId="77777777" w:rsidR="000F7E56" w:rsidRPr="000F7E56" w:rsidRDefault="000F7E56" w:rsidP="000F7E56">
            <w:pPr>
              <w:rPr>
                <w:rFonts w:ascii="Calibri" w:eastAsia="Calibri" w:hAnsi="Calibri" w:cs="Times New Roman"/>
                <w:lang w:val="en-US"/>
              </w:rPr>
            </w:pPr>
            <w:r w:rsidRPr="000F7E56">
              <w:rPr>
                <w:rFonts w:ascii="Calibri" w:eastAsia="Calibri" w:hAnsi="Calibri" w:cs="Times New Roman"/>
                <w:lang w:val="en-US"/>
              </w:rPr>
              <w:t>Emotional burden for the FCG as interpreter - brings back previous sad memories</w:t>
            </w:r>
          </w:p>
          <w:p w14:paraId="152C2EEE" w14:textId="77777777" w:rsidR="000F7E56" w:rsidRPr="000F7E56" w:rsidRDefault="000F7E56" w:rsidP="000F7E56">
            <w:pPr>
              <w:ind w:left="360"/>
              <w:rPr>
                <w:rFonts w:ascii="Calibri" w:eastAsia="Calibri" w:hAnsi="Calibri" w:cs="Times New Roman"/>
                <w:lang w:val="en-US"/>
              </w:rPr>
            </w:pPr>
          </w:p>
          <w:p w14:paraId="5B112FA9" w14:textId="77777777" w:rsidR="000F7E56" w:rsidRPr="000F7E56" w:rsidRDefault="000F7E56" w:rsidP="000F7E56">
            <w:pPr>
              <w:rPr>
                <w:rFonts w:ascii="Calibri" w:eastAsia="Calibri" w:hAnsi="Calibri" w:cs="Times New Roman"/>
                <w:lang w:val="en-US"/>
              </w:rPr>
            </w:pPr>
            <w:r w:rsidRPr="000F7E56">
              <w:rPr>
                <w:rFonts w:ascii="Calibri" w:eastAsia="Calibri" w:hAnsi="Calibri" w:cs="Times New Roman"/>
                <w:lang w:val="en-US"/>
              </w:rPr>
              <w:t>Poor provision of interpreters – using who is available – unreliable system</w:t>
            </w:r>
          </w:p>
          <w:p w14:paraId="3D5E4002" w14:textId="77777777" w:rsidR="000F7E56" w:rsidRPr="000F7E56" w:rsidRDefault="000F7E56" w:rsidP="000F7E56">
            <w:pPr>
              <w:ind w:left="360"/>
              <w:rPr>
                <w:rFonts w:ascii="Calibri" w:eastAsia="Calibri" w:hAnsi="Calibri" w:cs="Times New Roman"/>
                <w:lang w:val="en-US"/>
              </w:rPr>
            </w:pPr>
          </w:p>
          <w:p w14:paraId="63CA6FDB" w14:textId="77777777" w:rsidR="000F7E56" w:rsidRPr="000F7E56" w:rsidRDefault="000F7E56" w:rsidP="000F7E56">
            <w:pPr>
              <w:rPr>
                <w:rFonts w:ascii="Calibri" w:eastAsia="Calibri" w:hAnsi="Calibri" w:cs="Times New Roman"/>
                <w:lang w:val="en-US"/>
              </w:rPr>
            </w:pPr>
            <w:r w:rsidRPr="000F7E56">
              <w:rPr>
                <w:rFonts w:ascii="Calibri" w:eastAsia="Calibri" w:hAnsi="Calibri" w:cs="Times New Roman"/>
                <w:lang w:val="en-US"/>
              </w:rPr>
              <w:t>Misunderstandings arising from poor interpretation in very important areas of discussion</w:t>
            </w:r>
          </w:p>
          <w:p w14:paraId="68320A4F" w14:textId="77777777" w:rsidR="000F7E56" w:rsidRPr="000F7E56" w:rsidRDefault="000F7E56" w:rsidP="000F7E56">
            <w:pPr>
              <w:ind w:left="360"/>
              <w:rPr>
                <w:rFonts w:ascii="Calibri" w:eastAsia="Calibri" w:hAnsi="Calibri" w:cs="Times New Roman"/>
                <w:lang w:val="en-US"/>
              </w:rPr>
            </w:pPr>
          </w:p>
          <w:p w14:paraId="62C26C29" w14:textId="77777777" w:rsidR="000F7E56" w:rsidRPr="000F7E56" w:rsidRDefault="000F7E56" w:rsidP="000F7E56">
            <w:pPr>
              <w:rPr>
                <w:rFonts w:ascii="Calibri" w:eastAsia="Calibri" w:hAnsi="Calibri" w:cs="Times New Roman"/>
                <w:lang w:val="en-US"/>
              </w:rPr>
            </w:pPr>
            <w:r w:rsidRPr="000F7E56">
              <w:rPr>
                <w:rFonts w:ascii="Calibri" w:eastAsia="Calibri" w:hAnsi="Calibri" w:cs="Times New Roman"/>
                <w:lang w:val="en-US"/>
              </w:rPr>
              <w:t>Mistrust and lack of confidence in the system from patient as a result of previous misunderstandings</w:t>
            </w:r>
          </w:p>
          <w:p w14:paraId="57BC5D93" w14:textId="77777777" w:rsidR="000F7E56" w:rsidRPr="000F7E56" w:rsidRDefault="000F7E56" w:rsidP="000F7E56">
            <w:pPr>
              <w:ind w:left="360"/>
              <w:rPr>
                <w:rFonts w:ascii="Calibri" w:eastAsia="Calibri" w:hAnsi="Calibri" w:cs="Times New Roman"/>
                <w:lang w:val="en-US"/>
              </w:rPr>
            </w:pPr>
          </w:p>
          <w:p w14:paraId="705EB3D4" w14:textId="77777777" w:rsidR="000F7E56" w:rsidRPr="000F7E56" w:rsidRDefault="000F7E56" w:rsidP="000F7E56">
            <w:pPr>
              <w:rPr>
                <w:rFonts w:ascii="Calibri" w:eastAsia="Calibri" w:hAnsi="Calibri" w:cs="Times New Roman"/>
                <w:lang w:val="en-US"/>
              </w:rPr>
            </w:pPr>
            <w:r w:rsidRPr="000F7E56">
              <w:rPr>
                <w:rFonts w:ascii="Calibri" w:eastAsia="Calibri" w:hAnsi="Calibri" w:cs="Times New Roman"/>
                <w:lang w:val="en-US"/>
              </w:rPr>
              <w:t>Possible indignity that results in not being able to communicate what you need for personal care</w:t>
            </w:r>
          </w:p>
        </w:tc>
        <w:tc>
          <w:tcPr>
            <w:tcW w:w="1342" w:type="pct"/>
          </w:tcPr>
          <w:p w14:paraId="7C25CDA3" w14:textId="77777777" w:rsidR="000F7E56" w:rsidRPr="000F7E56" w:rsidRDefault="000F7E56" w:rsidP="000F7E56">
            <w:pPr>
              <w:ind w:left="360"/>
              <w:rPr>
                <w:rFonts w:ascii="Calibri" w:eastAsia="Calibri" w:hAnsi="Calibri" w:cs="Times New Roman"/>
                <w:lang w:val="en-US"/>
              </w:rPr>
            </w:pPr>
          </w:p>
        </w:tc>
      </w:tr>
      <w:tr w:rsidR="000F7E56" w:rsidRPr="000F7E56" w14:paraId="497E50D5" w14:textId="77777777" w:rsidTr="0040316A">
        <w:tc>
          <w:tcPr>
            <w:tcW w:w="615" w:type="pct"/>
          </w:tcPr>
          <w:p w14:paraId="5C4ED894" w14:textId="77777777" w:rsidR="000F7E56" w:rsidRPr="000F7E56" w:rsidRDefault="000F7E56" w:rsidP="000F7E56">
            <w:pPr>
              <w:rPr>
                <w:rFonts w:ascii="Calibri" w:eastAsia="Calibri" w:hAnsi="Calibri" w:cs="Times New Roman"/>
                <w:lang w:val="en-US"/>
              </w:rPr>
            </w:pPr>
            <w:r w:rsidRPr="000F7E56">
              <w:rPr>
                <w:rFonts w:ascii="Calibri" w:eastAsia="Calibri" w:hAnsi="Calibri" w:cs="Times New Roman"/>
                <w:lang w:val="en-US"/>
              </w:rPr>
              <w:lastRenderedPageBreak/>
              <w:t>Story 6</w:t>
            </w:r>
          </w:p>
          <w:p w14:paraId="57D7A033" w14:textId="77777777" w:rsidR="000F7E56" w:rsidRPr="000F7E56" w:rsidRDefault="000F7E56" w:rsidP="000F7E56">
            <w:pPr>
              <w:rPr>
                <w:rFonts w:ascii="Calibri" w:eastAsia="Calibri" w:hAnsi="Calibri" w:cs="Times New Roman"/>
                <w:lang w:val="en-US"/>
              </w:rPr>
            </w:pPr>
            <w:proofErr w:type="spellStart"/>
            <w:r w:rsidRPr="000F7E56">
              <w:rPr>
                <w:rFonts w:ascii="Calibri" w:eastAsia="Calibri" w:hAnsi="Calibri" w:cs="Times New Roman"/>
                <w:lang w:val="en-US"/>
              </w:rPr>
              <w:t>Shimbira</w:t>
            </w:r>
            <w:proofErr w:type="spellEnd"/>
            <w:r w:rsidRPr="000F7E56">
              <w:rPr>
                <w:rFonts w:ascii="Calibri" w:eastAsia="Calibri" w:hAnsi="Calibri" w:cs="Times New Roman"/>
                <w:lang w:val="en-US"/>
              </w:rPr>
              <w:t xml:space="preserve"> (Bereaved FCG) </w:t>
            </w:r>
          </w:p>
        </w:tc>
        <w:tc>
          <w:tcPr>
            <w:tcW w:w="1869" w:type="pct"/>
          </w:tcPr>
          <w:p w14:paraId="062996BA" w14:textId="77777777" w:rsidR="000F7E56" w:rsidRPr="000F7E56" w:rsidRDefault="000F7E56" w:rsidP="000F7E56">
            <w:pPr>
              <w:rPr>
                <w:rFonts w:ascii="Calibri" w:eastAsia="Calibri" w:hAnsi="Calibri" w:cs="Times New Roman"/>
                <w:lang w:val="en-US"/>
              </w:rPr>
            </w:pPr>
            <w:r w:rsidRPr="000F7E56">
              <w:rPr>
                <w:rFonts w:ascii="Calibri" w:eastAsia="Calibri" w:hAnsi="Calibri" w:cs="Times New Roman"/>
                <w:lang w:val="en-US"/>
              </w:rPr>
              <w:t xml:space="preserve">Missed opportunities </w:t>
            </w:r>
          </w:p>
          <w:p w14:paraId="04881B04" w14:textId="77777777" w:rsidR="000F7E56" w:rsidRPr="000F7E56" w:rsidRDefault="000F7E56" w:rsidP="000F7E56">
            <w:pPr>
              <w:rPr>
                <w:rFonts w:ascii="Calibri" w:eastAsia="Calibri" w:hAnsi="Calibri" w:cs="Times New Roman"/>
                <w:lang w:val="en-US"/>
              </w:rPr>
            </w:pPr>
          </w:p>
          <w:p w14:paraId="748119D4" w14:textId="77777777" w:rsidR="000F7E56" w:rsidRPr="000F7E56" w:rsidRDefault="000F7E56" w:rsidP="000F7E56">
            <w:pPr>
              <w:rPr>
                <w:rFonts w:ascii="Calibri" w:eastAsia="Calibri" w:hAnsi="Calibri" w:cs="Times New Roman"/>
                <w:lang w:val="en-US"/>
              </w:rPr>
            </w:pPr>
            <w:r w:rsidRPr="000F7E56">
              <w:rPr>
                <w:rFonts w:ascii="Calibri" w:eastAsia="Calibri" w:hAnsi="Calibri" w:cs="Times New Roman"/>
                <w:lang w:val="en-US"/>
              </w:rPr>
              <w:t xml:space="preserve">Positive experiences of how information is delivered and communicated. </w:t>
            </w:r>
          </w:p>
          <w:p w14:paraId="17C8CEC2" w14:textId="77777777" w:rsidR="000F7E56" w:rsidRPr="000F7E56" w:rsidRDefault="000F7E56" w:rsidP="000F7E56">
            <w:pPr>
              <w:rPr>
                <w:rFonts w:ascii="Calibri" w:eastAsia="Calibri" w:hAnsi="Calibri" w:cs="Times New Roman"/>
                <w:lang w:val="en-US"/>
              </w:rPr>
            </w:pPr>
          </w:p>
        </w:tc>
        <w:tc>
          <w:tcPr>
            <w:tcW w:w="1174" w:type="pct"/>
          </w:tcPr>
          <w:p w14:paraId="0DB09BF5" w14:textId="77777777" w:rsidR="000F7E56" w:rsidRPr="000F7E56" w:rsidRDefault="000F7E56" w:rsidP="000F7E56">
            <w:pPr>
              <w:rPr>
                <w:rFonts w:ascii="Calibri" w:eastAsia="Calibri" w:hAnsi="Calibri" w:cs="Times New Roman"/>
                <w:lang w:val="en-US"/>
              </w:rPr>
            </w:pPr>
            <w:r w:rsidRPr="000F7E56">
              <w:rPr>
                <w:rFonts w:ascii="Calibri" w:eastAsia="Calibri" w:hAnsi="Calibri" w:cs="Times New Roman"/>
                <w:lang w:val="en-US"/>
              </w:rPr>
              <w:t>Strong faith</w:t>
            </w:r>
          </w:p>
          <w:p w14:paraId="4B5BB150" w14:textId="77777777" w:rsidR="000F7E56" w:rsidRPr="000F7E56" w:rsidRDefault="000F7E56" w:rsidP="000F7E56">
            <w:pPr>
              <w:rPr>
                <w:rFonts w:ascii="Calibri" w:eastAsia="Calibri" w:hAnsi="Calibri" w:cs="Times New Roman"/>
                <w:lang w:val="en-US"/>
              </w:rPr>
            </w:pPr>
          </w:p>
          <w:p w14:paraId="17AE2374" w14:textId="77777777" w:rsidR="000F7E56" w:rsidRPr="000F7E56" w:rsidRDefault="000F7E56" w:rsidP="000F7E56">
            <w:pPr>
              <w:rPr>
                <w:rFonts w:ascii="Calibri" w:eastAsia="Calibri" w:hAnsi="Calibri" w:cs="Times New Roman"/>
                <w:lang w:val="en-US"/>
              </w:rPr>
            </w:pPr>
            <w:r w:rsidRPr="000F7E56">
              <w:rPr>
                <w:rFonts w:ascii="Calibri" w:eastAsia="Calibri" w:hAnsi="Calibri" w:cs="Times New Roman"/>
                <w:lang w:val="en-US"/>
              </w:rPr>
              <w:t xml:space="preserve">Close family </w:t>
            </w:r>
          </w:p>
          <w:p w14:paraId="0E92E75E" w14:textId="77777777" w:rsidR="000F7E56" w:rsidRPr="000F7E56" w:rsidRDefault="000F7E56" w:rsidP="000F7E56">
            <w:pPr>
              <w:rPr>
                <w:rFonts w:ascii="Calibri" w:eastAsia="Calibri" w:hAnsi="Calibri" w:cs="Times New Roman"/>
                <w:lang w:val="en-US"/>
              </w:rPr>
            </w:pPr>
          </w:p>
          <w:p w14:paraId="34C2CCE7" w14:textId="77777777" w:rsidR="000F7E56" w:rsidRPr="000F7E56" w:rsidRDefault="000F7E56" w:rsidP="000F7E56">
            <w:pPr>
              <w:rPr>
                <w:rFonts w:ascii="Calibri" w:eastAsia="Calibri" w:hAnsi="Calibri" w:cs="Times New Roman"/>
                <w:lang w:val="en-US"/>
              </w:rPr>
            </w:pPr>
            <w:r w:rsidRPr="000F7E56">
              <w:rPr>
                <w:rFonts w:ascii="Calibri" w:eastAsia="Calibri" w:hAnsi="Calibri" w:cs="Times New Roman"/>
                <w:lang w:val="en-US"/>
              </w:rPr>
              <w:t>Delayed diagnosis</w:t>
            </w:r>
          </w:p>
          <w:p w14:paraId="303B85E6" w14:textId="77777777" w:rsidR="000F7E56" w:rsidRPr="000F7E56" w:rsidRDefault="000F7E56" w:rsidP="000F7E56">
            <w:pPr>
              <w:rPr>
                <w:rFonts w:ascii="Calibri" w:eastAsia="Calibri" w:hAnsi="Calibri" w:cs="Times New Roman"/>
                <w:lang w:val="en-US"/>
              </w:rPr>
            </w:pPr>
          </w:p>
          <w:p w14:paraId="768C8312" w14:textId="77777777" w:rsidR="000F7E56" w:rsidRPr="000F7E56" w:rsidRDefault="000F7E56" w:rsidP="000F7E56">
            <w:pPr>
              <w:rPr>
                <w:rFonts w:ascii="Calibri" w:eastAsia="Calibri" w:hAnsi="Calibri" w:cs="Times New Roman"/>
                <w:lang w:val="en-US"/>
              </w:rPr>
            </w:pPr>
            <w:r w:rsidRPr="000F7E56">
              <w:rPr>
                <w:rFonts w:ascii="Calibri" w:eastAsia="Calibri" w:hAnsi="Calibri" w:cs="Times New Roman"/>
                <w:lang w:val="en-US"/>
              </w:rPr>
              <w:t xml:space="preserve">Positive and negative experiences of HCP’s and hospital </w:t>
            </w:r>
          </w:p>
          <w:p w14:paraId="078D446D" w14:textId="77777777" w:rsidR="000F7E56" w:rsidRPr="000F7E56" w:rsidRDefault="000F7E56" w:rsidP="000F7E56">
            <w:pPr>
              <w:rPr>
                <w:rFonts w:ascii="Calibri" w:eastAsia="Calibri" w:hAnsi="Calibri" w:cs="Times New Roman"/>
                <w:lang w:val="en-US"/>
              </w:rPr>
            </w:pPr>
          </w:p>
          <w:p w14:paraId="5186B8E0" w14:textId="77777777" w:rsidR="000F7E56" w:rsidRPr="000F7E56" w:rsidRDefault="000F7E56" w:rsidP="000F7E56">
            <w:pPr>
              <w:rPr>
                <w:rFonts w:ascii="Calibri" w:eastAsia="Calibri" w:hAnsi="Calibri" w:cs="Times New Roman"/>
                <w:lang w:val="en-US"/>
              </w:rPr>
            </w:pPr>
            <w:r w:rsidRPr="000F7E56">
              <w:rPr>
                <w:rFonts w:ascii="Calibri" w:eastAsia="Calibri" w:hAnsi="Calibri" w:cs="Times New Roman"/>
                <w:lang w:val="en-US"/>
              </w:rPr>
              <w:t>Food is important in a spiritual way</w:t>
            </w:r>
          </w:p>
          <w:p w14:paraId="386F5AD1" w14:textId="77777777" w:rsidR="000F7E56" w:rsidRPr="000F7E56" w:rsidRDefault="000F7E56" w:rsidP="000F7E56">
            <w:pPr>
              <w:rPr>
                <w:rFonts w:ascii="Calibri" w:eastAsia="Calibri" w:hAnsi="Calibri" w:cs="Times New Roman"/>
                <w:lang w:val="en-US"/>
              </w:rPr>
            </w:pPr>
          </w:p>
          <w:p w14:paraId="22FBDDEB" w14:textId="77777777" w:rsidR="000F7E56" w:rsidRPr="000F7E56" w:rsidRDefault="000F7E56" w:rsidP="000F7E56">
            <w:pPr>
              <w:rPr>
                <w:rFonts w:ascii="Calibri" w:eastAsia="Calibri" w:hAnsi="Calibri" w:cs="Times New Roman"/>
                <w:lang w:val="en-US"/>
              </w:rPr>
            </w:pPr>
            <w:r w:rsidRPr="000F7E56">
              <w:rPr>
                <w:rFonts w:ascii="Calibri" w:eastAsia="Calibri" w:hAnsi="Calibri" w:cs="Times New Roman"/>
                <w:lang w:val="en-US"/>
              </w:rPr>
              <w:t>Family Trust gained by HCP. Makes for easier EOLCP/EOLC discussions</w:t>
            </w:r>
          </w:p>
        </w:tc>
        <w:tc>
          <w:tcPr>
            <w:tcW w:w="1342" w:type="pct"/>
          </w:tcPr>
          <w:p w14:paraId="337D399E" w14:textId="77777777" w:rsidR="000F7E56" w:rsidRPr="000F7E56" w:rsidRDefault="000F7E56" w:rsidP="000F7E56">
            <w:pPr>
              <w:rPr>
                <w:rFonts w:ascii="Calibri" w:eastAsia="Calibri" w:hAnsi="Calibri" w:cs="Times New Roman"/>
                <w:lang w:val="en-US"/>
              </w:rPr>
            </w:pPr>
            <w:r w:rsidRPr="000F7E56">
              <w:rPr>
                <w:rFonts w:ascii="Calibri" w:eastAsia="Calibri" w:hAnsi="Calibri" w:cs="Times New Roman"/>
                <w:lang w:val="en-US"/>
              </w:rPr>
              <w:t>Gaining trust; peer support</w:t>
            </w:r>
          </w:p>
          <w:p w14:paraId="6618338B" w14:textId="77777777" w:rsidR="000F7E56" w:rsidRPr="000F7E56" w:rsidRDefault="000F7E56" w:rsidP="000F7E56">
            <w:pPr>
              <w:rPr>
                <w:rFonts w:ascii="Calibri" w:eastAsia="Calibri" w:hAnsi="Calibri" w:cs="Times New Roman"/>
                <w:lang w:val="en-US"/>
              </w:rPr>
            </w:pPr>
          </w:p>
        </w:tc>
      </w:tr>
      <w:tr w:rsidR="000F7E56" w:rsidRPr="000F7E56" w14:paraId="3818AE23" w14:textId="77777777" w:rsidTr="0040316A">
        <w:tc>
          <w:tcPr>
            <w:tcW w:w="615" w:type="pct"/>
          </w:tcPr>
          <w:p w14:paraId="0DEFE674" w14:textId="77777777" w:rsidR="000F7E56" w:rsidRPr="000F7E56" w:rsidRDefault="000F7E56" w:rsidP="000F7E56">
            <w:pPr>
              <w:rPr>
                <w:rFonts w:ascii="Calibri" w:eastAsia="Calibri" w:hAnsi="Calibri" w:cs="Times New Roman"/>
                <w:lang w:val="en-US"/>
              </w:rPr>
            </w:pPr>
            <w:r w:rsidRPr="000F7E56">
              <w:rPr>
                <w:rFonts w:ascii="Calibri" w:eastAsia="Calibri" w:hAnsi="Calibri" w:cs="Times New Roman"/>
                <w:lang w:val="en-US"/>
              </w:rPr>
              <w:t>Story 7:</w:t>
            </w:r>
          </w:p>
          <w:p w14:paraId="4768B945" w14:textId="77777777" w:rsidR="000F7E56" w:rsidRPr="000F7E56" w:rsidRDefault="000F7E56" w:rsidP="000F7E56">
            <w:pPr>
              <w:rPr>
                <w:rFonts w:ascii="Calibri" w:eastAsia="Calibri" w:hAnsi="Calibri" w:cs="Times New Roman"/>
                <w:lang w:val="en-US"/>
              </w:rPr>
            </w:pPr>
            <w:proofErr w:type="spellStart"/>
            <w:r w:rsidRPr="000F7E56">
              <w:rPr>
                <w:rFonts w:ascii="Calibri" w:eastAsia="Calibri" w:hAnsi="Calibri" w:cs="Times New Roman"/>
                <w:lang w:val="en-US"/>
              </w:rPr>
              <w:t>Kozal</w:t>
            </w:r>
            <w:proofErr w:type="spellEnd"/>
            <w:r w:rsidRPr="000F7E56">
              <w:rPr>
                <w:rFonts w:ascii="Calibri" w:eastAsia="Calibri" w:hAnsi="Calibri" w:cs="Times New Roman"/>
                <w:lang w:val="en-US"/>
              </w:rPr>
              <w:t xml:space="preserve"> </w:t>
            </w:r>
          </w:p>
          <w:p w14:paraId="179870B3" w14:textId="77777777" w:rsidR="000F7E56" w:rsidRPr="000F7E56" w:rsidRDefault="000F7E56" w:rsidP="000F7E56">
            <w:pPr>
              <w:rPr>
                <w:rFonts w:ascii="Calibri" w:eastAsia="Calibri" w:hAnsi="Calibri" w:cs="Times New Roman"/>
                <w:lang w:val="en-US"/>
              </w:rPr>
            </w:pPr>
            <w:r w:rsidRPr="000F7E56">
              <w:rPr>
                <w:rFonts w:ascii="Calibri" w:eastAsia="Calibri" w:hAnsi="Calibri" w:cs="Times New Roman"/>
                <w:lang w:val="en-US"/>
              </w:rPr>
              <w:t>(patient)</w:t>
            </w:r>
          </w:p>
        </w:tc>
        <w:tc>
          <w:tcPr>
            <w:tcW w:w="1869" w:type="pct"/>
          </w:tcPr>
          <w:p w14:paraId="4E283454" w14:textId="77777777" w:rsidR="000F7E56" w:rsidRPr="000F7E56" w:rsidRDefault="000F7E56" w:rsidP="000F7E56">
            <w:pPr>
              <w:rPr>
                <w:rFonts w:ascii="Calibri" w:eastAsia="Calibri" w:hAnsi="Calibri" w:cs="Times New Roman"/>
              </w:rPr>
            </w:pPr>
            <w:r w:rsidRPr="000F7E56">
              <w:rPr>
                <w:rFonts w:ascii="Calibri" w:eastAsia="Calibri" w:hAnsi="Calibri" w:cs="Times New Roman"/>
              </w:rPr>
              <w:t>The future is not in my hands</w:t>
            </w:r>
          </w:p>
          <w:p w14:paraId="776C6848" w14:textId="77777777" w:rsidR="000F7E56" w:rsidRPr="000F7E56" w:rsidRDefault="000F7E56" w:rsidP="000F7E56">
            <w:pPr>
              <w:rPr>
                <w:rFonts w:ascii="Calibri" w:eastAsia="Calibri" w:hAnsi="Calibri" w:cs="Times New Roman"/>
              </w:rPr>
            </w:pPr>
          </w:p>
          <w:p w14:paraId="14E99655" w14:textId="77777777" w:rsidR="000F7E56" w:rsidRPr="000F7E56" w:rsidRDefault="000F7E56" w:rsidP="000F7E56">
            <w:pPr>
              <w:rPr>
                <w:rFonts w:ascii="Calibri" w:eastAsia="Calibri" w:hAnsi="Calibri" w:cs="Times New Roman"/>
              </w:rPr>
            </w:pPr>
            <w:r w:rsidRPr="000F7E56">
              <w:rPr>
                <w:rFonts w:ascii="Calibri" w:eastAsia="Calibri" w:hAnsi="Calibri" w:cs="Times New Roman"/>
              </w:rPr>
              <w:t>Carer struggling</w:t>
            </w:r>
          </w:p>
          <w:p w14:paraId="6038FE3D" w14:textId="77777777" w:rsidR="000F7E56" w:rsidRPr="000F7E56" w:rsidRDefault="000F7E56" w:rsidP="000F7E56">
            <w:pPr>
              <w:rPr>
                <w:rFonts w:ascii="Calibri" w:eastAsia="Calibri" w:hAnsi="Calibri" w:cs="Times New Roman"/>
              </w:rPr>
            </w:pPr>
          </w:p>
          <w:p w14:paraId="057E4F51" w14:textId="77777777" w:rsidR="000F7E56" w:rsidRPr="000F7E56" w:rsidRDefault="000F7E56" w:rsidP="000F7E56">
            <w:pPr>
              <w:rPr>
                <w:rFonts w:ascii="Calibri" w:eastAsia="Calibri" w:hAnsi="Calibri" w:cs="Times New Roman"/>
              </w:rPr>
            </w:pPr>
            <w:r w:rsidRPr="000F7E56">
              <w:rPr>
                <w:rFonts w:ascii="Calibri" w:eastAsia="Calibri" w:hAnsi="Calibri" w:cs="Times New Roman"/>
              </w:rPr>
              <w:t>Fear of morphine</w:t>
            </w:r>
          </w:p>
          <w:p w14:paraId="59B59224" w14:textId="77777777" w:rsidR="000F7E56" w:rsidRPr="000F7E56" w:rsidRDefault="000F7E56" w:rsidP="000F7E56">
            <w:pPr>
              <w:rPr>
                <w:rFonts w:ascii="Calibri" w:eastAsia="Calibri" w:hAnsi="Calibri" w:cs="Times New Roman"/>
              </w:rPr>
            </w:pPr>
          </w:p>
          <w:p w14:paraId="25B4665E" w14:textId="77777777" w:rsidR="000F7E56" w:rsidRPr="000F7E56" w:rsidRDefault="000F7E56" w:rsidP="000F7E56">
            <w:pPr>
              <w:rPr>
                <w:rFonts w:ascii="Calibri" w:eastAsia="Calibri" w:hAnsi="Calibri" w:cs="Times New Roman"/>
                <w:lang w:val="en-US"/>
              </w:rPr>
            </w:pPr>
          </w:p>
        </w:tc>
        <w:tc>
          <w:tcPr>
            <w:tcW w:w="1174" w:type="pct"/>
          </w:tcPr>
          <w:p w14:paraId="14C7DE39" w14:textId="77777777" w:rsidR="000F7E56" w:rsidRPr="000F7E56" w:rsidRDefault="000F7E56" w:rsidP="000F7E56">
            <w:pPr>
              <w:rPr>
                <w:rFonts w:ascii="Calibri" w:eastAsia="Calibri" w:hAnsi="Calibri" w:cs="Times New Roman"/>
              </w:rPr>
            </w:pPr>
            <w:r w:rsidRPr="000F7E56">
              <w:rPr>
                <w:rFonts w:ascii="Calibri" w:eastAsia="Calibri" w:hAnsi="Calibri" w:cs="Times New Roman"/>
              </w:rPr>
              <w:t>Such discussions are a family matter</w:t>
            </w:r>
          </w:p>
          <w:p w14:paraId="52A4DB6A" w14:textId="77777777" w:rsidR="000F7E56" w:rsidRPr="000F7E56" w:rsidRDefault="000F7E56" w:rsidP="000F7E56">
            <w:pPr>
              <w:rPr>
                <w:rFonts w:ascii="Calibri" w:eastAsia="Calibri" w:hAnsi="Calibri" w:cs="Times New Roman"/>
              </w:rPr>
            </w:pPr>
          </w:p>
          <w:p w14:paraId="19825FE1" w14:textId="77777777" w:rsidR="000F7E56" w:rsidRPr="000F7E56" w:rsidRDefault="000F7E56" w:rsidP="000F7E56">
            <w:pPr>
              <w:rPr>
                <w:rFonts w:ascii="Calibri" w:eastAsia="Calibri" w:hAnsi="Calibri" w:cs="Times New Roman"/>
              </w:rPr>
            </w:pPr>
            <w:r w:rsidRPr="000F7E56">
              <w:rPr>
                <w:rFonts w:ascii="Calibri" w:eastAsia="Calibri" w:hAnsi="Calibri" w:cs="Times New Roman"/>
              </w:rPr>
              <w:t>Delayed diagnosis</w:t>
            </w:r>
          </w:p>
          <w:p w14:paraId="39A50392" w14:textId="77777777" w:rsidR="000F7E56" w:rsidRPr="000F7E56" w:rsidRDefault="000F7E56" w:rsidP="000F7E56">
            <w:pPr>
              <w:rPr>
                <w:rFonts w:ascii="Calibri" w:eastAsia="Calibri" w:hAnsi="Calibri" w:cs="Times New Roman"/>
              </w:rPr>
            </w:pPr>
          </w:p>
          <w:p w14:paraId="0A86C0CC" w14:textId="77777777" w:rsidR="000F7E56" w:rsidRPr="000F7E56" w:rsidRDefault="000F7E56" w:rsidP="000F7E56">
            <w:pPr>
              <w:rPr>
                <w:rFonts w:ascii="Calibri" w:eastAsia="Calibri" w:hAnsi="Calibri" w:cs="Times New Roman"/>
              </w:rPr>
            </w:pPr>
            <w:r w:rsidRPr="000F7E56">
              <w:rPr>
                <w:rFonts w:ascii="Calibri" w:eastAsia="Calibri" w:hAnsi="Calibri" w:cs="Times New Roman"/>
              </w:rPr>
              <w:t xml:space="preserve">Mistrust of health care systems </w:t>
            </w:r>
          </w:p>
          <w:p w14:paraId="6E9F13E5" w14:textId="77777777" w:rsidR="000F7E56" w:rsidRPr="000F7E56" w:rsidRDefault="000F7E56" w:rsidP="000F7E56">
            <w:pPr>
              <w:rPr>
                <w:rFonts w:ascii="Calibri" w:eastAsia="Calibri" w:hAnsi="Calibri" w:cs="Times New Roman"/>
              </w:rPr>
            </w:pPr>
          </w:p>
          <w:p w14:paraId="67CB2476" w14:textId="77777777" w:rsidR="000F7E56" w:rsidRPr="000F7E56" w:rsidRDefault="000F7E56" w:rsidP="000F7E56">
            <w:pPr>
              <w:rPr>
                <w:rFonts w:ascii="Calibri" w:eastAsia="Calibri" w:hAnsi="Calibri" w:cs="Times New Roman"/>
              </w:rPr>
            </w:pPr>
            <w:r w:rsidRPr="000F7E56">
              <w:rPr>
                <w:rFonts w:ascii="Calibri" w:eastAsia="Calibri" w:hAnsi="Calibri" w:cs="Times New Roman"/>
              </w:rPr>
              <w:t>Faith based approach to future</w:t>
            </w:r>
          </w:p>
          <w:p w14:paraId="7742AED6" w14:textId="77777777" w:rsidR="000F7E56" w:rsidRPr="000F7E56" w:rsidRDefault="000F7E56" w:rsidP="000F7E56">
            <w:pPr>
              <w:rPr>
                <w:rFonts w:ascii="Calibri" w:eastAsia="Calibri" w:hAnsi="Calibri" w:cs="Times New Roman"/>
              </w:rPr>
            </w:pPr>
          </w:p>
          <w:p w14:paraId="543A3E21" w14:textId="77777777" w:rsidR="000F7E56" w:rsidRPr="000F7E56" w:rsidRDefault="000F7E56" w:rsidP="000F7E56">
            <w:pPr>
              <w:rPr>
                <w:rFonts w:ascii="Calibri" w:eastAsia="Calibri" w:hAnsi="Calibri" w:cs="Times New Roman"/>
              </w:rPr>
            </w:pPr>
            <w:r w:rsidRPr="000F7E56">
              <w:rPr>
                <w:rFonts w:ascii="Calibri" w:eastAsia="Calibri" w:hAnsi="Calibri" w:cs="Times New Roman"/>
              </w:rPr>
              <w:t>Beliefs about use of morphine.</w:t>
            </w:r>
          </w:p>
          <w:p w14:paraId="596E5187" w14:textId="77777777" w:rsidR="000F7E56" w:rsidRPr="000F7E56" w:rsidRDefault="000F7E56" w:rsidP="000F7E56">
            <w:pPr>
              <w:rPr>
                <w:rFonts w:ascii="Calibri" w:eastAsia="Calibri" w:hAnsi="Calibri" w:cs="Times New Roman"/>
              </w:rPr>
            </w:pPr>
          </w:p>
          <w:p w14:paraId="783A8434" w14:textId="77777777" w:rsidR="000F7E56" w:rsidRPr="000F7E56" w:rsidRDefault="000F7E56" w:rsidP="000F7E56">
            <w:pPr>
              <w:rPr>
                <w:rFonts w:ascii="Calibri" w:eastAsia="Calibri" w:hAnsi="Calibri" w:cs="Times New Roman"/>
              </w:rPr>
            </w:pPr>
            <w:r w:rsidRPr="000F7E56">
              <w:rPr>
                <w:rFonts w:ascii="Calibri" w:eastAsia="Calibri" w:hAnsi="Calibri" w:cs="Times New Roman"/>
              </w:rPr>
              <w:t>Evil and its reality in people’s life as a force</w:t>
            </w:r>
          </w:p>
          <w:p w14:paraId="77EEA8C3" w14:textId="77777777" w:rsidR="000F7E56" w:rsidRPr="000F7E56" w:rsidRDefault="000F7E56" w:rsidP="000F7E56">
            <w:pPr>
              <w:rPr>
                <w:rFonts w:ascii="Calibri" w:eastAsia="Calibri" w:hAnsi="Calibri" w:cs="Times New Roman"/>
              </w:rPr>
            </w:pPr>
          </w:p>
          <w:p w14:paraId="19CD3402" w14:textId="77777777" w:rsidR="000F7E56" w:rsidRPr="000F7E56" w:rsidRDefault="000F7E56" w:rsidP="000F7E56">
            <w:pPr>
              <w:rPr>
                <w:rFonts w:ascii="Calibri" w:eastAsia="Calibri" w:hAnsi="Calibri" w:cs="Times New Roman"/>
              </w:rPr>
            </w:pPr>
            <w:r w:rsidRPr="000F7E56">
              <w:rPr>
                <w:rFonts w:ascii="Calibri" w:eastAsia="Calibri" w:hAnsi="Calibri" w:cs="Times New Roman"/>
              </w:rPr>
              <w:t>Spiritual preparation for life after death</w:t>
            </w:r>
          </w:p>
          <w:p w14:paraId="7050EB3E" w14:textId="77777777" w:rsidR="000F7E56" w:rsidRPr="000F7E56" w:rsidRDefault="000F7E56" w:rsidP="000F7E56">
            <w:pPr>
              <w:rPr>
                <w:rFonts w:ascii="Calibri" w:eastAsia="Calibri" w:hAnsi="Calibri" w:cs="Times New Roman"/>
              </w:rPr>
            </w:pPr>
          </w:p>
          <w:p w14:paraId="6B5DA467" w14:textId="77777777" w:rsidR="000F7E56" w:rsidRPr="000F7E56" w:rsidRDefault="000F7E56" w:rsidP="000F7E56">
            <w:pPr>
              <w:rPr>
                <w:rFonts w:ascii="Calibri" w:eastAsia="Calibri" w:hAnsi="Calibri" w:cs="Times New Roman"/>
              </w:rPr>
            </w:pPr>
          </w:p>
          <w:p w14:paraId="0278FF6E" w14:textId="77777777" w:rsidR="000F7E56" w:rsidRPr="000F7E56" w:rsidRDefault="000F7E56" w:rsidP="000F7E56">
            <w:pPr>
              <w:rPr>
                <w:rFonts w:ascii="Calibri" w:eastAsia="Calibri" w:hAnsi="Calibri" w:cs="Times New Roman"/>
                <w:lang w:val="en-US"/>
              </w:rPr>
            </w:pPr>
          </w:p>
        </w:tc>
        <w:tc>
          <w:tcPr>
            <w:tcW w:w="1342" w:type="pct"/>
          </w:tcPr>
          <w:p w14:paraId="76EBC3BF" w14:textId="77777777" w:rsidR="000F7E56" w:rsidRPr="000F7E56" w:rsidRDefault="000F7E56" w:rsidP="000F7E56">
            <w:pPr>
              <w:rPr>
                <w:rFonts w:ascii="Calibri" w:eastAsia="Calibri" w:hAnsi="Calibri" w:cs="Times New Roman"/>
                <w:lang w:val="en-US"/>
              </w:rPr>
            </w:pPr>
            <w:r w:rsidRPr="000F7E56">
              <w:rPr>
                <w:rFonts w:ascii="Calibri" w:eastAsia="Calibri" w:hAnsi="Calibri" w:cs="Times New Roman"/>
                <w:lang w:val="en-US"/>
              </w:rPr>
              <w:t>A battle to be known</w:t>
            </w:r>
          </w:p>
          <w:p w14:paraId="4DC17DB6" w14:textId="77777777" w:rsidR="000F7E56" w:rsidRPr="000F7E56" w:rsidRDefault="000F7E56" w:rsidP="000F7E56">
            <w:pPr>
              <w:rPr>
                <w:rFonts w:ascii="Calibri" w:eastAsia="Calibri" w:hAnsi="Calibri" w:cs="Times New Roman"/>
                <w:lang w:val="en-US"/>
              </w:rPr>
            </w:pPr>
            <w:r w:rsidRPr="000F7E56">
              <w:rPr>
                <w:rFonts w:ascii="Calibri" w:eastAsia="Calibri" w:hAnsi="Calibri" w:cs="Times New Roman"/>
                <w:lang w:val="en-US"/>
              </w:rPr>
              <w:t>Not afraid of death</w:t>
            </w:r>
          </w:p>
          <w:p w14:paraId="13007B53" w14:textId="77777777" w:rsidR="000F7E56" w:rsidRPr="000F7E56" w:rsidRDefault="000F7E56" w:rsidP="000F7E56">
            <w:pPr>
              <w:rPr>
                <w:rFonts w:ascii="Calibri" w:eastAsia="Calibri" w:hAnsi="Calibri" w:cs="Times New Roman"/>
                <w:lang w:val="en-US"/>
              </w:rPr>
            </w:pPr>
            <w:r w:rsidRPr="000F7E56">
              <w:rPr>
                <w:rFonts w:ascii="Calibri" w:eastAsia="Calibri" w:hAnsi="Calibri" w:cs="Times New Roman"/>
                <w:lang w:val="en-US"/>
              </w:rPr>
              <w:t>Less common religion/community</w:t>
            </w:r>
          </w:p>
          <w:p w14:paraId="1487C837" w14:textId="77777777" w:rsidR="000F7E56" w:rsidRPr="000F7E56" w:rsidRDefault="000F7E56" w:rsidP="000F7E56">
            <w:pPr>
              <w:rPr>
                <w:rFonts w:ascii="Calibri" w:eastAsia="Calibri" w:hAnsi="Calibri" w:cs="Times New Roman"/>
                <w:lang w:val="en-US"/>
              </w:rPr>
            </w:pPr>
          </w:p>
        </w:tc>
      </w:tr>
      <w:tr w:rsidR="000F7E56" w:rsidRPr="000F7E56" w14:paraId="50BBE0A6" w14:textId="77777777" w:rsidTr="0040316A">
        <w:tc>
          <w:tcPr>
            <w:tcW w:w="615" w:type="pct"/>
          </w:tcPr>
          <w:p w14:paraId="25DD4B7C" w14:textId="77777777" w:rsidR="000F7E56" w:rsidRPr="000F7E56" w:rsidRDefault="000F7E56" w:rsidP="000F7E56">
            <w:pPr>
              <w:rPr>
                <w:rFonts w:ascii="Calibri" w:eastAsia="Calibri" w:hAnsi="Calibri" w:cs="Times New Roman"/>
                <w:lang w:val="en-US"/>
              </w:rPr>
            </w:pPr>
            <w:r w:rsidRPr="000F7E56">
              <w:rPr>
                <w:rFonts w:ascii="Calibri" w:eastAsia="Calibri" w:hAnsi="Calibri" w:cs="Times New Roman"/>
                <w:lang w:val="en-US"/>
              </w:rPr>
              <w:t xml:space="preserve">Story 8: </w:t>
            </w:r>
            <w:proofErr w:type="spellStart"/>
            <w:r w:rsidRPr="000F7E56">
              <w:rPr>
                <w:rFonts w:ascii="Calibri" w:eastAsia="Calibri" w:hAnsi="Calibri" w:cs="Times New Roman"/>
                <w:lang w:val="en-US"/>
              </w:rPr>
              <w:t>Mufaro</w:t>
            </w:r>
            <w:proofErr w:type="spellEnd"/>
            <w:r w:rsidRPr="000F7E56">
              <w:rPr>
                <w:rFonts w:ascii="Calibri" w:eastAsia="Calibri" w:hAnsi="Calibri" w:cs="Times New Roman"/>
                <w:lang w:val="en-US"/>
              </w:rPr>
              <w:t xml:space="preserve"> (Patient) </w:t>
            </w:r>
          </w:p>
        </w:tc>
        <w:tc>
          <w:tcPr>
            <w:tcW w:w="1869" w:type="pct"/>
          </w:tcPr>
          <w:p w14:paraId="35A59490" w14:textId="77777777" w:rsidR="000F7E56" w:rsidRPr="000F7E56" w:rsidRDefault="000F7E56" w:rsidP="000F7E56">
            <w:pPr>
              <w:rPr>
                <w:rFonts w:ascii="Calibri" w:eastAsia="Calibri" w:hAnsi="Calibri" w:cs="Times New Roman"/>
                <w:lang w:val="en-US"/>
              </w:rPr>
            </w:pPr>
            <w:r w:rsidRPr="000F7E56">
              <w:rPr>
                <w:rFonts w:ascii="Calibri" w:eastAsia="Calibri" w:hAnsi="Calibri" w:cs="Times New Roman"/>
                <w:lang w:val="en-US"/>
              </w:rPr>
              <w:t>Stay positive</w:t>
            </w:r>
          </w:p>
          <w:p w14:paraId="2C411ADA" w14:textId="77777777" w:rsidR="000F7E56" w:rsidRPr="000F7E56" w:rsidRDefault="000F7E56" w:rsidP="000F7E56">
            <w:pPr>
              <w:rPr>
                <w:rFonts w:ascii="Calibri" w:eastAsia="Calibri" w:hAnsi="Calibri" w:cs="Times New Roman"/>
                <w:lang w:val="en-US"/>
              </w:rPr>
            </w:pPr>
          </w:p>
          <w:p w14:paraId="58AFDC0F" w14:textId="77777777" w:rsidR="000F7E56" w:rsidRPr="000F7E56" w:rsidRDefault="000F7E56" w:rsidP="000F7E56">
            <w:pPr>
              <w:rPr>
                <w:rFonts w:ascii="Calibri" w:eastAsia="Calibri" w:hAnsi="Calibri" w:cs="Times New Roman"/>
                <w:lang w:val="en-US"/>
              </w:rPr>
            </w:pPr>
            <w:r w:rsidRPr="000F7E56">
              <w:rPr>
                <w:rFonts w:ascii="Calibri" w:eastAsia="Calibri" w:hAnsi="Calibri" w:cs="Times New Roman"/>
                <w:lang w:val="en-US"/>
              </w:rPr>
              <w:t>Fight, don’t give up</w:t>
            </w:r>
          </w:p>
          <w:p w14:paraId="6D9A147F" w14:textId="77777777" w:rsidR="000F7E56" w:rsidRPr="000F7E56" w:rsidRDefault="000F7E56" w:rsidP="000F7E56">
            <w:pPr>
              <w:rPr>
                <w:rFonts w:ascii="Calibri" w:eastAsia="Calibri" w:hAnsi="Calibri" w:cs="Times New Roman"/>
                <w:lang w:val="en-US"/>
              </w:rPr>
            </w:pPr>
          </w:p>
          <w:p w14:paraId="4B113F4D" w14:textId="77777777" w:rsidR="000F7E56" w:rsidRPr="000F7E56" w:rsidRDefault="000F7E56" w:rsidP="000F7E56">
            <w:pPr>
              <w:rPr>
                <w:rFonts w:ascii="Calibri" w:eastAsia="Calibri" w:hAnsi="Calibri" w:cs="Times New Roman"/>
                <w:lang w:val="en-US"/>
              </w:rPr>
            </w:pPr>
            <w:r w:rsidRPr="000F7E56">
              <w:rPr>
                <w:rFonts w:ascii="Calibri" w:eastAsia="Calibri" w:hAnsi="Calibri" w:cs="Times New Roman"/>
                <w:lang w:val="en-US"/>
              </w:rPr>
              <w:t>Selective listening/ only positive interpretation</w:t>
            </w:r>
          </w:p>
          <w:p w14:paraId="6FB64DDA" w14:textId="77777777" w:rsidR="000F7E56" w:rsidRPr="000F7E56" w:rsidRDefault="000F7E56" w:rsidP="000F7E56">
            <w:pPr>
              <w:rPr>
                <w:rFonts w:ascii="Calibri" w:eastAsia="Calibri" w:hAnsi="Calibri" w:cs="Times New Roman"/>
                <w:lang w:val="en-US"/>
              </w:rPr>
            </w:pPr>
          </w:p>
          <w:p w14:paraId="3FD59F14" w14:textId="77777777" w:rsidR="000F7E56" w:rsidRPr="000F7E56" w:rsidRDefault="000F7E56" w:rsidP="000F7E56">
            <w:pPr>
              <w:rPr>
                <w:rFonts w:ascii="Calibri" w:eastAsia="Calibri" w:hAnsi="Calibri" w:cs="Times New Roman"/>
                <w:lang w:val="en-US"/>
              </w:rPr>
            </w:pPr>
            <w:r w:rsidRPr="000F7E56">
              <w:rPr>
                <w:rFonts w:ascii="Calibri" w:eastAsia="Calibri" w:hAnsi="Calibri" w:cs="Times New Roman"/>
                <w:lang w:val="en-US"/>
              </w:rPr>
              <w:t>Differing family approaches to the situation</w:t>
            </w:r>
          </w:p>
        </w:tc>
        <w:tc>
          <w:tcPr>
            <w:tcW w:w="1174" w:type="pct"/>
          </w:tcPr>
          <w:p w14:paraId="014497EA" w14:textId="77777777" w:rsidR="000F7E56" w:rsidRPr="000F7E56" w:rsidRDefault="000F7E56" w:rsidP="000F7E56">
            <w:pPr>
              <w:rPr>
                <w:rFonts w:ascii="Calibri" w:eastAsia="Calibri" w:hAnsi="Calibri" w:cs="Times New Roman"/>
                <w:lang w:val="en-US"/>
              </w:rPr>
            </w:pPr>
          </w:p>
          <w:p w14:paraId="3F8490B9" w14:textId="77777777" w:rsidR="000F7E56" w:rsidRPr="000F7E56" w:rsidRDefault="000F7E56" w:rsidP="000F7E56">
            <w:pPr>
              <w:rPr>
                <w:rFonts w:ascii="Calibri" w:eastAsia="Calibri" w:hAnsi="Calibri" w:cs="Times New Roman"/>
                <w:lang w:val="en-US"/>
              </w:rPr>
            </w:pPr>
            <w:r w:rsidRPr="000F7E56">
              <w:rPr>
                <w:rFonts w:ascii="Calibri" w:eastAsia="Calibri" w:hAnsi="Calibri" w:cs="Times New Roman"/>
                <w:lang w:val="en-US"/>
              </w:rPr>
              <w:t>Expectation of strength due to migration experiences</w:t>
            </w:r>
          </w:p>
          <w:p w14:paraId="5BB0E332" w14:textId="77777777" w:rsidR="000F7E56" w:rsidRPr="000F7E56" w:rsidRDefault="000F7E56" w:rsidP="000F7E56">
            <w:pPr>
              <w:rPr>
                <w:rFonts w:ascii="Calibri" w:eastAsia="Calibri" w:hAnsi="Calibri" w:cs="Times New Roman"/>
                <w:lang w:val="en-US"/>
              </w:rPr>
            </w:pPr>
          </w:p>
          <w:p w14:paraId="2C08E03D" w14:textId="77777777" w:rsidR="000F7E56" w:rsidRPr="000F7E56" w:rsidRDefault="000F7E56" w:rsidP="000F7E56">
            <w:pPr>
              <w:rPr>
                <w:rFonts w:ascii="Calibri" w:eastAsia="Calibri" w:hAnsi="Calibri" w:cs="Times New Roman"/>
                <w:lang w:val="en-US"/>
              </w:rPr>
            </w:pPr>
            <w:r w:rsidRPr="000F7E56">
              <w:rPr>
                <w:rFonts w:ascii="Calibri" w:eastAsia="Calibri" w:hAnsi="Calibri" w:cs="Times New Roman"/>
                <w:lang w:val="en-US"/>
              </w:rPr>
              <w:t>Faith based approach to future: Miracles will happen</w:t>
            </w:r>
          </w:p>
          <w:p w14:paraId="6B8F4D4A" w14:textId="77777777" w:rsidR="000F7E56" w:rsidRPr="000F7E56" w:rsidRDefault="000F7E56" w:rsidP="000F7E56">
            <w:pPr>
              <w:rPr>
                <w:rFonts w:ascii="Calibri" w:eastAsia="Calibri" w:hAnsi="Calibri" w:cs="Times New Roman"/>
                <w:lang w:val="en-US"/>
              </w:rPr>
            </w:pPr>
            <w:r w:rsidRPr="000F7E56">
              <w:rPr>
                <w:rFonts w:ascii="Calibri" w:eastAsia="Calibri" w:hAnsi="Calibri" w:cs="Times New Roman"/>
                <w:lang w:val="en-US"/>
              </w:rPr>
              <w:t>Prayer</w:t>
            </w:r>
          </w:p>
          <w:p w14:paraId="7394F482" w14:textId="77777777" w:rsidR="000F7E56" w:rsidRPr="000F7E56" w:rsidRDefault="000F7E56" w:rsidP="000F7E56">
            <w:pPr>
              <w:rPr>
                <w:rFonts w:ascii="Calibri" w:eastAsia="Calibri" w:hAnsi="Calibri" w:cs="Times New Roman"/>
                <w:lang w:val="en-US"/>
              </w:rPr>
            </w:pPr>
            <w:r w:rsidRPr="000F7E56">
              <w:rPr>
                <w:rFonts w:ascii="Calibri" w:eastAsia="Calibri" w:hAnsi="Calibri" w:cs="Times New Roman"/>
                <w:lang w:val="en-US"/>
              </w:rPr>
              <w:t>In God’s hands.</w:t>
            </w:r>
          </w:p>
          <w:p w14:paraId="34751D55" w14:textId="77777777" w:rsidR="000F7E56" w:rsidRPr="000F7E56" w:rsidRDefault="000F7E56" w:rsidP="000F7E56">
            <w:pPr>
              <w:rPr>
                <w:rFonts w:ascii="Calibri" w:eastAsia="Calibri" w:hAnsi="Calibri" w:cs="Times New Roman"/>
                <w:lang w:val="en-US"/>
              </w:rPr>
            </w:pPr>
          </w:p>
          <w:p w14:paraId="0BF31455" w14:textId="77777777" w:rsidR="000F7E56" w:rsidRPr="000F7E56" w:rsidRDefault="000F7E56" w:rsidP="000F7E56">
            <w:pPr>
              <w:rPr>
                <w:rFonts w:ascii="Calibri" w:eastAsia="Calibri" w:hAnsi="Calibri" w:cs="Times New Roman"/>
                <w:lang w:val="en-US"/>
              </w:rPr>
            </w:pPr>
            <w:r w:rsidRPr="000F7E56">
              <w:rPr>
                <w:rFonts w:ascii="Calibri" w:eastAsia="Calibri" w:hAnsi="Calibri" w:cs="Times New Roman"/>
                <w:lang w:val="en-US"/>
              </w:rPr>
              <w:t>Wrong to talk about dying</w:t>
            </w:r>
          </w:p>
          <w:p w14:paraId="075FBB2D" w14:textId="77777777" w:rsidR="000F7E56" w:rsidRPr="000F7E56" w:rsidRDefault="000F7E56" w:rsidP="000F7E56">
            <w:pPr>
              <w:rPr>
                <w:rFonts w:ascii="Calibri" w:eastAsia="Calibri" w:hAnsi="Calibri" w:cs="Times New Roman"/>
                <w:lang w:val="en-US"/>
              </w:rPr>
            </w:pPr>
          </w:p>
          <w:p w14:paraId="7E9C6CF5" w14:textId="77777777" w:rsidR="000F7E56" w:rsidRPr="000F7E56" w:rsidRDefault="000F7E56" w:rsidP="000F7E56">
            <w:pPr>
              <w:rPr>
                <w:rFonts w:ascii="Calibri" w:eastAsia="Calibri" w:hAnsi="Calibri" w:cs="Times New Roman"/>
                <w:lang w:val="en-US"/>
              </w:rPr>
            </w:pPr>
            <w:r w:rsidRPr="000F7E56">
              <w:rPr>
                <w:rFonts w:ascii="Calibri" w:eastAsia="Calibri" w:hAnsi="Calibri" w:cs="Times New Roman"/>
                <w:lang w:val="en-US"/>
              </w:rPr>
              <w:t>Attitude to HCP</w:t>
            </w:r>
          </w:p>
          <w:p w14:paraId="520CFB5F" w14:textId="77777777" w:rsidR="000F7E56" w:rsidRPr="000F7E56" w:rsidRDefault="000F7E56" w:rsidP="000F7E56">
            <w:pPr>
              <w:rPr>
                <w:rFonts w:ascii="Calibri" w:eastAsia="Calibri" w:hAnsi="Calibri" w:cs="Times New Roman"/>
                <w:lang w:val="en-US"/>
              </w:rPr>
            </w:pPr>
          </w:p>
          <w:p w14:paraId="57145BD4" w14:textId="77777777" w:rsidR="000F7E56" w:rsidRPr="000F7E56" w:rsidRDefault="000F7E56" w:rsidP="000F7E56">
            <w:pPr>
              <w:rPr>
                <w:rFonts w:ascii="Calibri" w:eastAsia="Calibri" w:hAnsi="Calibri" w:cs="Times New Roman"/>
                <w:lang w:val="en-US"/>
              </w:rPr>
            </w:pPr>
            <w:r w:rsidRPr="000F7E56">
              <w:rPr>
                <w:rFonts w:ascii="Calibri" w:eastAsia="Calibri" w:hAnsi="Calibri" w:cs="Times New Roman"/>
                <w:lang w:val="en-US"/>
              </w:rPr>
              <w:t>Unrealistic expectations</w:t>
            </w:r>
          </w:p>
          <w:p w14:paraId="4313B892" w14:textId="77777777" w:rsidR="000F7E56" w:rsidRPr="000F7E56" w:rsidRDefault="000F7E56" w:rsidP="000F7E56">
            <w:pPr>
              <w:rPr>
                <w:rFonts w:ascii="Calibri" w:eastAsia="Calibri" w:hAnsi="Calibri" w:cs="Times New Roman"/>
                <w:lang w:val="en-US"/>
              </w:rPr>
            </w:pPr>
          </w:p>
        </w:tc>
        <w:tc>
          <w:tcPr>
            <w:tcW w:w="1342" w:type="pct"/>
          </w:tcPr>
          <w:p w14:paraId="669C89BC" w14:textId="77777777" w:rsidR="000F7E56" w:rsidRPr="000F7E56" w:rsidRDefault="000F7E56" w:rsidP="000F7E56">
            <w:pPr>
              <w:rPr>
                <w:rFonts w:ascii="Calibri" w:eastAsia="Calibri" w:hAnsi="Calibri" w:cs="Times New Roman"/>
                <w:lang w:val="en-US"/>
              </w:rPr>
            </w:pPr>
          </w:p>
          <w:p w14:paraId="1E5CE331" w14:textId="77777777" w:rsidR="000F7E56" w:rsidRPr="000F7E56" w:rsidRDefault="000F7E56" w:rsidP="000F7E56">
            <w:pPr>
              <w:rPr>
                <w:rFonts w:ascii="Calibri" w:eastAsia="Calibri" w:hAnsi="Calibri" w:cs="Times New Roman"/>
                <w:lang w:val="en-US"/>
              </w:rPr>
            </w:pPr>
            <w:r w:rsidRPr="000F7E56">
              <w:rPr>
                <w:rFonts w:ascii="Calibri" w:eastAsia="Calibri" w:hAnsi="Calibri" w:cs="Times New Roman"/>
                <w:lang w:val="en-US"/>
              </w:rPr>
              <w:t xml:space="preserve">Chinks in his coping strategy </w:t>
            </w:r>
          </w:p>
          <w:p w14:paraId="6C8485DF" w14:textId="77777777" w:rsidR="000F7E56" w:rsidRPr="000F7E56" w:rsidRDefault="000F7E56" w:rsidP="000F7E56">
            <w:pPr>
              <w:rPr>
                <w:rFonts w:ascii="Calibri" w:eastAsia="Calibri" w:hAnsi="Calibri" w:cs="Times New Roman"/>
                <w:lang w:val="en-US"/>
              </w:rPr>
            </w:pPr>
          </w:p>
          <w:p w14:paraId="3310A942" w14:textId="77777777" w:rsidR="000F7E56" w:rsidRPr="000F7E56" w:rsidRDefault="000F7E56" w:rsidP="000F7E56">
            <w:pPr>
              <w:rPr>
                <w:rFonts w:ascii="Calibri" w:eastAsia="Calibri" w:hAnsi="Calibri" w:cs="Times New Roman"/>
                <w:lang w:val="en-US"/>
              </w:rPr>
            </w:pPr>
            <w:r w:rsidRPr="000F7E56">
              <w:rPr>
                <w:rFonts w:ascii="Calibri" w:eastAsia="Calibri" w:hAnsi="Calibri" w:cs="Times New Roman"/>
                <w:lang w:val="en-US"/>
              </w:rPr>
              <w:t>Tension in family/community</w:t>
            </w:r>
          </w:p>
          <w:p w14:paraId="213A1C86" w14:textId="77777777" w:rsidR="000F7E56" w:rsidRPr="000F7E56" w:rsidRDefault="000F7E56" w:rsidP="000F7E56">
            <w:pPr>
              <w:rPr>
                <w:rFonts w:ascii="Calibri" w:eastAsia="Calibri" w:hAnsi="Calibri" w:cs="Times New Roman"/>
                <w:lang w:val="en-US"/>
              </w:rPr>
            </w:pPr>
          </w:p>
          <w:p w14:paraId="4D650876" w14:textId="77777777" w:rsidR="000F7E56" w:rsidRPr="000F7E56" w:rsidRDefault="000F7E56" w:rsidP="000F7E56">
            <w:pPr>
              <w:rPr>
                <w:rFonts w:ascii="Calibri" w:eastAsia="Calibri" w:hAnsi="Calibri" w:cs="Times New Roman"/>
                <w:lang w:val="en-US"/>
              </w:rPr>
            </w:pPr>
            <w:r w:rsidRPr="000F7E56">
              <w:rPr>
                <w:rFonts w:ascii="Calibri" w:eastAsia="Calibri" w:hAnsi="Calibri" w:cs="Times New Roman"/>
                <w:lang w:val="en-US"/>
              </w:rPr>
              <w:t>Openness/lack of openness</w:t>
            </w:r>
          </w:p>
          <w:p w14:paraId="38027128" w14:textId="77777777" w:rsidR="000F7E56" w:rsidRPr="000F7E56" w:rsidRDefault="000F7E56" w:rsidP="000F7E56">
            <w:pPr>
              <w:rPr>
                <w:rFonts w:ascii="Calibri" w:eastAsia="Calibri" w:hAnsi="Calibri" w:cs="Times New Roman"/>
                <w:lang w:val="en-US"/>
              </w:rPr>
            </w:pPr>
          </w:p>
        </w:tc>
      </w:tr>
    </w:tbl>
    <w:p w14:paraId="3F0E2C91" w14:textId="0226C589" w:rsidR="00514EB4" w:rsidRDefault="00514EB4" w:rsidP="00514EB4">
      <w:pPr>
        <w:pStyle w:val="Caption"/>
      </w:pPr>
      <w:bookmarkStart w:id="346" w:name="_Toc106701073"/>
      <w:bookmarkEnd w:id="345"/>
      <w:r>
        <w:t xml:space="preserve">TABLE </w:t>
      </w:r>
      <w:r w:rsidR="00D74EFC">
        <w:fldChar w:fldCharType="begin"/>
      </w:r>
      <w:r w:rsidR="00D74EFC">
        <w:instrText xml:space="preserve"> SEQ Table \* ARABIC </w:instrText>
      </w:r>
      <w:r w:rsidR="00D74EFC">
        <w:fldChar w:fldCharType="separate"/>
      </w:r>
      <w:r>
        <w:rPr>
          <w:noProof/>
        </w:rPr>
        <w:t>11</w:t>
      </w:r>
      <w:r w:rsidR="00D74EFC">
        <w:rPr>
          <w:noProof/>
        </w:rPr>
        <w:fldChar w:fldCharType="end"/>
      </w:r>
      <w:r>
        <w:t xml:space="preserve"> - Stories and themes</w:t>
      </w:r>
      <w:bookmarkEnd w:id="346"/>
    </w:p>
    <w:p w14:paraId="4B3FB85A" w14:textId="776028E7" w:rsidR="000F7E56" w:rsidRPr="000F7E56" w:rsidRDefault="000F7E56" w:rsidP="00D74EFC">
      <w:pPr>
        <w:pStyle w:val="Caption"/>
        <w:rPr>
          <w:rFonts w:ascii="Calibri" w:eastAsia="Calibri" w:hAnsi="Calibri" w:cs="Times New Roman"/>
          <w:lang w:val="en-US"/>
        </w:rPr>
      </w:pPr>
      <w:r w:rsidRPr="000F7E56">
        <w:rPr>
          <w:rFonts w:ascii="Calibri" w:eastAsia="Calibri" w:hAnsi="Calibri" w:cs="Times New Roman"/>
          <w:lang w:val="en-US"/>
        </w:rPr>
        <w:t xml:space="preserve">As described in chapter 2: Methods, the findings have been collated and </w:t>
      </w:r>
      <w:proofErr w:type="spellStart"/>
      <w:r w:rsidRPr="000F7E56">
        <w:rPr>
          <w:rFonts w:ascii="Calibri" w:eastAsia="Calibri" w:hAnsi="Calibri" w:cs="Times New Roman"/>
          <w:lang w:val="en-US"/>
        </w:rPr>
        <w:t>analysed</w:t>
      </w:r>
      <w:proofErr w:type="spellEnd"/>
      <w:r w:rsidRPr="000F7E56">
        <w:rPr>
          <w:rFonts w:ascii="Calibri" w:eastAsia="Calibri" w:hAnsi="Calibri" w:cs="Times New Roman"/>
          <w:lang w:val="en-US"/>
        </w:rPr>
        <w:t xml:space="preserve"> using a pragmatic approach to thematic analysis and are presented below under the two key areas of stakeholders’ views, firstly on the barriers and secondly on the enablers to ED patients, FCGs and HCPs in engaging in EOLCP. Key themes are also italicized below and illustrative examples that participants shared about their experiences and supported their views are discussed.    </w:t>
      </w:r>
    </w:p>
    <w:p w14:paraId="669031AE" w14:textId="70280F38" w:rsidR="000F7E56" w:rsidRPr="000F7E56" w:rsidRDefault="000F7E56" w:rsidP="000F7E56">
      <w:pPr>
        <w:keepNext/>
        <w:keepLines/>
        <w:spacing w:before="40" w:after="0" w:line="360" w:lineRule="auto"/>
        <w:outlineLvl w:val="1"/>
        <w:rPr>
          <w:rFonts w:asciiTheme="majorHAnsi" w:eastAsiaTheme="majorEastAsia" w:hAnsiTheme="majorHAnsi" w:cstheme="majorBidi"/>
          <w:color w:val="2F5496" w:themeColor="accent1" w:themeShade="BF"/>
          <w:sz w:val="24"/>
          <w:szCs w:val="24"/>
        </w:rPr>
      </w:pPr>
      <w:bookmarkStart w:id="347" w:name="_Toc89665184"/>
      <w:bookmarkStart w:id="348" w:name="_Toc89671936"/>
      <w:bookmarkStart w:id="349" w:name="_Toc89764006"/>
      <w:bookmarkStart w:id="350" w:name="_Toc106697835"/>
      <w:r w:rsidRPr="000F7E56">
        <w:rPr>
          <w:rFonts w:asciiTheme="majorHAnsi" w:eastAsiaTheme="majorEastAsia" w:hAnsiTheme="majorHAnsi" w:cstheme="majorBidi"/>
          <w:color w:val="2F5496" w:themeColor="accent1" w:themeShade="BF"/>
          <w:sz w:val="24"/>
          <w:szCs w:val="24"/>
        </w:rPr>
        <w:t xml:space="preserve">Barriers to engaging in </w:t>
      </w:r>
      <w:bookmarkEnd w:id="347"/>
      <w:bookmarkEnd w:id="348"/>
      <w:bookmarkEnd w:id="349"/>
      <w:r w:rsidR="00DA32BF">
        <w:rPr>
          <w:rFonts w:asciiTheme="majorHAnsi" w:eastAsiaTheme="majorEastAsia" w:hAnsiTheme="majorHAnsi" w:cstheme="majorBidi"/>
          <w:color w:val="2F5496" w:themeColor="accent1" w:themeShade="BF"/>
          <w:sz w:val="24"/>
          <w:szCs w:val="24"/>
        </w:rPr>
        <w:t>end-of-life care planning</w:t>
      </w:r>
      <w:bookmarkEnd w:id="350"/>
    </w:p>
    <w:p w14:paraId="44CECA02" w14:textId="77777777" w:rsidR="000F7E56" w:rsidRPr="000F7E56" w:rsidRDefault="000F7E56" w:rsidP="000F7E56">
      <w:pPr>
        <w:keepNext/>
        <w:keepLines/>
        <w:spacing w:before="40" w:after="0" w:line="276" w:lineRule="auto"/>
        <w:outlineLvl w:val="2"/>
        <w:rPr>
          <w:rFonts w:asciiTheme="majorHAnsi" w:eastAsia="Times New Roman" w:hAnsiTheme="majorHAnsi" w:cstheme="majorBidi"/>
          <w:color w:val="1F3763" w:themeColor="accent1" w:themeShade="7F"/>
          <w:sz w:val="24"/>
          <w:szCs w:val="24"/>
          <w:lang w:val="en-US"/>
        </w:rPr>
      </w:pPr>
      <w:bookmarkStart w:id="351" w:name="_Toc89665185"/>
      <w:bookmarkStart w:id="352" w:name="_Toc89671937"/>
      <w:bookmarkStart w:id="353" w:name="_Toc89764007"/>
      <w:bookmarkStart w:id="354" w:name="_Toc106697836"/>
      <w:r w:rsidRPr="000F7E56">
        <w:rPr>
          <w:rFonts w:asciiTheme="majorHAnsi" w:eastAsia="Times New Roman" w:hAnsiTheme="majorHAnsi" w:cstheme="majorBidi"/>
          <w:color w:val="1F3763" w:themeColor="accent1" w:themeShade="7F"/>
          <w:sz w:val="24"/>
          <w:szCs w:val="24"/>
          <w:lang w:val="en-US"/>
        </w:rPr>
        <w:t>Religious beliefs, community pressure and cultural expectations</w:t>
      </w:r>
      <w:bookmarkEnd w:id="351"/>
      <w:bookmarkEnd w:id="352"/>
      <w:bookmarkEnd w:id="353"/>
      <w:bookmarkEnd w:id="354"/>
    </w:p>
    <w:p w14:paraId="4C289AD9" w14:textId="77777777" w:rsidR="000F7E56" w:rsidRPr="000F7E56" w:rsidRDefault="000F7E56" w:rsidP="000F7E56">
      <w:pPr>
        <w:spacing w:after="120" w:line="360" w:lineRule="auto"/>
        <w:rPr>
          <w:rFonts w:ascii="Calibri" w:eastAsia="Calibri" w:hAnsi="Calibri" w:cs="Times New Roman"/>
        </w:rPr>
      </w:pPr>
      <w:r w:rsidRPr="000F7E56">
        <w:rPr>
          <w:rFonts w:ascii="Calibri" w:eastAsia="Calibri" w:hAnsi="Calibri" w:cs="Times New Roman"/>
          <w:lang w:val="en-US"/>
        </w:rPr>
        <w:t xml:space="preserve">The key barriers to EOLCP suggested by Lay and Community and Faith leaders were: </w:t>
      </w:r>
      <w:r w:rsidRPr="000F7E56">
        <w:rPr>
          <w:rFonts w:ascii="Calibri" w:eastAsia="Calibri" w:hAnsi="Calibri" w:cs="Times New Roman"/>
          <w:i/>
          <w:lang w:val="en-US"/>
        </w:rPr>
        <w:t>Religious fundamentalism</w:t>
      </w:r>
      <w:r w:rsidRPr="000F7E56">
        <w:rPr>
          <w:rFonts w:ascii="Calibri" w:eastAsia="Calibri" w:hAnsi="Calibri" w:cs="Times New Roman"/>
          <w:lang w:val="en-US"/>
        </w:rPr>
        <w:t xml:space="preserve">; </w:t>
      </w:r>
      <w:r w:rsidRPr="000F7E56">
        <w:rPr>
          <w:rFonts w:ascii="Calibri" w:eastAsia="Calibri" w:hAnsi="Calibri" w:cs="Times New Roman"/>
          <w:i/>
          <w:lang w:val="en-US"/>
        </w:rPr>
        <w:t>community pressure</w:t>
      </w:r>
      <w:r w:rsidRPr="000F7E56">
        <w:rPr>
          <w:rFonts w:ascii="Calibri" w:eastAsia="Calibri" w:hAnsi="Calibri" w:cs="Times New Roman"/>
          <w:lang w:val="en-US"/>
        </w:rPr>
        <w:t xml:space="preserve"> </w:t>
      </w:r>
      <w:r w:rsidRPr="000F7E56">
        <w:rPr>
          <w:rFonts w:ascii="Calibri" w:eastAsia="Calibri" w:hAnsi="Calibri" w:cs="Times New Roman"/>
          <w:i/>
          <w:lang w:val="en-US"/>
        </w:rPr>
        <w:t>and cultural expectations</w:t>
      </w:r>
      <w:r w:rsidRPr="000F7E56">
        <w:rPr>
          <w:rFonts w:ascii="Calibri" w:eastAsia="Calibri" w:hAnsi="Calibri" w:cs="Times New Roman"/>
          <w:lang w:val="en-US"/>
        </w:rPr>
        <w:t>. S</w:t>
      </w:r>
      <w:r w:rsidRPr="000F7E56">
        <w:rPr>
          <w:rFonts w:ascii="Calibri" w:eastAsia="Calibri" w:hAnsi="Calibri" w:cs="Times New Roman"/>
        </w:rPr>
        <w:t>tory 1</w:t>
      </w:r>
      <w:r w:rsidRPr="000F7E56">
        <w:rPr>
          <w:rFonts w:ascii="Calibri" w:eastAsia="Calibri" w:hAnsi="Calibri" w:cs="Times New Roman"/>
          <w:i/>
        </w:rPr>
        <w:t xml:space="preserve"> </w:t>
      </w:r>
      <w:r w:rsidRPr="000F7E56">
        <w:rPr>
          <w:rFonts w:ascii="Calibri" w:eastAsia="Calibri" w:hAnsi="Calibri" w:cs="Times New Roman"/>
        </w:rPr>
        <w:t>was viewed as an example of religious beliefs preventing EOLCP</w:t>
      </w:r>
      <w:r w:rsidRPr="000F7E56">
        <w:rPr>
          <w:rFonts w:ascii="Calibri" w:eastAsia="Calibri" w:hAnsi="Calibri" w:cs="Times New Roman"/>
          <w:i/>
        </w:rPr>
        <w:t>.</w:t>
      </w:r>
      <w:r w:rsidRPr="000F7E56">
        <w:rPr>
          <w:rFonts w:ascii="Calibri" w:eastAsia="Calibri" w:hAnsi="Calibri" w:cs="Times New Roman"/>
        </w:rPr>
        <w:t xml:space="preserve"> Participants discussed that the story highlighted that the patient was ‘holding onto miracle’ which suggested it would be difficult to break through such beliefs. They acknowledged that although the patient in the story was terminal, he had not accepted that himself, ‘so he will make it difficult’. There was also the suggestion that</w:t>
      </w:r>
      <w:r w:rsidRPr="000F7E56">
        <w:rPr>
          <w:rFonts w:ascii="Calibri" w:eastAsia="Calibri" w:hAnsi="Calibri" w:cs="Times New Roman"/>
          <w:i/>
        </w:rPr>
        <w:t xml:space="preserve"> community pressure and cultural expectation </w:t>
      </w:r>
      <w:r w:rsidRPr="000F7E56">
        <w:rPr>
          <w:rFonts w:ascii="Calibri" w:eastAsia="Calibri" w:hAnsi="Calibri" w:cs="Times New Roman"/>
        </w:rPr>
        <w:t xml:space="preserve">had an impact on the patient’s ability to accept a terminal diagnosis. There was also a strong sense of duty that the male has to look after the family which was viewed as a reason as to why the patient as the male figurehead was not accepting his terminal diagnosis ‘as he thinks he has to be strong for everyone’. </w:t>
      </w:r>
    </w:p>
    <w:p w14:paraId="4CC954CB" w14:textId="77777777" w:rsidR="000F7E56" w:rsidRPr="000F7E56" w:rsidRDefault="000F7E56" w:rsidP="000F7E56">
      <w:pPr>
        <w:keepNext/>
        <w:keepLines/>
        <w:spacing w:before="40" w:after="0" w:line="276" w:lineRule="auto"/>
        <w:outlineLvl w:val="2"/>
        <w:rPr>
          <w:rFonts w:asciiTheme="majorHAnsi" w:eastAsia="Times New Roman" w:hAnsiTheme="majorHAnsi" w:cstheme="majorBidi"/>
          <w:color w:val="1F3763" w:themeColor="accent1" w:themeShade="7F"/>
          <w:sz w:val="24"/>
          <w:szCs w:val="24"/>
        </w:rPr>
      </w:pPr>
      <w:bookmarkStart w:id="355" w:name="_Toc89665186"/>
      <w:bookmarkStart w:id="356" w:name="_Toc89671938"/>
      <w:bookmarkStart w:id="357" w:name="_Toc89764008"/>
      <w:bookmarkStart w:id="358" w:name="_Toc106697837"/>
      <w:r w:rsidRPr="000F7E56">
        <w:rPr>
          <w:rFonts w:asciiTheme="majorHAnsi" w:eastAsia="Times New Roman" w:hAnsiTheme="majorHAnsi" w:cstheme="majorBidi"/>
          <w:color w:val="1F3763" w:themeColor="accent1" w:themeShade="7F"/>
          <w:sz w:val="24"/>
          <w:szCs w:val="24"/>
        </w:rPr>
        <w:t>Lack of trust</w:t>
      </w:r>
      <w:bookmarkEnd w:id="355"/>
      <w:bookmarkEnd w:id="356"/>
      <w:bookmarkEnd w:id="357"/>
      <w:bookmarkEnd w:id="358"/>
    </w:p>
    <w:p w14:paraId="62C6C10B" w14:textId="77777777" w:rsidR="000F7E56" w:rsidRPr="000F7E56" w:rsidRDefault="000F7E56" w:rsidP="000F7E56">
      <w:pPr>
        <w:spacing w:after="120" w:line="360" w:lineRule="auto"/>
        <w:rPr>
          <w:rFonts w:ascii="Calibri" w:eastAsia="Calibri" w:hAnsi="Calibri" w:cs="Times New Roman"/>
          <w:i/>
        </w:rPr>
      </w:pPr>
      <w:r w:rsidRPr="000F7E56">
        <w:rPr>
          <w:rFonts w:ascii="Calibri" w:eastAsia="Calibri" w:hAnsi="Calibri" w:cs="Times New Roman"/>
        </w:rPr>
        <w:t>Lay, community or faith stakeholders also acknowledged that previous negative healthcare experiences meant the patient was reluctant to have treatment and this had an impact on trust, or more significantly, l</w:t>
      </w:r>
      <w:r w:rsidRPr="000F7E56">
        <w:rPr>
          <w:rFonts w:ascii="Calibri" w:eastAsia="Calibri" w:hAnsi="Calibri" w:cs="Times New Roman"/>
          <w:i/>
        </w:rPr>
        <w:t>ack of trust</w:t>
      </w:r>
      <w:r w:rsidRPr="000F7E56">
        <w:rPr>
          <w:rFonts w:ascii="Calibri" w:eastAsia="Calibri" w:hAnsi="Calibri" w:cs="Times New Roman"/>
        </w:rPr>
        <w:t xml:space="preserve">. </w:t>
      </w:r>
      <w:r w:rsidRPr="000F7E56">
        <w:rPr>
          <w:rFonts w:ascii="Calibri" w:eastAsia="Calibri" w:hAnsi="Calibri" w:cs="Times New Roman"/>
          <w:i/>
        </w:rPr>
        <w:t xml:space="preserve">Lack of trust of professionals and organisations </w:t>
      </w:r>
      <w:r w:rsidRPr="000F7E56">
        <w:rPr>
          <w:rFonts w:ascii="Calibri" w:eastAsia="Calibri" w:hAnsi="Calibri" w:cs="Times New Roman"/>
        </w:rPr>
        <w:t xml:space="preserve">was viewed as a key barrier to EOLCP by Lay, Community Faith and HCPs Stakeholders. One of the participants in the community and faith stakeholders workshop talked about his own experiences and stressed that doctors took decisions without permission from patients and merely asked patients as a formality with reference to the decision about resuscitation. Academic participants also recognised that past experiences could lead to misconceptions about medications for pain based on witnessing the end-of-life experiences of relatives. Time taken to have EOLCP discussions, along with effort to get to know the patient and continuity of care all had an impact on </w:t>
      </w:r>
      <w:r w:rsidRPr="000F7E56">
        <w:rPr>
          <w:rFonts w:ascii="Calibri" w:eastAsia="Calibri" w:hAnsi="Calibri" w:cs="Times New Roman"/>
          <w:i/>
        </w:rPr>
        <w:t>‘lack of trust’.</w:t>
      </w:r>
      <w:r w:rsidRPr="000F7E56">
        <w:rPr>
          <w:rFonts w:ascii="Calibri" w:eastAsia="Calibri" w:hAnsi="Calibri" w:cs="Times New Roman"/>
        </w:rPr>
        <w:t xml:space="preserve"> </w:t>
      </w:r>
    </w:p>
    <w:p w14:paraId="7DE89FE7" w14:textId="77777777" w:rsidR="000F7E56" w:rsidRPr="000F7E56" w:rsidRDefault="000F7E56" w:rsidP="000F7E56">
      <w:pPr>
        <w:keepNext/>
        <w:keepLines/>
        <w:spacing w:before="40" w:after="0" w:line="276" w:lineRule="auto"/>
        <w:outlineLvl w:val="2"/>
        <w:rPr>
          <w:rFonts w:asciiTheme="majorHAnsi" w:eastAsiaTheme="majorEastAsia" w:hAnsiTheme="majorHAnsi" w:cstheme="majorBidi"/>
          <w:color w:val="1F3763" w:themeColor="accent1" w:themeShade="7F"/>
          <w:sz w:val="24"/>
          <w:szCs w:val="24"/>
        </w:rPr>
      </w:pPr>
      <w:bookmarkStart w:id="359" w:name="_Toc89665187"/>
      <w:bookmarkStart w:id="360" w:name="_Toc89671939"/>
      <w:bookmarkStart w:id="361" w:name="_Toc89764009"/>
      <w:bookmarkStart w:id="362" w:name="_Toc106697838"/>
      <w:r w:rsidRPr="000F7E56">
        <w:rPr>
          <w:rFonts w:asciiTheme="majorHAnsi" w:eastAsiaTheme="majorEastAsia" w:hAnsiTheme="majorHAnsi" w:cstheme="majorBidi"/>
          <w:color w:val="1F3763" w:themeColor="accent1" w:themeShade="7F"/>
          <w:sz w:val="24"/>
          <w:szCs w:val="24"/>
        </w:rPr>
        <w:lastRenderedPageBreak/>
        <w:t>Communication needs and inaccessibility of language</w:t>
      </w:r>
      <w:bookmarkEnd w:id="359"/>
      <w:bookmarkEnd w:id="360"/>
      <w:bookmarkEnd w:id="361"/>
      <w:bookmarkEnd w:id="362"/>
    </w:p>
    <w:p w14:paraId="604B6A1C" w14:textId="77777777" w:rsidR="000F7E56" w:rsidRPr="000F7E56" w:rsidRDefault="000F7E56" w:rsidP="000F7E56">
      <w:pPr>
        <w:spacing w:after="120" w:line="360" w:lineRule="auto"/>
        <w:rPr>
          <w:rFonts w:ascii="Calibri Light" w:eastAsia="Times New Roman" w:hAnsi="Calibri Light"/>
          <w:color w:val="1F4D78"/>
          <w:sz w:val="24"/>
          <w:szCs w:val="24"/>
        </w:rPr>
      </w:pPr>
      <w:r w:rsidRPr="000F7E56">
        <w:t>Inability to address</w:t>
      </w:r>
      <w:r w:rsidRPr="000F7E56">
        <w:rPr>
          <w:i/>
        </w:rPr>
        <w:t xml:space="preserve"> communication needs </w:t>
      </w:r>
      <w:r w:rsidRPr="000F7E56">
        <w:t>and the</w:t>
      </w:r>
      <w:r w:rsidRPr="000F7E56">
        <w:rPr>
          <w:i/>
        </w:rPr>
        <w:t xml:space="preserve"> inaccessibility of language </w:t>
      </w:r>
      <w:r w:rsidRPr="000F7E56">
        <w:t xml:space="preserve">was highlighted as a key barrier in EOLCP by all stakeholders. All recognised that ED patients may have additional communication needs linked to both the challenges of language that is not shared by the patient and the professional and mutual understanding of terminologies and concepts which need to be addressed. Participants discussed how the patient could not speak for himself to the professionals in story 2 due to language barriers and was reliant on his family to speak and interpret on his behalf. One community and faith stakeholder stressed there is a lack of understanding from HCPs of people who cannot speak English. He went on to stress how when people go through trauma they revert to their first language. HCPs recognised the need to move away from using family members to interpret. However, using other avenues such as NHS </w:t>
      </w:r>
      <w:r w:rsidRPr="000F7E56">
        <w:rPr>
          <w:lang w:val="en-US"/>
        </w:rPr>
        <w:t xml:space="preserve">language line services was viewed as being difficult and time consuming. AN HCP participant suggested to take a team member along with you who had the relevant language skills, but that this was not always feasible due to other work pressures. </w:t>
      </w:r>
    </w:p>
    <w:p w14:paraId="4832A47D" w14:textId="77777777" w:rsidR="000F7E56" w:rsidRPr="000F7E56" w:rsidRDefault="000F7E56" w:rsidP="000F7E56">
      <w:pPr>
        <w:spacing w:after="120" w:line="360" w:lineRule="auto"/>
        <w:rPr>
          <w:rFonts w:ascii="Calibri" w:eastAsia="Calibri" w:hAnsi="Calibri" w:cs="Times New Roman"/>
        </w:rPr>
      </w:pPr>
      <w:r w:rsidRPr="000F7E56">
        <w:rPr>
          <w:rFonts w:ascii="Calibri" w:eastAsia="Calibri" w:hAnsi="Calibri" w:cs="Times New Roman"/>
        </w:rPr>
        <w:t xml:space="preserve">Stakeholders also recognised that </w:t>
      </w:r>
      <w:r w:rsidRPr="000F7E56">
        <w:rPr>
          <w:rFonts w:ascii="Calibri" w:eastAsia="Calibri" w:hAnsi="Calibri" w:cs="Times New Roman"/>
          <w:i/>
        </w:rPr>
        <w:t xml:space="preserve">inaccessibility of language, </w:t>
      </w:r>
      <w:r w:rsidRPr="000F7E56">
        <w:rPr>
          <w:rFonts w:ascii="Calibri" w:eastAsia="Calibri" w:hAnsi="Calibri" w:cs="Times New Roman"/>
        </w:rPr>
        <w:t xml:space="preserve">use of terminologies </w:t>
      </w:r>
      <w:r w:rsidRPr="000F7E56">
        <w:rPr>
          <w:rFonts w:ascii="Calibri" w:eastAsia="Calibri" w:hAnsi="Calibri" w:cs="Times New Roman"/>
          <w:iCs/>
        </w:rPr>
        <w:t>such as</w:t>
      </w:r>
      <w:r w:rsidRPr="000F7E56">
        <w:rPr>
          <w:rFonts w:ascii="Calibri" w:eastAsia="Calibri" w:hAnsi="Calibri" w:cs="Times New Roman"/>
          <w:i/>
        </w:rPr>
        <w:t xml:space="preserve"> </w:t>
      </w:r>
      <w:r w:rsidRPr="000F7E56">
        <w:rPr>
          <w:rFonts w:ascii="Calibri" w:eastAsia="Calibri" w:hAnsi="Calibri" w:cs="Times New Roman"/>
        </w:rPr>
        <w:t xml:space="preserve">‘end-of-life’ or ‘advance care planning’ may not be appropriate or comprehensible for patients or their families. Lay stakeholders stressed that many people may feel overwhelmed with options, stressing it could be very hard to try to process all relevant information. </w:t>
      </w:r>
    </w:p>
    <w:p w14:paraId="59DD33F6" w14:textId="77777777" w:rsidR="000F7E56" w:rsidRPr="000F7E56" w:rsidRDefault="000F7E56" w:rsidP="000F7E56">
      <w:pPr>
        <w:keepNext/>
        <w:keepLines/>
        <w:spacing w:before="40" w:after="0" w:line="276" w:lineRule="auto"/>
        <w:outlineLvl w:val="2"/>
        <w:rPr>
          <w:rFonts w:asciiTheme="majorHAnsi" w:eastAsia="Times New Roman" w:hAnsiTheme="majorHAnsi" w:cstheme="majorBidi"/>
          <w:color w:val="1F3763" w:themeColor="accent1" w:themeShade="7F"/>
          <w:sz w:val="24"/>
          <w:szCs w:val="24"/>
        </w:rPr>
      </w:pPr>
      <w:bookmarkStart w:id="363" w:name="_Toc89665188"/>
      <w:bookmarkStart w:id="364" w:name="_Toc89671940"/>
      <w:bookmarkStart w:id="365" w:name="_Toc89764010"/>
      <w:bookmarkStart w:id="366" w:name="_Toc106697839"/>
      <w:r w:rsidRPr="000F7E56">
        <w:rPr>
          <w:rFonts w:asciiTheme="majorHAnsi" w:eastAsia="Times New Roman" w:hAnsiTheme="majorHAnsi" w:cstheme="majorBidi"/>
          <w:color w:val="1F3763" w:themeColor="accent1" w:themeShade="7F"/>
          <w:sz w:val="24"/>
          <w:szCs w:val="24"/>
        </w:rPr>
        <w:t>Lack of cultural and religious literacy</w:t>
      </w:r>
      <w:bookmarkEnd w:id="363"/>
      <w:bookmarkEnd w:id="364"/>
      <w:bookmarkEnd w:id="365"/>
      <w:bookmarkEnd w:id="366"/>
    </w:p>
    <w:p w14:paraId="161F5B6E" w14:textId="4E307500" w:rsidR="000F7E56" w:rsidRPr="000F7E56" w:rsidRDefault="000F7E56" w:rsidP="000F7E56">
      <w:pPr>
        <w:spacing w:after="120" w:line="360" w:lineRule="auto"/>
        <w:rPr>
          <w:rFonts w:ascii="Calibri" w:eastAsia="Calibri" w:hAnsi="Calibri" w:cs="Times New Roman"/>
        </w:rPr>
      </w:pPr>
      <w:r w:rsidRPr="000F7E56">
        <w:rPr>
          <w:rFonts w:ascii="Calibri" w:eastAsia="Calibri" w:hAnsi="Calibri" w:cs="Times New Roman"/>
        </w:rPr>
        <w:t>Lay participants also talked about the need for HCPs to have cultural awareness and sensitivity, stressing that in ‘our culture we don’t talk of death’. An example was given how for Asians, talking about death is seen as a bad omen. One community and faith participant talked about HCPs as having</w:t>
      </w:r>
      <w:r w:rsidRPr="000F7E56">
        <w:rPr>
          <w:rFonts w:ascii="Calibri" w:eastAsia="Calibri" w:hAnsi="Calibri" w:cs="Times New Roman"/>
          <w:i/>
        </w:rPr>
        <w:t xml:space="preserve"> lack of cultural and religious literacy</w:t>
      </w:r>
      <w:r w:rsidRPr="000F7E56">
        <w:rPr>
          <w:rFonts w:ascii="Calibri" w:eastAsia="Calibri" w:hAnsi="Calibri" w:cs="Times New Roman"/>
        </w:rPr>
        <w:t xml:space="preserve"> referring to his own personal experiences as a Shia Muslim. He stressed that his beliefs meant that he or his family ’do not take DNACPR decisions’ and the hospital found it difficult to understand this. He went on to state how the moment he started talking about religion the doctor was ‘put off’. Both community and faith stakeholders stated that HCPs should apply </w:t>
      </w:r>
      <w:r w:rsidRPr="000F7E56">
        <w:rPr>
          <w:rFonts w:ascii="Calibri" w:eastAsia="Calibri" w:hAnsi="Calibri" w:cs="Times New Roman"/>
          <w:i/>
        </w:rPr>
        <w:t>cultural sensitivity and humility in supporting patients</w:t>
      </w:r>
      <w:r w:rsidRPr="000F7E56">
        <w:rPr>
          <w:rFonts w:ascii="Calibri" w:eastAsia="Calibri" w:hAnsi="Calibri" w:cs="Times New Roman"/>
        </w:rPr>
        <w:t xml:space="preserve">. </w:t>
      </w:r>
      <w:r w:rsidR="0040316A">
        <w:rPr>
          <w:rFonts w:ascii="Calibri" w:eastAsia="Calibri" w:hAnsi="Calibri" w:cs="Times New Roman"/>
        </w:rPr>
        <w:t>‘</w:t>
      </w:r>
      <w:r w:rsidRPr="000F7E56">
        <w:rPr>
          <w:rFonts w:ascii="Calibri" w:eastAsia="Calibri" w:hAnsi="Calibri" w:cs="Times New Roman"/>
        </w:rPr>
        <w:t>HCPs look at life from a Western lens which conflicts with some cultures such as some Asian communities who would try their best and give the patient water even to the point of death which is considered good for quality of life.  Whilst in a Western culture the patient is alone to die in peace: let’s leave her in a corner she will starve and die that is peaceful</w:t>
      </w:r>
      <w:r w:rsidR="0040316A">
        <w:rPr>
          <w:rFonts w:ascii="Calibri" w:eastAsia="Calibri" w:hAnsi="Calibri" w:cs="Times New Roman"/>
        </w:rPr>
        <w:t>’</w:t>
      </w:r>
      <w:r w:rsidRPr="000F7E56">
        <w:rPr>
          <w:rFonts w:ascii="Calibri" w:eastAsia="Calibri" w:hAnsi="Calibri" w:cs="Times New Roman"/>
        </w:rPr>
        <w:t>.</w:t>
      </w:r>
    </w:p>
    <w:p w14:paraId="4C03567D" w14:textId="77777777" w:rsidR="000F7E56" w:rsidRPr="000F7E56" w:rsidRDefault="000F7E56" w:rsidP="000F7E56">
      <w:pPr>
        <w:keepNext/>
        <w:keepLines/>
        <w:spacing w:before="40" w:after="0" w:line="276" w:lineRule="auto"/>
        <w:outlineLvl w:val="2"/>
        <w:rPr>
          <w:rFonts w:asciiTheme="majorHAnsi" w:eastAsia="Times New Roman" w:hAnsiTheme="majorHAnsi" w:cstheme="majorBidi"/>
          <w:color w:val="1F3763" w:themeColor="accent1" w:themeShade="7F"/>
          <w:sz w:val="24"/>
          <w:szCs w:val="24"/>
        </w:rPr>
      </w:pPr>
      <w:bookmarkStart w:id="367" w:name="_Toc89665189"/>
      <w:bookmarkStart w:id="368" w:name="_Toc89671941"/>
      <w:bookmarkStart w:id="369" w:name="_Toc89764011"/>
      <w:bookmarkStart w:id="370" w:name="_Toc106697840"/>
      <w:r w:rsidRPr="000F7E56">
        <w:rPr>
          <w:rFonts w:asciiTheme="majorHAnsi" w:eastAsia="Times New Roman" w:hAnsiTheme="majorHAnsi" w:cstheme="majorBidi"/>
          <w:color w:val="1F3763" w:themeColor="accent1" w:themeShade="7F"/>
          <w:sz w:val="24"/>
          <w:szCs w:val="24"/>
        </w:rPr>
        <w:t>Preconceived stereotypes and own agenda</w:t>
      </w:r>
      <w:bookmarkEnd w:id="367"/>
      <w:bookmarkEnd w:id="368"/>
      <w:bookmarkEnd w:id="369"/>
      <w:bookmarkEnd w:id="370"/>
      <w:r w:rsidRPr="000F7E56">
        <w:rPr>
          <w:rFonts w:asciiTheme="majorHAnsi" w:eastAsia="Times New Roman" w:hAnsiTheme="majorHAnsi" w:cstheme="majorBidi"/>
          <w:color w:val="1F3763" w:themeColor="accent1" w:themeShade="7F"/>
          <w:sz w:val="24"/>
          <w:szCs w:val="24"/>
        </w:rPr>
        <w:t xml:space="preserve"> </w:t>
      </w:r>
    </w:p>
    <w:p w14:paraId="3719D6D9" w14:textId="77777777" w:rsidR="000F7E56" w:rsidRPr="000F7E56" w:rsidRDefault="000F7E56" w:rsidP="000F7E56">
      <w:pPr>
        <w:spacing w:after="120" w:line="360" w:lineRule="auto"/>
        <w:rPr>
          <w:rFonts w:ascii="Calibri" w:eastAsia="Calibri" w:hAnsi="Calibri" w:cs="Times New Roman"/>
        </w:rPr>
      </w:pPr>
      <w:r w:rsidRPr="000F7E56">
        <w:rPr>
          <w:rFonts w:ascii="Calibri" w:eastAsia="Calibri" w:hAnsi="Calibri" w:cs="Times New Roman"/>
        </w:rPr>
        <w:t xml:space="preserve">HCPs recognised that they often have their </w:t>
      </w:r>
      <w:r w:rsidRPr="000F7E56">
        <w:rPr>
          <w:rFonts w:ascii="Calibri" w:eastAsia="Calibri" w:hAnsi="Calibri" w:cs="Times New Roman"/>
          <w:i/>
        </w:rPr>
        <w:t xml:space="preserve">own preconceived stereotypes and own agenda, </w:t>
      </w:r>
      <w:r w:rsidRPr="000F7E56">
        <w:rPr>
          <w:rFonts w:ascii="Calibri" w:eastAsia="Calibri" w:hAnsi="Calibri" w:cs="Times New Roman"/>
        </w:rPr>
        <w:t>with one participant stating</w:t>
      </w:r>
      <w:r w:rsidRPr="000F7E56">
        <w:rPr>
          <w:rFonts w:ascii="Calibri" w:eastAsia="Calibri" w:hAnsi="Calibri" w:cs="Times New Roman"/>
          <w:i/>
        </w:rPr>
        <w:t xml:space="preserve"> ‘</w:t>
      </w:r>
      <w:r w:rsidRPr="000F7E56">
        <w:rPr>
          <w:rFonts w:ascii="Calibri" w:eastAsia="Calibri" w:hAnsi="Calibri" w:cs="Times New Roman"/>
        </w:rPr>
        <w:t>you have to make yourself stop and listen’</w:t>
      </w:r>
      <w:r w:rsidRPr="000F7E56">
        <w:rPr>
          <w:rFonts w:ascii="Calibri" w:eastAsia="Calibri" w:hAnsi="Calibri" w:cs="Times New Roman"/>
          <w:i/>
        </w:rPr>
        <w:t xml:space="preserve">. </w:t>
      </w:r>
      <w:r w:rsidRPr="000F7E56">
        <w:rPr>
          <w:rFonts w:ascii="Calibri" w:eastAsia="Calibri" w:hAnsi="Calibri" w:cs="Times New Roman"/>
        </w:rPr>
        <w:t xml:space="preserve">Whilst others recognised the need to </w:t>
      </w:r>
      <w:r w:rsidRPr="000F7E56">
        <w:rPr>
          <w:rFonts w:ascii="Calibri" w:eastAsia="Calibri" w:hAnsi="Calibri" w:cs="Times New Roman"/>
        </w:rPr>
        <w:lastRenderedPageBreak/>
        <w:t xml:space="preserve">take every opportunity to </w:t>
      </w:r>
      <w:r w:rsidRPr="000F7E56">
        <w:rPr>
          <w:rFonts w:ascii="Calibri" w:eastAsia="Calibri" w:hAnsi="Calibri" w:cs="Times New Roman"/>
          <w:i/>
        </w:rPr>
        <w:t xml:space="preserve">hear the patient. </w:t>
      </w:r>
      <w:r w:rsidRPr="000F7E56">
        <w:rPr>
          <w:rFonts w:ascii="Calibri" w:eastAsia="Calibri" w:hAnsi="Calibri" w:cs="Times New Roman"/>
        </w:rPr>
        <w:t xml:space="preserve">As one participant emphasised, despite there being a whole crowd in the room (family members) it was important not to forget the patient. The patient may still have capacity and it was important to have a one-to one discussion. Community and faith stakeholders stressed it was important to </w:t>
      </w:r>
      <w:r w:rsidRPr="000F7E56">
        <w:rPr>
          <w:rFonts w:ascii="Calibri" w:eastAsia="Calibri" w:hAnsi="Calibri" w:cs="Times New Roman"/>
          <w:i/>
        </w:rPr>
        <w:t>understand individual family background and dynamics as some p</w:t>
      </w:r>
      <w:r w:rsidRPr="000F7E56">
        <w:rPr>
          <w:rFonts w:ascii="Calibri" w:eastAsia="Calibri" w:hAnsi="Calibri" w:cs="Times New Roman"/>
        </w:rPr>
        <w:t xml:space="preserve">atients may be intimidated by other people and fail to express their personal wishes and beliefs. The view was that organisations needed to take time to understand patient and family attitudes, faith dynamics and the pressure patients and family are going through. Equally, it was important to </w:t>
      </w:r>
      <w:r w:rsidRPr="000F7E56">
        <w:rPr>
          <w:rFonts w:ascii="Calibri" w:eastAsia="Calibri" w:hAnsi="Calibri" w:cs="Times New Roman"/>
          <w:i/>
        </w:rPr>
        <w:t xml:space="preserve">respect patient and family wishes and dignity, </w:t>
      </w:r>
      <w:r w:rsidRPr="000F7E56">
        <w:rPr>
          <w:rFonts w:ascii="Calibri" w:eastAsia="Calibri" w:hAnsi="Calibri" w:cs="Times New Roman"/>
          <w:iCs/>
        </w:rPr>
        <w:t>as one</w:t>
      </w:r>
      <w:r w:rsidRPr="000F7E56">
        <w:rPr>
          <w:rFonts w:ascii="Calibri" w:eastAsia="Calibri" w:hAnsi="Calibri" w:cs="Times New Roman"/>
        </w:rPr>
        <w:t xml:space="preserve"> community and faith participant stated it ‘was is not upon any individual to decide when someone is dying instead HCPs should consider individual dignity and respect’. </w:t>
      </w:r>
    </w:p>
    <w:p w14:paraId="755409B6" w14:textId="77777777" w:rsidR="000F7E56" w:rsidRPr="000F7E56" w:rsidRDefault="000F7E56" w:rsidP="000F7E56">
      <w:pPr>
        <w:keepNext/>
        <w:keepLines/>
        <w:spacing w:before="40" w:after="0" w:line="276" w:lineRule="auto"/>
        <w:outlineLvl w:val="2"/>
        <w:rPr>
          <w:rFonts w:asciiTheme="majorHAnsi" w:eastAsia="Times New Roman" w:hAnsiTheme="majorHAnsi" w:cstheme="majorBidi"/>
          <w:color w:val="1F3763" w:themeColor="accent1" w:themeShade="7F"/>
          <w:sz w:val="24"/>
          <w:szCs w:val="24"/>
        </w:rPr>
      </w:pPr>
      <w:bookmarkStart w:id="371" w:name="_Toc89665190"/>
      <w:bookmarkStart w:id="372" w:name="_Toc89671942"/>
      <w:bookmarkStart w:id="373" w:name="_Toc89764012"/>
      <w:bookmarkStart w:id="374" w:name="_Toc106697841"/>
      <w:r w:rsidRPr="000F7E56">
        <w:rPr>
          <w:rFonts w:asciiTheme="majorHAnsi" w:eastAsia="Times New Roman" w:hAnsiTheme="majorHAnsi" w:cstheme="majorBidi"/>
          <w:color w:val="1F3763" w:themeColor="accent1" w:themeShade="7F"/>
          <w:sz w:val="24"/>
          <w:szCs w:val="24"/>
        </w:rPr>
        <w:t>Lack of training, opportunities and time</w:t>
      </w:r>
      <w:bookmarkEnd w:id="371"/>
      <w:bookmarkEnd w:id="372"/>
      <w:bookmarkEnd w:id="373"/>
      <w:bookmarkEnd w:id="374"/>
    </w:p>
    <w:p w14:paraId="340584E0" w14:textId="77777777" w:rsidR="000F7E56" w:rsidRPr="000F7E56" w:rsidRDefault="000F7E56" w:rsidP="000F7E56">
      <w:pPr>
        <w:spacing w:after="120" w:line="360" w:lineRule="auto"/>
        <w:rPr>
          <w:rFonts w:ascii="Calibri" w:eastAsia="Calibri" w:hAnsi="Calibri" w:cs="Times New Roman"/>
        </w:rPr>
      </w:pPr>
      <w:r w:rsidRPr="000F7E56">
        <w:rPr>
          <w:rFonts w:ascii="Calibri" w:eastAsia="Calibri" w:hAnsi="Calibri" w:cs="Times New Roman"/>
        </w:rPr>
        <w:t xml:space="preserve">In general HCPs recognised the importance of family dynamics, but they also needed more </w:t>
      </w:r>
      <w:r w:rsidRPr="000F7E56">
        <w:rPr>
          <w:rFonts w:ascii="Calibri" w:eastAsia="Calibri" w:hAnsi="Calibri" w:cs="Times New Roman"/>
          <w:i/>
        </w:rPr>
        <w:t xml:space="preserve">resources and training. </w:t>
      </w:r>
      <w:r w:rsidRPr="000F7E56">
        <w:rPr>
          <w:rFonts w:ascii="Calibri" w:eastAsia="Calibri" w:hAnsi="Calibri" w:cs="Times New Roman"/>
        </w:rPr>
        <w:t xml:space="preserve">They stressed they were not taught about how to deal with family dynamics. As one participant stated ‘In advance care planning it’s about dealing with the patient not family’. </w:t>
      </w:r>
      <w:r w:rsidRPr="000F7E56">
        <w:rPr>
          <w:rFonts w:ascii="Calibri" w:eastAsia="Calibri" w:hAnsi="Calibri" w:cs="Times New Roman"/>
          <w:i/>
        </w:rPr>
        <w:t xml:space="preserve">Lack of time </w:t>
      </w:r>
      <w:r w:rsidRPr="000F7E56">
        <w:rPr>
          <w:rFonts w:ascii="Calibri" w:eastAsia="Calibri" w:hAnsi="Calibri" w:cs="Times New Roman"/>
        </w:rPr>
        <w:t>along with</w:t>
      </w:r>
      <w:r w:rsidRPr="000F7E56">
        <w:rPr>
          <w:rFonts w:ascii="Calibri" w:eastAsia="Calibri" w:hAnsi="Calibri" w:cs="Times New Roman"/>
          <w:i/>
        </w:rPr>
        <w:t xml:space="preserve"> lack of opportunities</w:t>
      </w:r>
      <w:r w:rsidRPr="000F7E56">
        <w:rPr>
          <w:rFonts w:ascii="Calibri" w:eastAsia="Calibri" w:hAnsi="Calibri" w:cs="Times New Roman"/>
        </w:rPr>
        <w:t xml:space="preserve"> were key challenges discussed by HCP concerning when attempting to approach the subject of EOLCP and any patient or family misgivings, with some HCPs recalling better opportunities to discuss EOLCP planning than others. Whether all opportunities to engage with EOLCP were always recognised was dependent on </w:t>
      </w:r>
      <w:proofErr w:type="spellStart"/>
      <w:r w:rsidRPr="000F7E56">
        <w:rPr>
          <w:rFonts w:ascii="Calibri" w:eastAsia="Calibri" w:hAnsi="Calibri" w:cs="Times New Roman"/>
        </w:rPr>
        <w:t>HCPs’</w:t>
      </w:r>
      <w:proofErr w:type="spellEnd"/>
      <w:r w:rsidRPr="000F7E56">
        <w:rPr>
          <w:rFonts w:ascii="Calibri" w:eastAsia="Calibri" w:hAnsi="Calibri" w:cs="Times New Roman"/>
        </w:rPr>
        <w:t xml:space="preserve"> experience and confidence to broach the subject. One participant stated that their confidence and experience prompted them to ask: ‘Do you have a belief system?’. Finding that this ‘opens up a new door’ in dialogue.  Furthermore, they stated ‘while HCPs are reluctant to ask, in my experience patients are ok being asked about religious beliefs’. HCPs also questioned whether ‘end-of-life’ was the best term as there is need to make language more positive. One HCP talked about the need to change language and move away from ‘end-of-life’ drugs and paperwork as these ‘can make people fearful’, a suggestion being to change to ‘anticipatory’ drugs. </w:t>
      </w:r>
    </w:p>
    <w:p w14:paraId="52C765A8" w14:textId="5EDB7EF3" w:rsidR="000F7E56" w:rsidRPr="000F7E56" w:rsidRDefault="000F7E56" w:rsidP="000F7E56">
      <w:pPr>
        <w:keepNext/>
        <w:keepLines/>
        <w:spacing w:before="40" w:after="0" w:line="360" w:lineRule="auto"/>
        <w:outlineLvl w:val="1"/>
        <w:rPr>
          <w:rFonts w:asciiTheme="majorHAnsi" w:eastAsia="Times New Roman" w:hAnsiTheme="majorHAnsi" w:cstheme="majorBidi"/>
          <w:color w:val="2F5496" w:themeColor="accent1" w:themeShade="BF"/>
          <w:sz w:val="24"/>
          <w:szCs w:val="24"/>
        </w:rPr>
      </w:pPr>
      <w:bookmarkStart w:id="375" w:name="_Toc89665191"/>
      <w:bookmarkStart w:id="376" w:name="_Toc89671943"/>
      <w:bookmarkStart w:id="377" w:name="_Toc89764013"/>
      <w:bookmarkStart w:id="378" w:name="_Toc106697842"/>
      <w:r w:rsidRPr="000F7E56">
        <w:rPr>
          <w:rFonts w:asciiTheme="majorHAnsi" w:eastAsia="Times New Roman" w:hAnsiTheme="majorHAnsi" w:cstheme="majorBidi"/>
          <w:color w:val="2F5496" w:themeColor="accent1" w:themeShade="BF"/>
          <w:sz w:val="24"/>
          <w:szCs w:val="24"/>
        </w:rPr>
        <w:t xml:space="preserve">Enablers to engaging in </w:t>
      </w:r>
      <w:bookmarkEnd w:id="375"/>
      <w:bookmarkEnd w:id="376"/>
      <w:bookmarkEnd w:id="377"/>
      <w:r w:rsidR="00DA32BF">
        <w:rPr>
          <w:rFonts w:asciiTheme="majorHAnsi" w:eastAsia="Times New Roman" w:hAnsiTheme="majorHAnsi" w:cstheme="majorBidi"/>
          <w:color w:val="2F5496" w:themeColor="accent1" w:themeShade="BF"/>
          <w:sz w:val="24"/>
          <w:szCs w:val="24"/>
        </w:rPr>
        <w:t>end-of-life care planning</w:t>
      </w:r>
      <w:bookmarkEnd w:id="378"/>
    </w:p>
    <w:p w14:paraId="4693C788" w14:textId="77777777" w:rsidR="000F7E56" w:rsidRPr="000F7E56" w:rsidRDefault="000F7E56" w:rsidP="000F7E56">
      <w:pPr>
        <w:keepNext/>
        <w:keepLines/>
        <w:spacing w:before="40" w:after="0" w:line="276" w:lineRule="auto"/>
        <w:outlineLvl w:val="2"/>
        <w:rPr>
          <w:rFonts w:asciiTheme="majorHAnsi" w:eastAsia="Times New Roman" w:hAnsiTheme="majorHAnsi" w:cstheme="majorBidi"/>
          <w:color w:val="1F3763" w:themeColor="accent1" w:themeShade="7F"/>
          <w:sz w:val="24"/>
          <w:szCs w:val="24"/>
        </w:rPr>
      </w:pPr>
      <w:bookmarkStart w:id="379" w:name="_Toc89665192"/>
      <w:bookmarkStart w:id="380" w:name="_Toc89671944"/>
      <w:bookmarkStart w:id="381" w:name="_Toc89764014"/>
      <w:bookmarkStart w:id="382" w:name="_Toc106697843"/>
      <w:r w:rsidRPr="000F7E56">
        <w:rPr>
          <w:rFonts w:asciiTheme="majorHAnsi" w:eastAsia="Times New Roman" w:hAnsiTheme="majorHAnsi" w:cstheme="majorBidi"/>
          <w:color w:val="1F3763" w:themeColor="accent1" w:themeShade="7F"/>
          <w:sz w:val="24"/>
          <w:szCs w:val="24"/>
        </w:rPr>
        <w:t>Trust</w:t>
      </w:r>
      <w:bookmarkEnd w:id="379"/>
      <w:bookmarkEnd w:id="380"/>
      <w:bookmarkEnd w:id="381"/>
      <w:bookmarkEnd w:id="382"/>
    </w:p>
    <w:p w14:paraId="2E5A7CA8" w14:textId="77777777" w:rsidR="000F7E56" w:rsidRPr="000F7E56" w:rsidRDefault="000F7E56" w:rsidP="000F7E56">
      <w:pPr>
        <w:spacing w:after="120" w:line="360" w:lineRule="auto"/>
        <w:rPr>
          <w:rFonts w:ascii="Calibri" w:eastAsia="Calibri" w:hAnsi="Calibri" w:cs="Times New Roman"/>
        </w:rPr>
      </w:pPr>
      <w:r w:rsidRPr="000F7E56">
        <w:rPr>
          <w:rFonts w:ascii="Calibri" w:eastAsia="Calibri" w:hAnsi="Calibri" w:cs="Times New Roman"/>
        </w:rPr>
        <w:t xml:space="preserve">Developing patient of their family </w:t>
      </w:r>
      <w:r w:rsidRPr="000F7E56">
        <w:rPr>
          <w:rFonts w:ascii="Calibri" w:eastAsia="Calibri" w:hAnsi="Calibri" w:cs="Times New Roman"/>
          <w:i/>
        </w:rPr>
        <w:t>trust,</w:t>
      </w:r>
      <w:r w:rsidRPr="000F7E56">
        <w:rPr>
          <w:rFonts w:ascii="Calibri" w:eastAsia="Calibri" w:hAnsi="Calibri" w:cs="Times New Roman"/>
        </w:rPr>
        <w:t xml:space="preserve"> or more significantly </w:t>
      </w:r>
      <w:r w:rsidRPr="000F7E56">
        <w:rPr>
          <w:rFonts w:ascii="Calibri" w:eastAsia="Calibri" w:hAnsi="Calibri" w:cs="Times New Roman"/>
          <w:i/>
        </w:rPr>
        <w:t>‘enabling trust’</w:t>
      </w:r>
      <w:r w:rsidRPr="000F7E56">
        <w:rPr>
          <w:rFonts w:ascii="Calibri" w:eastAsia="Calibri" w:hAnsi="Calibri" w:cs="Times New Roman"/>
        </w:rPr>
        <w:t xml:space="preserve"> was viewed as key in enabling EOLCP by educator and Academic Stakeholder participants. Academics stressed time, effort, continuity and knowing the patient were key factors in developing this. They also stated that relatability, which is ‘how HCPs make person to person connections’, supported their ability to build trust. Getting to know the patient to understand what a good death meant to them was key. Otherwise as an HCP ‘you can have good intentions but still provide suboptimal care’. Educator stakeholders stressed humility in building relationships was a key enabler of trust, stating that HCPs </w:t>
      </w:r>
      <w:r w:rsidRPr="000F7E56">
        <w:rPr>
          <w:rFonts w:ascii="Calibri" w:eastAsia="Calibri" w:hAnsi="Calibri" w:cs="Times New Roman"/>
        </w:rPr>
        <w:lastRenderedPageBreak/>
        <w:t xml:space="preserve">needed to accept they may get it wrong, so they should be reflexive and learn from mistakes and developing their own approach. </w:t>
      </w:r>
    </w:p>
    <w:p w14:paraId="606D011C" w14:textId="77777777" w:rsidR="000F7E56" w:rsidRPr="000F7E56" w:rsidRDefault="000F7E56" w:rsidP="000F7E56">
      <w:pPr>
        <w:keepNext/>
        <w:keepLines/>
        <w:spacing w:before="40" w:after="0" w:line="276" w:lineRule="auto"/>
        <w:outlineLvl w:val="2"/>
        <w:rPr>
          <w:rFonts w:asciiTheme="majorHAnsi" w:eastAsiaTheme="majorEastAsia" w:hAnsiTheme="majorHAnsi" w:cstheme="majorBidi"/>
          <w:color w:val="1F3763" w:themeColor="accent1" w:themeShade="7F"/>
          <w:sz w:val="24"/>
          <w:szCs w:val="24"/>
        </w:rPr>
      </w:pPr>
      <w:bookmarkStart w:id="383" w:name="_Toc89665193"/>
      <w:bookmarkStart w:id="384" w:name="_Toc89671945"/>
      <w:bookmarkStart w:id="385" w:name="_Toc89764015"/>
      <w:bookmarkStart w:id="386" w:name="_Toc106697844"/>
      <w:r w:rsidRPr="000F7E56">
        <w:rPr>
          <w:rFonts w:asciiTheme="majorHAnsi" w:eastAsiaTheme="majorEastAsia" w:hAnsiTheme="majorHAnsi" w:cstheme="majorBidi"/>
          <w:color w:val="1F3763" w:themeColor="accent1" w:themeShade="7F"/>
          <w:sz w:val="24"/>
          <w:szCs w:val="24"/>
        </w:rPr>
        <w:t>Effective communication</w:t>
      </w:r>
      <w:bookmarkEnd w:id="383"/>
      <w:bookmarkEnd w:id="384"/>
      <w:bookmarkEnd w:id="385"/>
      <w:bookmarkEnd w:id="386"/>
    </w:p>
    <w:p w14:paraId="50D08555" w14:textId="77777777" w:rsidR="000F7E56" w:rsidRPr="000F7E56" w:rsidRDefault="000F7E56" w:rsidP="000F7E56">
      <w:pPr>
        <w:spacing w:after="120" w:line="360" w:lineRule="auto"/>
        <w:rPr>
          <w:rFonts w:ascii="Calibri" w:eastAsia="Calibri" w:hAnsi="Calibri" w:cs="Times New Roman"/>
        </w:rPr>
      </w:pPr>
      <w:r w:rsidRPr="000F7E56">
        <w:rPr>
          <w:rFonts w:ascii="Calibri" w:eastAsia="Calibri" w:hAnsi="Calibri" w:cs="Times New Roman"/>
        </w:rPr>
        <w:t xml:space="preserve">HCPs participants recognised that building trust was also based on their ability to </w:t>
      </w:r>
      <w:r w:rsidRPr="000F7E56">
        <w:rPr>
          <w:rFonts w:ascii="Calibri" w:eastAsia="Calibri" w:hAnsi="Calibri" w:cs="Times New Roman"/>
          <w:i/>
        </w:rPr>
        <w:t xml:space="preserve">establish rapport by developing effective communication. </w:t>
      </w:r>
      <w:r w:rsidRPr="000F7E56">
        <w:rPr>
          <w:rFonts w:ascii="Calibri" w:eastAsia="Calibri" w:hAnsi="Calibri" w:cs="Times New Roman"/>
        </w:rPr>
        <w:t xml:space="preserve">An example was given of taking visual cues: ‘If there are shoes in hallway, then I take my shoes off’. HCP participants also recognised that they needed to </w:t>
      </w:r>
      <w:r w:rsidRPr="000F7E56">
        <w:rPr>
          <w:rFonts w:ascii="Calibri" w:eastAsia="Calibri" w:hAnsi="Calibri" w:cs="Times New Roman"/>
          <w:i/>
        </w:rPr>
        <w:t xml:space="preserve">embrace opportunities to establish shared understanding. </w:t>
      </w:r>
      <w:r w:rsidRPr="000F7E56">
        <w:rPr>
          <w:rFonts w:ascii="Calibri" w:eastAsia="Calibri" w:hAnsi="Calibri" w:cs="Times New Roman"/>
        </w:rPr>
        <w:t>As one participant stated</w:t>
      </w:r>
      <w:r w:rsidRPr="000F7E56">
        <w:rPr>
          <w:rFonts w:ascii="Calibri" w:eastAsia="Calibri" w:hAnsi="Calibri" w:cs="Times New Roman"/>
          <w:i/>
        </w:rPr>
        <w:t xml:space="preserve"> </w:t>
      </w:r>
      <w:r w:rsidRPr="000F7E56">
        <w:rPr>
          <w:rFonts w:ascii="Calibri" w:eastAsia="Calibri" w:hAnsi="Calibri" w:cs="Times New Roman"/>
        </w:rPr>
        <w:t>they needed to</w:t>
      </w:r>
      <w:r w:rsidRPr="000F7E56">
        <w:rPr>
          <w:rFonts w:ascii="Calibri" w:eastAsia="Calibri" w:hAnsi="Calibri" w:cs="Times New Roman"/>
          <w:i/>
        </w:rPr>
        <w:t xml:space="preserve"> ‘</w:t>
      </w:r>
      <w:r w:rsidRPr="000F7E56">
        <w:rPr>
          <w:rFonts w:ascii="Calibri" w:eastAsia="Calibri" w:hAnsi="Calibri" w:cs="Times New Roman"/>
        </w:rPr>
        <w:t xml:space="preserve">make sure everyone’s singing from the same hymn sheet’. Hence it was important to </w:t>
      </w:r>
      <w:r w:rsidRPr="000F7E56">
        <w:rPr>
          <w:rFonts w:ascii="Calibri" w:eastAsia="Calibri" w:hAnsi="Calibri" w:cs="Times New Roman"/>
          <w:i/>
        </w:rPr>
        <w:t xml:space="preserve">explore patient and family understanding of prognosis </w:t>
      </w:r>
      <w:r w:rsidRPr="000F7E56">
        <w:rPr>
          <w:rFonts w:ascii="Calibri" w:eastAsia="Calibri" w:hAnsi="Calibri" w:cs="Times New Roman"/>
        </w:rPr>
        <w:t xml:space="preserve">both long and short term, thereby </w:t>
      </w:r>
      <w:r w:rsidRPr="000F7E56">
        <w:rPr>
          <w:rFonts w:ascii="Calibri" w:eastAsia="Calibri" w:hAnsi="Calibri" w:cs="Times New Roman"/>
          <w:i/>
        </w:rPr>
        <w:t>set realistic expectations</w:t>
      </w:r>
      <w:r w:rsidRPr="000F7E56">
        <w:rPr>
          <w:rFonts w:ascii="Calibri" w:eastAsia="Calibri" w:hAnsi="Calibri" w:cs="Times New Roman"/>
        </w:rPr>
        <w:t xml:space="preserve"> ‘about what we can offer’. Effective communication was key, and all HCPs and lay participants agreed that there was a need to use professional interpreters to achieve this goal as opposed to family members.</w:t>
      </w:r>
    </w:p>
    <w:p w14:paraId="6A97F8E0" w14:textId="21B966EC" w:rsidR="000F7E56" w:rsidRPr="000F7E56" w:rsidRDefault="000F7E56" w:rsidP="000F7E56">
      <w:pPr>
        <w:keepNext/>
        <w:keepLines/>
        <w:spacing w:before="40" w:after="0" w:line="276" w:lineRule="auto"/>
        <w:outlineLvl w:val="2"/>
        <w:rPr>
          <w:rFonts w:asciiTheme="majorHAnsi" w:eastAsia="Times New Roman" w:hAnsiTheme="majorHAnsi" w:cstheme="majorBidi"/>
          <w:color w:val="1F3763" w:themeColor="accent1" w:themeShade="7F"/>
          <w:sz w:val="24"/>
          <w:szCs w:val="24"/>
        </w:rPr>
      </w:pPr>
      <w:bookmarkStart w:id="387" w:name="_Toc89665194"/>
      <w:bookmarkStart w:id="388" w:name="_Toc89671946"/>
      <w:bookmarkStart w:id="389" w:name="_Toc89764016"/>
      <w:bookmarkStart w:id="390" w:name="_Toc106697845"/>
      <w:r w:rsidRPr="000F7E56">
        <w:rPr>
          <w:rFonts w:asciiTheme="majorHAnsi" w:eastAsia="Times New Roman" w:hAnsiTheme="majorHAnsi" w:cstheme="majorBidi"/>
          <w:color w:val="1F3763" w:themeColor="accent1" w:themeShade="7F"/>
          <w:sz w:val="24"/>
          <w:szCs w:val="24"/>
        </w:rPr>
        <w:t xml:space="preserve">Developing a personalised approach to </w:t>
      </w:r>
      <w:bookmarkEnd w:id="387"/>
      <w:bookmarkEnd w:id="388"/>
      <w:bookmarkEnd w:id="389"/>
      <w:r w:rsidR="00DA32BF">
        <w:rPr>
          <w:rFonts w:asciiTheme="majorHAnsi" w:eastAsia="Times New Roman" w:hAnsiTheme="majorHAnsi" w:cstheme="majorBidi"/>
          <w:color w:val="1F3763" w:themeColor="accent1" w:themeShade="7F"/>
          <w:sz w:val="24"/>
          <w:szCs w:val="24"/>
        </w:rPr>
        <w:t>end-of-life care planning</w:t>
      </w:r>
      <w:bookmarkEnd w:id="390"/>
      <w:r w:rsidRPr="000F7E56">
        <w:rPr>
          <w:rFonts w:asciiTheme="majorHAnsi" w:eastAsia="Times New Roman" w:hAnsiTheme="majorHAnsi" w:cstheme="majorBidi"/>
          <w:color w:val="1F3763" w:themeColor="accent1" w:themeShade="7F"/>
          <w:sz w:val="24"/>
          <w:szCs w:val="24"/>
        </w:rPr>
        <w:t xml:space="preserve"> </w:t>
      </w:r>
    </w:p>
    <w:p w14:paraId="633391E6" w14:textId="77777777" w:rsidR="000F7E56" w:rsidRPr="000F7E56" w:rsidRDefault="000F7E56" w:rsidP="000F7E56">
      <w:pPr>
        <w:spacing w:after="120" w:line="360" w:lineRule="auto"/>
        <w:rPr>
          <w:rFonts w:ascii="Calibri" w:eastAsia="Calibri" w:hAnsi="Calibri" w:cs="Times New Roman"/>
          <w:i/>
        </w:rPr>
      </w:pPr>
      <w:r w:rsidRPr="000F7E56">
        <w:rPr>
          <w:rFonts w:ascii="Calibri" w:eastAsia="Calibri" w:hAnsi="Calibri" w:cs="Times New Roman"/>
        </w:rPr>
        <w:t xml:space="preserve">Academic and HCP participants stated there was no one ‘best’ time for having discussions about illness getting worse and dying. Instead, </w:t>
      </w:r>
      <w:r w:rsidRPr="000F7E56">
        <w:rPr>
          <w:rFonts w:ascii="Calibri" w:eastAsia="Calibri" w:hAnsi="Calibri" w:cs="Times New Roman"/>
          <w:i/>
        </w:rPr>
        <w:t>taking a staged or staggered approach</w:t>
      </w:r>
      <w:r w:rsidRPr="000F7E56">
        <w:rPr>
          <w:rFonts w:ascii="Calibri" w:eastAsia="Calibri" w:hAnsi="Calibri" w:cs="Times New Roman"/>
        </w:rPr>
        <w:t xml:space="preserve"> was viewed as the most favoured approach to EOLCP. Lay participants acknowledged that </w:t>
      </w:r>
      <w:r w:rsidRPr="000F7E56">
        <w:rPr>
          <w:rFonts w:ascii="Calibri" w:eastAsia="Calibri" w:hAnsi="Calibri" w:cs="Times New Roman"/>
          <w:i/>
        </w:rPr>
        <w:t>HCPs should be honest about prognosis to patient and family</w:t>
      </w:r>
      <w:r w:rsidRPr="000F7E56">
        <w:rPr>
          <w:rFonts w:ascii="Calibri" w:eastAsia="Calibri" w:hAnsi="Calibri" w:cs="Times New Roman"/>
        </w:rPr>
        <w:t xml:space="preserve"> but also stressed it was important for HCPs to respect patients’ and families’ wishes, preferences and decisions. As one lay participant acknowledged: ‘EOLCP is a constant back and forth and you will not have an answer straight away and it is about building a trusting relationship’. This was reiterated by academic participants who stated that the </w:t>
      </w:r>
      <w:r w:rsidRPr="000F7E56">
        <w:rPr>
          <w:rFonts w:ascii="Calibri" w:eastAsia="Calibri" w:hAnsi="Calibri" w:cs="Times New Roman"/>
          <w:i/>
        </w:rPr>
        <w:t xml:space="preserve">timing of EOL discussions is personal. </w:t>
      </w:r>
      <w:r w:rsidRPr="000F7E56">
        <w:rPr>
          <w:rFonts w:ascii="Calibri" w:eastAsia="Calibri" w:hAnsi="Calibri" w:cs="Times New Roman"/>
        </w:rPr>
        <w:t>Furthermore, academic participants indicated</w:t>
      </w:r>
      <w:r w:rsidRPr="000F7E56">
        <w:rPr>
          <w:rFonts w:ascii="Calibri" w:eastAsia="Calibri" w:hAnsi="Calibri" w:cs="Times New Roman"/>
          <w:i/>
        </w:rPr>
        <w:t xml:space="preserve"> that </w:t>
      </w:r>
      <w:r w:rsidRPr="000F7E56">
        <w:rPr>
          <w:rFonts w:ascii="Calibri" w:eastAsia="Calibri" w:hAnsi="Calibri" w:cs="Times New Roman"/>
        </w:rPr>
        <w:t>evidence suggests</w:t>
      </w:r>
      <w:r w:rsidRPr="000F7E56">
        <w:rPr>
          <w:rFonts w:ascii="Calibri" w:eastAsia="Calibri" w:hAnsi="Calibri" w:cs="Times New Roman"/>
          <w:i/>
        </w:rPr>
        <w:t xml:space="preserve"> that </w:t>
      </w:r>
      <w:r w:rsidRPr="000F7E56">
        <w:rPr>
          <w:rFonts w:ascii="Calibri" w:eastAsia="Calibri" w:hAnsi="Calibri" w:cs="Times New Roman"/>
        </w:rPr>
        <w:t xml:space="preserve">HCP’s need to: </w:t>
      </w:r>
      <w:r w:rsidRPr="000F7E56">
        <w:rPr>
          <w:rFonts w:ascii="Calibri" w:eastAsia="Calibri" w:hAnsi="Calibri" w:cs="Times New Roman"/>
          <w:i/>
        </w:rPr>
        <w:t xml:space="preserve">take an individualised approach to EOLP; avoid acting on stereotypes and assumptions; establish the right person to liaise with; </w:t>
      </w:r>
      <w:r w:rsidRPr="000F7E56">
        <w:rPr>
          <w:rFonts w:ascii="Calibri" w:eastAsia="Calibri" w:hAnsi="Calibri" w:cs="Times New Roman"/>
        </w:rPr>
        <w:t xml:space="preserve">and </w:t>
      </w:r>
      <w:r w:rsidRPr="000F7E56">
        <w:rPr>
          <w:rFonts w:ascii="Calibri" w:eastAsia="Calibri" w:hAnsi="Calibri" w:cs="Times New Roman"/>
          <w:i/>
        </w:rPr>
        <w:t>establish a patient’s choice list.</w:t>
      </w:r>
    </w:p>
    <w:p w14:paraId="4C710D4E" w14:textId="77777777" w:rsidR="000F7E56" w:rsidRPr="000F7E56" w:rsidRDefault="000F7E56" w:rsidP="000F7E56">
      <w:pPr>
        <w:spacing w:after="120" w:line="360" w:lineRule="auto"/>
        <w:rPr>
          <w:rFonts w:ascii="Calibri" w:eastAsia="Calibri" w:hAnsi="Calibri" w:cs="Times New Roman"/>
          <w:i/>
        </w:rPr>
      </w:pPr>
      <w:r w:rsidRPr="000F7E56">
        <w:rPr>
          <w:rFonts w:ascii="Calibri" w:eastAsia="Calibri" w:hAnsi="Calibri" w:cs="Times New Roman"/>
        </w:rPr>
        <w:t xml:space="preserve">Since not everyone wants to have the EOLC conversation was also something that HCPs needed to accept, since </w:t>
      </w:r>
      <w:r w:rsidRPr="000F7E56">
        <w:rPr>
          <w:rFonts w:ascii="Calibri" w:eastAsia="Calibri" w:hAnsi="Calibri" w:cs="Times New Roman"/>
          <w:i/>
        </w:rPr>
        <w:t>quality of life means different things for different people</w:t>
      </w:r>
      <w:r w:rsidRPr="000F7E56">
        <w:rPr>
          <w:rFonts w:ascii="Calibri" w:eastAsia="Calibri" w:hAnsi="Calibri" w:cs="Times New Roman"/>
        </w:rPr>
        <w:t xml:space="preserve">. Lay participants stressed it was important to understand what is </w:t>
      </w:r>
      <w:r w:rsidRPr="000F7E56">
        <w:rPr>
          <w:rFonts w:ascii="Calibri" w:eastAsia="Calibri" w:hAnsi="Calibri" w:cs="Times New Roman"/>
          <w:i/>
        </w:rPr>
        <w:t>quality of life</w:t>
      </w:r>
      <w:r w:rsidRPr="000F7E56">
        <w:rPr>
          <w:rFonts w:ascii="Calibri" w:eastAsia="Calibri" w:hAnsi="Calibri" w:cs="Times New Roman"/>
        </w:rPr>
        <w:t xml:space="preserve"> to individual people. For some patients they will go to any length to stay alive, whilst others will evaluate whether it is worth it and choose to be comfortable and to have time with family and friends. HCPs needed to e</w:t>
      </w:r>
      <w:r w:rsidRPr="000F7E56">
        <w:rPr>
          <w:rFonts w:ascii="Calibri" w:eastAsia="Calibri" w:hAnsi="Calibri" w:cs="Times New Roman"/>
          <w:i/>
        </w:rPr>
        <w:t xml:space="preserve">stablish what is acceptable for each individual. </w:t>
      </w:r>
      <w:r w:rsidRPr="000F7E56">
        <w:rPr>
          <w:rFonts w:ascii="Calibri" w:eastAsia="Calibri" w:hAnsi="Calibri" w:cs="Times New Roman"/>
        </w:rPr>
        <w:t xml:space="preserve">They needed to establish the patient’s limit and ‘discuss what he is comfortable with when it comes to his EOLCP’. Hope is also interpreted differently. For some people hope means to stay alive at all costs for others hope is ‘to be able or allowed and supported to peacefully pass away’. </w:t>
      </w:r>
    </w:p>
    <w:p w14:paraId="281840A1" w14:textId="77777777" w:rsidR="000F7E56" w:rsidRPr="000F7E56" w:rsidRDefault="000F7E56" w:rsidP="000F7E56">
      <w:pPr>
        <w:keepNext/>
        <w:keepLines/>
        <w:spacing w:before="40" w:after="0" w:line="276" w:lineRule="auto"/>
        <w:outlineLvl w:val="2"/>
        <w:rPr>
          <w:rFonts w:asciiTheme="majorHAnsi" w:eastAsia="Times New Roman" w:hAnsiTheme="majorHAnsi" w:cstheme="majorBidi"/>
          <w:color w:val="1F3763" w:themeColor="accent1" w:themeShade="7F"/>
          <w:sz w:val="24"/>
          <w:szCs w:val="24"/>
        </w:rPr>
      </w:pPr>
      <w:bookmarkStart w:id="391" w:name="_Toc89665195"/>
      <w:bookmarkStart w:id="392" w:name="_Toc89671947"/>
      <w:bookmarkStart w:id="393" w:name="_Toc89764017"/>
      <w:bookmarkStart w:id="394" w:name="_Toc106697846"/>
      <w:r w:rsidRPr="000F7E56">
        <w:rPr>
          <w:rFonts w:asciiTheme="majorHAnsi" w:eastAsia="Times New Roman" w:hAnsiTheme="majorHAnsi" w:cstheme="majorBidi"/>
          <w:color w:val="1F3763" w:themeColor="accent1" w:themeShade="7F"/>
          <w:sz w:val="24"/>
          <w:szCs w:val="24"/>
        </w:rPr>
        <w:lastRenderedPageBreak/>
        <w:t>Knowing the patient</w:t>
      </w:r>
      <w:bookmarkEnd w:id="391"/>
      <w:bookmarkEnd w:id="392"/>
      <w:bookmarkEnd w:id="393"/>
      <w:bookmarkEnd w:id="394"/>
    </w:p>
    <w:p w14:paraId="45742B6B" w14:textId="1759B08A" w:rsidR="000F7E56" w:rsidRPr="000F7E56" w:rsidRDefault="000F7E56" w:rsidP="000F7E56">
      <w:pPr>
        <w:spacing w:after="120" w:line="360" w:lineRule="auto"/>
        <w:rPr>
          <w:rFonts w:ascii="Calibri" w:eastAsia="Calibri" w:hAnsi="Calibri" w:cs="Times New Roman"/>
        </w:rPr>
      </w:pPr>
      <w:r w:rsidRPr="000F7E56">
        <w:rPr>
          <w:rFonts w:ascii="Calibri" w:eastAsia="Calibri" w:hAnsi="Calibri" w:cs="Times New Roman"/>
          <w:i/>
        </w:rPr>
        <w:t xml:space="preserve">Knowing the patient </w:t>
      </w:r>
      <w:r w:rsidRPr="000F7E56">
        <w:rPr>
          <w:rFonts w:ascii="Calibri" w:eastAsia="Calibri" w:hAnsi="Calibri" w:cs="Times New Roman"/>
        </w:rPr>
        <w:t>or having a shared understanding or commonality in culture background was viewed as an enabler but equally</w:t>
      </w:r>
      <w:r w:rsidRPr="000F7E56">
        <w:rPr>
          <w:rFonts w:ascii="Calibri" w:eastAsia="Calibri" w:hAnsi="Calibri" w:cs="Times New Roman"/>
          <w:i/>
        </w:rPr>
        <w:t xml:space="preserve"> being self-aware and reflexive </w:t>
      </w:r>
      <w:r w:rsidRPr="000F7E56">
        <w:rPr>
          <w:rFonts w:ascii="Calibri" w:eastAsia="Calibri" w:hAnsi="Calibri" w:cs="Times New Roman"/>
        </w:rPr>
        <w:t>was regarded as key, thereby acknowledging one’s own belief system may be different (regardless of any presumed commonality) and not approaching patients with preconceived ideas.</w:t>
      </w:r>
      <w:r w:rsidRPr="000F7E56">
        <w:rPr>
          <w:rFonts w:ascii="Calibri" w:eastAsia="Calibri" w:hAnsi="Calibri" w:cs="Times New Roman"/>
          <w:i/>
        </w:rPr>
        <w:t xml:space="preserve"> A person-centred </w:t>
      </w:r>
      <w:r w:rsidRPr="000F7E56">
        <w:rPr>
          <w:rFonts w:ascii="Calibri" w:eastAsia="Calibri" w:hAnsi="Calibri" w:cs="Times New Roman"/>
        </w:rPr>
        <w:t>approach was viewed by all stakeholders as key in terms of</w:t>
      </w:r>
      <w:r w:rsidRPr="000F7E56">
        <w:rPr>
          <w:rFonts w:ascii="Calibri" w:eastAsia="Calibri" w:hAnsi="Calibri" w:cs="Times New Roman"/>
          <w:i/>
        </w:rPr>
        <w:t xml:space="preserve"> knowing the patient and understating what matters to them. </w:t>
      </w:r>
      <w:r w:rsidRPr="000F7E56">
        <w:rPr>
          <w:rFonts w:ascii="Calibri" w:eastAsia="Calibri" w:hAnsi="Calibri" w:cs="Times New Roman"/>
        </w:rPr>
        <w:t>One community and faith stakeholder suggested that this was particularly important with older ED patients: ‘Most people of their age are afraid to speak in English but actually can understand, the other thing is his faith – so focus on his needs and how we can help him with those needs’. The Community Faith Leader Stakeholders also stressed that HCPs needed to know the patient’s daily routine and needed to ask key questions about this: Did they meditate? Rest? Did they have any contact with family? What was their environment like at home? These factors were seen as playing an important role in patients’ EOL care preferences. Like Academic Stakeholder participants</w:t>
      </w:r>
      <w:r w:rsidR="004B6E42">
        <w:rPr>
          <w:rFonts w:ascii="Calibri" w:eastAsia="Calibri" w:hAnsi="Calibri" w:cs="Times New Roman"/>
        </w:rPr>
        <w:t>,</w:t>
      </w:r>
      <w:r w:rsidRPr="000F7E56">
        <w:rPr>
          <w:rFonts w:ascii="Calibri" w:eastAsia="Calibri" w:hAnsi="Calibri" w:cs="Times New Roman"/>
        </w:rPr>
        <w:t xml:space="preserve"> Lay participants stressed it was important to e</w:t>
      </w:r>
      <w:r w:rsidRPr="000F7E56">
        <w:rPr>
          <w:rFonts w:ascii="Calibri" w:eastAsia="Calibri" w:hAnsi="Calibri" w:cs="Times New Roman"/>
          <w:i/>
        </w:rPr>
        <w:t>stablish the patients’ choice list</w:t>
      </w:r>
      <w:r w:rsidRPr="000F7E56">
        <w:rPr>
          <w:rFonts w:ascii="Calibri" w:eastAsia="Calibri" w:hAnsi="Calibri" w:cs="Times New Roman"/>
        </w:rPr>
        <w:t>, indicating that this was key in opening up discussion about EOLCP.  Instead of HCPs doing a checkbox exercise with own checklist, HCPs needed to establish what really mattered to patients and their families.</w:t>
      </w:r>
    </w:p>
    <w:p w14:paraId="14B273ED" w14:textId="60AE21E8" w:rsidR="000F7E56" w:rsidRDefault="000F7E56" w:rsidP="000F7E56">
      <w:pPr>
        <w:keepNext/>
        <w:keepLines/>
        <w:spacing w:before="40" w:after="0" w:line="276" w:lineRule="auto"/>
        <w:outlineLvl w:val="2"/>
        <w:rPr>
          <w:rFonts w:asciiTheme="majorHAnsi" w:eastAsia="Times New Roman" w:hAnsiTheme="majorHAnsi" w:cstheme="majorBidi"/>
          <w:color w:val="1F3763" w:themeColor="accent1" w:themeShade="7F"/>
          <w:sz w:val="24"/>
          <w:szCs w:val="24"/>
        </w:rPr>
      </w:pPr>
      <w:bookmarkStart w:id="395" w:name="_Toc89665196"/>
      <w:bookmarkStart w:id="396" w:name="_Toc89671948"/>
      <w:bookmarkStart w:id="397" w:name="_Toc89764018"/>
      <w:bookmarkStart w:id="398" w:name="_Toc106697847"/>
      <w:r w:rsidRPr="000F7E56">
        <w:rPr>
          <w:rFonts w:asciiTheme="majorHAnsi" w:eastAsia="Times New Roman" w:hAnsiTheme="majorHAnsi" w:cstheme="majorBidi"/>
          <w:color w:val="1F3763" w:themeColor="accent1" w:themeShade="7F"/>
          <w:sz w:val="24"/>
          <w:szCs w:val="24"/>
        </w:rPr>
        <w:t>Working with the patient in their families</w:t>
      </w:r>
      <w:bookmarkEnd w:id="395"/>
      <w:bookmarkEnd w:id="396"/>
      <w:bookmarkEnd w:id="397"/>
      <w:bookmarkEnd w:id="398"/>
    </w:p>
    <w:p w14:paraId="1357A7A3" w14:textId="77777777" w:rsidR="00DA32BF" w:rsidRPr="000F7E56" w:rsidRDefault="00DA32BF" w:rsidP="000F7E56">
      <w:pPr>
        <w:keepNext/>
        <w:keepLines/>
        <w:spacing w:before="40" w:after="0" w:line="276" w:lineRule="auto"/>
        <w:outlineLvl w:val="2"/>
        <w:rPr>
          <w:rFonts w:asciiTheme="majorHAnsi" w:eastAsia="Times New Roman" w:hAnsiTheme="majorHAnsi" w:cstheme="majorBidi"/>
          <w:color w:val="1F3763" w:themeColor="accent1" w:themeShade="7F"/>
          <w:sz w:val="24"/>
          <w:szCs w:val="24"/>
        </w:rPr>
      </w:pPr>
    </w:p>
    <w:p w14:paraId="1D160C96" w14:textId="77777777" w:rsidR="000F7E56" w:rsidRPr="000F7E56" w:rsidRDefault="000F7E56" w:rsidP="000F7E56">
      <w:pPr>
        <w:spacing w:after="120" w:line="360" w:lineRule="auto"/>
        <w:rPr>
          <w:rFonts w:ascii="Calibri" w:eastAsia="Calibri" w:hAnsi="Calibri" w:cs="Times New Roman"/>
        </w:rPr>
      </w:pPr>
      <w:r w:rsidRPr="000F7E56">
        <w:rPr>
          <w:rFonts w:ascii="Calibri" w:eastAsia="Calibri" w:hAnsi="Calibri" w:cs="Times New Roman"/>
        </w:rPr>
        <w:t xml:space="preserve">There was also a sense in discussions of the need to work </w:t>
      </w:r>
      <w:r w:rsidRPr="004B6E42">
        <w:rPr>
          <w:rFonts w:ascii="Calibri" w:eastAsia="Calibri" w:hAnsi="Calibri" w:cs="Times New Roman"/>
          <w:i/>
        </w:rPr>
        <w:t xml:space="preserve">with </w:t>
      </w:r>
      <w:r w:rsidRPr="000F7E56">
        <w:rPr>
          <w:rFonts w:ascii="Calibri" w:eastAsia="Calibri" w:hAnsi="Calibri" w:cs="Times New Roman"/>
        </w:rPr>
        <w:t xml:space="preserve">the family carers as opposed to against them. Hence it was important to validate the carers’ role. This was viewed as particularly important where there was an element of mistrust of health services from the patient due to past experiences and it was important for the HCP to establish family carer support. </w:t>
      </w:r>
    </w:p>
    <w:p w14:paraId="71EDA6E3" w14:textId="77777777" w:rsidR="000F7E56" w:rsidRPr="000F7E56" w:rsidRDefault="000F7E56" w:rsidP="000F7E56">
      <w:pPr>
        <w:spacing w:after="120" w:line="360" w:lineRule="auto"/>
        <w:rPr>
          <w:rFonts w:ascii="Calibri" w:eastAsia="Calibri" w:hAnsi="Calibri" w:cs="Times New Roman"/>
        </w:rPr>
      </w:pPr>
      <w:r w:rsidRPr="000F7E56">
        <w:rPr>
          <w:rFonts w:ascii="Calibri" w:eastAsia="Calibri" w:hAnsi="Calibri" w:cs="Times New Roman"/>
        </w:rPr>
        <w:t xml:space="preserve">Empowering patients and being an advocate for the patient by giving patients control was key in helping to build trust both with the patient and with the family: demonstrating a commonality of intent to do the best for the patient/loved one. Also key was empowering the patient by giving the patient ownership to direct what was discussed with them and what with the family or other designated person. Lay stakeholders stressed it was important however </w:t>
      </w:r>
      <w:r w:rsidRPr="000F7E56">
        <w:rPr>
          <w:rFonts w:ascii="Calibri" w:eastAsia="Calibri" w:hAnsi="Calibri" w:cs="Times New Roman"/>
          <w:i/>
        </w:rPr>
        <w:t xml:space="preserve">not to assume that family share the same beliefs. </w:t>
      </w:r>
      <w:r w:rsidRPr="000F7E56">
        <w:rPr>
          <w:rFonts w:ascii="Calibri" w:eastAsia="Calibri" w:hAnsi="Calibri" w:cs="Times New Roman"/>
        </w:rPr>
        <w:t>Hence recognise</w:t>
      </w:r>
      <w:r w:rsidRPr="000F7E56">
        <w:rPr>
          <w:rFonts w:ascii="Calibri" w:eastAsia="Calibri" w:hAnsi="Calibri" w:cs="Times New Roman"/>
          <w:i/>
        </w:rPr>
        <w:t xml:space="preserve"> </w:t>
      </w:r>
      <w:r w:rsidRPr="000F7E56">
        <w:rPr>
          <w:rFonts w:ascii="Calibri" w:eastAsia="Calibri" w:hAnsi="Calibri" w:cs="Times New Roman"/>
        </w:rPr>
        <w:t xml:space="preserve">that even when people share the same faith they are likely to have different views regarding their health and treatment. </w:t>
      </w:r>
    </w:p>
    <w:p w14:paraId="45284ED9" w14:textId="77777777" w:rsidR="000F7E56" w:rsidRPr="000F7E56" w:rsidRDefault="000F7E56" w:rsidP="000F7E56">
      <w:pPr>
        <w:spacing w:after="120" w:line="360" w:lineRule="auto"/>
        <w:rPr>
          <w:rFonts w:ascii="Calibri" w:eastAsia="Calibri" w:hAnsi="Calibri" w:cs="Times New Roman"/>
        </w:rPr>
      </w:pPr>
      <w:r w:rsidRPr="000F7E56">
        <w:rPr>
          <w:rFonts w:ascii="Calibri" w:eastAsia="Calibri" w:hAnsi="Calibri" w:cs="Times New Roman"/>
        </w:rPr>
        <w:t>It was important to establish the key contact person for the individual patient and family. Community or Faith Leader stakeholders acknowledged it was important to know who the right person was to liaise with and not to assume the next of kin is the person consulted for all matters</w:t>
      </w:r>
      <w:r w:rsidRPr="000F7E56">
        <w:rPr>
          <w:rFonts w:ascii="Calibri" w:eastAsia="Calibri" w:hAnsi="Calibri" w:cs="Times New Roman"/>
          <w:i/>
        </w:rPr>
        <w:t>.</w:t>
      </w:r>
      <w:r w:rsidRPr="000F7E56">
        <w:rPr>
          <w:rFonts w:ascii="Calibri" w:eastAsia="Calibri" w:hAnsi="Calibri" w:cs="Times New Roman"/>
        </w:rPr>
        <w:t xml:space="preserve"> As one stakeholder stated ‘Healthcare setting should have someone who is a link between hospital and patient to give knowledge of patient background. Different family members will serve different </w:t>
      </w:r>
      <w:r w:rsidRPr="000F7E56">
        <w:rPr>
          <w:rFonts w:ascii="Calibri" w:eastAsia="Calibri" w:hAnsi="Calibri" w:cs="Times New Roman"/>
        </w:rPr>
        <w:lastRenderedPageBreak/>
        <w:t xml:space="preserve">things. Don’t assume ‘Next of Kin’ is the person to be consulted with health and everything because that person may not be comfortable with that’. </w:t>
      </w:r>
    </w:p>
    <w:p w14:paraId="3665A264" w14:textId="1D68CD12" w:rsidR="000F7E56" w:rsidRDefault="000F7E56" w:rsidP="000F7E56">
      <w:pPr>
        <w:keepNext/>
        <w:keepLines/>
        <w:spacing w:before="40" w:after="0" w:line="276" w:lineRule="auto"/>
        <w:outlineLvl w:val="2"/>
        <w:rPr>
          <w:rFonts w:asciiTheme="majorHAnsi" w:eastAsia="Times New Roman" w:hAnsiTheme="majorHAnsi" w:cstheme="majorBidi"/>
          <w:color w:val="1F3763" w:themeColor="accent1" w:themeShade="7F"/>
          <w:sz w:val="24"/>
          <w:szCs w:val="24"/>
        </w:rPr>
      </w:pPr>
      <w:bookmarkStart w:id="399" w:name="_Toc89665197"/>
      <w:bookmarkStart w:id="400" w:name="_Toc89671949"/>
      <w:bookmarkStart w:id="401" w:name="_Toc89764019"/>
      <w:bookmarkStart w:id="402" w:name="_Toc106697848"/>
      <w:r w:rsidRPr="000F7E56">
        <w:rPr>
          <w:rFonts w:asciiTheme="majorHAnsi" w:eastAsia="Times New Roman" w:hAnsiTheme="majorHAnsi" w:cstheme="majorBidi"/>
          <w:color w:val="1F3763" w:themeColor="accent1" w:themeShade="7F"/>
          <w:sz w:val="24"/>
          <w:szCs w:val="24"/>
        </w:rPr>
        <w:t>Raising awareness</w:t>
      </w:r>
      <w:bookmarkEnd w:id="399"/>
      <w:bookmarkEnd w:id="400"/>
      <w:bookmarkEnd w:id="401"/>
      <w:bookmarkEnd w:id="402"/>
    </w:p>
    <w:p w14:paraId="588FEAB4" w14:textId="77777777" w:rsidR="00DA32BF" w:rsidRPr="000F7E56" w:rsidRDefault="00DA32BF" w:rsidP="000F7E56">
      <w:pPr>
        <w:keepNext/>
        <w:keepLines/>
        <w:spacing w:before="40" w:after="0" w:line="276" w:lineRule="auto"/>
        <w:outlineLvl w:val="2"/>
        <w:rPr>
          <w:rFonts w:asciiTheme="majorHAnsi" w:eastAsia="Times New Roman" w:hAnsiTheme="majorHAnsi" w:cstheme="majorBidi"/>
          <w:color w:val="1F3763" w:themeColor="accent1" w:themeShade="7F"/>
          <w:sz w:val="24"/>
          <w:szCs w:val="24"/>
        </w:rPr>
      </w:pPr>
    </w:p>
    <w:p w14:paraId="74139BB5" w14:textId="77777777" w:rsidR="000F7E56" w:rsidRPr="000F7E56" w:rsidRDefault="000F7E56" w:rsidP="000F7E56">
      <w:pPr>
        <w:spacing w:after="120" w:line="360" w:lineRule="auto"/>
        <w:rPr>
          <w:rFonts w:ascii="Calibri" w:eastAsia="Calibri" w:hAnsi="Calibri" w:cs="Times New Roman"/>
        </w:rPr>
      </w:pPr>
      <w:r w:rsidRPr="000F7E56">
        <w:rPr>
          <w:rFonts w:ascii="Calibri" w:eastAsia="Calibri" w:hAnsi="Calibri" w:cs="Times New Roman"/>
        </w:rPr>
        <w:t xml:space="preserve">Both Lay and HCPs participants agreed that there was a need to </w:t>
      </w:r>
      <w:r w:rsidRPr="000F7E56">
        <w:rPr>
          <w:rFonts w:ascii="Calibri" w:eastAsia="Calibri" w:hAnsi="Calibri" w:cs="Times New Roman"/>
          <w:i/>
        </w:rPr>
        <w:t>‘start the conversation’</w:t>
      </w:r>
      <w:r w:rsidRPr="000F7E56">
        <w:rPr>
          <w:rFonts w:ascii="Calibri" w:eastAsia="Calibri" w:hAnsi="Calibri" w:cs="Times New Roman"/>
        </w:rPr>
        <w:t xml:space="preserve"> and have more </w:t>
      </w:r>
      <w:r w:rsidRPr="000F7E56">
        <w:rPr>
          <w:rFonts w:ascii="Calibri" w:eastAsia="Calibri" w:hAnsi="Calibri" w:cs="Times New Roman"/>
          <w:i/>
        </w:rPr>
        <w:t>awareness raising in society</w:t>
      </w:r>
      <w:r w:rsidRPr="000F7E56">
        <w:rPr>
          <w:rFonts w:ascii="Calibri" w:eastAsia="Calibri" w:hAnsi="Calibri" w:cs="Times New Roman"/>
        </w:rPr>
        <w:t xml:space="preserve"> so that talking about death dying and EOLCP was less of a taboo. AN HCP participant also acknowledged: ‘Majority of people would cling to life reinforcing treatments, medicalising death instead of starting a conversation for patient’s families and communities and make work easier for HCPs [to discuss this] so that is not a taboo’. Lay stakeholders stressed it was important to engage community and religious leaders: ‘to take this discussion to the community’. </w:t>
      </w:r>
    </w:p>
    <w:p w14:paraId="2F49769A" w14:textId="242BD9F4" w:rsidR="000F7E56" w:rsidRDefault="000F7E56" w:rsidP="000F7E56">
      <w:pPr>
        <w:keepNext/>
        <w:keepLines/>
        <w:spacing w:before="40" w:after="0" w:line="276" w:lineRule="auto"/>
        <w:outlineLvl w:val="2"/>
        <w:rPr>
          <w:rFonts w:asciiTheme="majorHAnsi" w:eastAsia="Times New Roman" w:hAnsiTheme="majorHAnsi" w:cstheme="majorBidi"/>
          <w:color w:val="1F3763" w:themeColor="accent1" w:themeShade="7F"/>
          <w:sz w:val="24"/>
          <w:szCs w:val="24"/>
        </w:rPr>
      </w:pPr>
      <w:bookmarkStart w:id="403" w:name="_Toc89665198"/>
      <w:bookmarkStart w:id="404" w:name="_Toc89671950"/>
      <w:bookmarkStart w:id="405" w:name="_Toc89764020"/>
      <w:bookmarkStart w:id="406" w:name="_Toc106697849"/>
      <w:r w:rsidRPr="000F7E56">
        <w:rPr>
          <w:rFonts w:asciiTheme="majorHAnsi" w:eastAsia="Times New Roman" w:hAnsiTheme="majorHAnsi" w:cstheme="majorBidi"/>
          <w:color w:val="1F3763" w:themeColor="accent1" w:themeShade="7F"/>
          <w:sz w:val="24"/>
          <w:szCs w:val="24"/>
        </w:rPr>
        <w:t>Further training</w:t>
      </w:r>
      <w:bookmarkEnd w:id="403"/>
      <w:bookmarkEnd w:id="404"/>
      <w:bookmarkEnd w:id="405"/>
      <w:bookmarkEnd w:id="406"/>
      <w:r w:rsidRPr="000F7E56">
        <w:rPr>
          <w:rFonts w:asciiTheme="majorHAnsi" w:eastAsia="Times New Roman" w:hAnsiTheme="majorHAnsi" w:cstheme="majorBidi"/>
          <w:color w:val="1F3763" w:themeColor="accent1" w:themeShade="7F"/>
          <w:sz w:val="24"/>
          <w:szCs w:val="24"/>
        </w:rPr>
        <w:t xml:space="preserve"> </w:t>
      </w:r>
    </w:p>
    <w:p w14:paraId="415521F5" w14:textId="77777777" w:rsidR="00DA32BF" w:rsidRPr="000F7E56" w:rsidRDefault="00DA32BF" w:rsidP="000F7E56">
      <w:pPr>
        <w:keepNext/>
        <w:keepLines/>
        <w:spacing w:before="40" w:after="0" w:line="276" w:lineRule="auto"/>
        <w:outlineLvl w:val="2"/>
        <w:rPr>
          <w:rFonts w:asciiTheme="majorHAnsi" w:eastAsia="Times New Roman" w:hAnsiTheme="majorHAnsi" w:cstheme="majorBidi"/>
          <w:color w:val="1F3763" w:themeColor="accent1" w:themeShade="7F"/>
          <w:sz w:val="24"/>
          <w:szCs w:val="24"/>
        </w:rPr>
      </w:pPr>
    </w:p>
    <w:p w14:paraId="3057B190" w14:textId="77777777" w:rsidR="000F7E56" w:rsidRPr="000F7E56" w:rsidRDefault="000F7E56" w:rsidP="000F7E56">
      <w:pPr>
        <w:spacing w:after="120" w:line="360" w:lineRule="auto"/>
        <w:rPr>
          <w:rFonts w:ascii="Calibri" w:eastAsia="Calibri" w:hAnsi="Calibri" w:cs="Times New Roman"/>
        </w:rPr>
      </w:pPr>
      <w:r w:rsidRPr="000F7E56">
        <w:rPr>
          <w:rFonts w:ascii="Calibri" w:eastAsia="Calibri" w:hAnsi="Calibri" w:cs="Times New Roman"/>
        </w:rPr>
        <w:t xml:space="preserve">All HCPs agreed that the way forward was </w:t>
      </w:r>
      <w:r w:rsidRPr="000F7E56">
        <w:rPr>
          <w:rFonts w:ascii="Calibri" w:eastAsia="Calibri" w:hAnsi="Calibri" w:cs="Times New Roman"/>
          <w:i/>
        </w:rPr>
        <w:t>training</w:t>
      </w:r>
      <w:r w:rsidRPr="000F7E56">
        <w:rPr>
          <w:rFonts w:ascii="Calibri" w:eastAsia="Calibri" w:hAnsi="Calibri" w:cs="Times New Roman"/>
        </w:rPr>
        <w:t xml:space="preserve"> which would help to build HCP </w:t>
      </w:r>
      <w:r w:rsidRPr="000F7E56">
        <w:rPr>
          <w:rFonts w:ascii="Calibri" w:eastAsia="Calibri" w:hAnsi="Calibri" w:cs="Times New Roman"/>
          <w:i/>
        </w:rPr>
        <w:t xml:space="preserve">confidence to ask about faith or cultural beliefs. </w:t>
      </w:r>
      <w:r w:rsidRPr="000F7E56">
        <w:rPr>
          <w:rFonts w:ascii="Calibri" w:eastAsia="Calibri" w:hAnsi="Calibri" w:cs="Times New Roman"/>
        </w:rPr>
        <w:t>Educators also stated that HCPs needed more t</w:t>
      </w:r>
      <w:r w:rsidRPr="000F7E56">
        <w:rPr>
          <w:rFonts w:ascii="Calibri" w:eastAsia="Calibri" w:hAnsi="Calibri" w:cs="Times New Roman"/>
          <w:i/>
        </w:rPr>
        <w:t>eaching tools or best approach</w:t>
      </w:r>
      <w:r w:rsidRPr="000F7E56">
        <w:rPr>
          <w:rFonts w:ascii="Calibri" w:eastAsia="Calibri" w:hAnsi="Calibri" w:cs="Times New Roman"/>
        </w:rPr>
        <w:t xml:space="preserve"> guidance for having EOLCP discussions with ED patients. This would support them in developing confidence in understanding nuances, verbal and nonverbal cues. One way of doing this was via using simulated patients. It was also key that HCPs were taught the significance of cultural humility as an approach to care. Educator participants also suggested that developing as a practitioner was an iterative process and they needed to adopt a reflexive approach to practice. </w:t>
      </w:r>
    </w:p>
    <w:p w14:paraId="2F439CF5" w14:textId="77777777" w:rsidR="000F7E56" w:rsidRPr="000F7E56" w:rsidRDefault="000F7E56" w:rsidP="000F7E56">
      <w:pPr>
        <w:spacing w:after="120" w:line="360" w:lineRule="auto"/>
        <w:rPr>
          <w:rFonts w:ascii="Calibri" w:eastAsia="Calibri" w:hAnsi="Calibri" w:cs="Times New Roman"/>
        </w:rPr>
      </w:pPr>
      <w:r w:rsidRPr="000F7E56">
        <w:rPr>
          <w:rFonts w:ascii="Calibri" w:eastAsia="Calibri" w:hAnsi="Calibri" w:cs="Times New Roman"/>
        </w:rPr>
        <w:t>Lay stakeholders suggested that HCPs engage with interfaith fora to learn about different religions and cultures</w:t>
      </w:r>
      <w:r w:rsidRPr="000F7E56">
        <w:rPr>
          <w:rFonts w:ascii="Calibri" w:eastAsia="Calibri" w:hAnsi="Calibri" w:cs="Times New Roman"/>
          <w:i/>
        </w:rPr>
        <w:t xml:space="preserve">. </w:t>
      </w:r>
      <w:r w:rsidRPr="000F7E56">
        <w:rPr>
          <w:rFonts w:ascii="Calibri" w:eastAsia="Calibri" w:hAnsi="Calibri" w:cs="Times New Roman"/>
        </w:rPr>
        <w:t>One Lay stakeholder participant stated that HCPs were welcome to interfaith forum to learn and understand how to work with people of minority and religious communities</w:t>
      </w:r>
      <w:r w:rsidRPr="000F7E56">
        <w:rPr>
          <w:rFonts w:ascii="Calibri" w:eastAsia="Calibri" w:hAnsi="Calibri" w:cs="Times New Roman"/>
          <w:i/>
        </w:rPr>
        <w:t xml:space="preserve">. </w:t>
      </w:r>
      <w:r w:rsidRPr="000F7E56">
        <w:rPr>
          <w:rFonts w:ascii="Calibri" w:eastAsia="Calibri" w:hAnsi="Calibri" w:cs="Times New Roman"/>
        </w:rPr>
        <w:t>HCPs also acknowledged there were benefits to having discussions with faith leaders and or community leaders: ‘If we can have faith, community and HCPs in the same room there would be a good place for HCPs to learn’. Lay stakeholders acknowledged it was important to raise discussions about faith and beliefs with patients. They acknowledged this was sensitive, but it still needed to be introduced. HCPs acknowledged that some guidance about the best way to phrase the questions would be useful. An example in how to introduce the discussion about spiritual beliefs was given by one HCP stakeholder</w:t>
      </w:r>
      <w:r w:rsidRPr="000F7E56">
        <w:rPr>
          <w:rFonts w:ascii="Calibri" w:eastAsia="Calibri" w:hAnsi="Calibri" w:cs="Times New Roman"/>
          <w:i/>
        </w:rPr>
        <w:t xml:space="preserve">: </w:t>
      </w:r>
      <w:r w:rsidRPr="000F7E56">
        <w:rPr>
          <w:rFonts w:ascii="Calibri" w:eastAsia="Calibri" w:hAnsi="Calibri" w:cs="Times New Roman"/>
        </w:rPr>
        <w:t>‘This is obviously a difficult time for you, do you have any faith background or spiritual beliefs that support you at a time like this?’.</w:t>
      </w:r>
    </w:p>
    <w:p w14:paraId="4FE92CF5" w14:textId="7A04964E" w:rsidR="000F7E56" w:rsidRDefault="000F7E56" w:rsidP="000F7E56">
      <w:pPr>
        <w:keepNext/>
        <w:keepLines/>
        <w:spacing w:before="40" w:after="0" w:line="276" w:lineRule="auto"/>
        <w:outlineLvl w:val="2"/>
        <w:rPr>
          <w:rFonts w:asciiTheme="majorHAnsi" w:eastAsia="Times New Roman" w:hAnsiTheme="majorHAnsi" w:cstheme="majorBidi"/>
          <w:color w:val="1F3763" w:themeColor="accent1" w:themeShade="7F"/>
          <w:sz w:val="24"/>
          <w:szCs w:val="24"/>
        </w:rPr>
      </w:pPr>
      <w:bookmarkStart w:id="407" w:name="_Toc89665199"/>
      <w:bookmarkStart w:id="408" w:name="_Toc89671951"/>
      <w:bookmarkStart w:id="409" w:name="_Toc89764021"/>
      <w:bookmarkStart w:id="410" w:name="_Toc106697850"/>
      <w:r w:rsidRPr="000F7E56">
        <w:rPr>
          <w:rFonts w:asciiTheme="majorHAnsi" w:eastAsia="Times New Roman" w:hAnsiTheme="majorHAnsi" w:cstheme="majorBidi"/>
          <w:color w:val="1F3763" w:themeColor="accent1" w:themeShade="7F"/>
          <w:sz w:val="24"/>
          <w:szCs w:val="24"/>
        </w:rPr>
        <w:lastRenderedPageBreak/>
        <w:t>Developing training materials</w:t>
      </w:r>
      <w:bookmarkEnd w:id="407"/>
      <w:bookmarkEnd w:id="408"/>
      <w:bookmarkEnd w:id="409"/>
      <w:bookmarkEnd w:id="410"/>
    </w:p>
    <w:p w14:paraId="1D073A87" w14:textId="77777777" w:rsidR="00DA32BF" w:rsidRPr="000F7E56" w:rsidRDefault="00DA32BF" w:rsidP="000F7E56">
      <w:pPr>
        <w:keepNext/>
        <w:keepLines/>
        <w:spacing w:before="40" w:after="0" w:line="276" w:lineRule="auto"/>
        <w:outlineLvl w:val="2"/>
        <w:rPr>
          <w:rFonts w:asciiTheme="majorHAnsi" w:eastAsia="Times New Roman" w:hAnsiTheme="majorHAnsi" w:cstheme="majorBidi"/>
          <w:color w:val="1F3763" w:themeColor="accent1" w:themeShade="7F"/>
          <w:sz w:val="24"/>
          <w:szCs w:val="24"/>
        </w:rPr>
      </w:pPr>
    </w:p>
    <w:p w14:paraId="3F6E978F" w14:textId="77777777" w:rsidR="000F7E56" w:rsidRPr="000F7E56" w:rsidRDefault="000F7E56" w:rsidP="000F7E56">
      <w:pPr>
        <w:spacing w:after="120" w:line="360" w:lineRule="auto"/>
        <w:rPr>
          <w:rFonts w:ascii="Calibri" w:eastAsia="Calibri" w:hAnsi="Calibri" w:cs="Times New Roman"/>
          <w:lang w:val="en-US"/>
        </w:rPr>
      </w:pPr>
      <w:r w:rsidRPr="000F7E56">
        <w:rPr>
          <w:rFonts w:ascii="Calibri" w:eastAsia="Calibri" w:hAnsi="Calibri" w:cs="Times New Roman"/>
          <w:lang w:val="en-US"/>
        </w:rPr>
        <w:t xml:space="preserve">All stakeholders found the stories to be a powerful tool to open the discussion in the workshop but also in training and learning. The preference for all stakeholders was to reveal the stories in stages slowly adding layers to complexity and diversity.  Academics in workshops suggested that if the stories were to be used in training materials there should be specific questions to accompany stories. Stories should perhaps be produced as audio or film and have accompanying questions specific to the case. </w:t>
      </w:r>
    </w:p>
    <w:p w14:paraId="10B919A6" w14:textId="75860B29" w:rsidR="000F7E56" w:rsidRPr="000F7E56" w:rsidRDefault="000F7E56" w:rsidP="000F7E56">
      <w:pPr>
        <w:spacing w:after="120" w:line="360" w:lineRule="auto"/>
        <w:rPr>
          <w:rFonts w:ascii="Calibri" w:eastAsia="Calibri" w:hAnsi="Calibri" w:cs="Times New Roman"/>
        </w:rPr>
      </w:pPr>
      <w:r w:rsidRPr="000F7E56">
        <w:rPr>
          <w:rFonts w:ascii="Calibri" w:eastAsia="Calibri" w:hAnsi="Calibri" w:cs="Times New Roman"/>
          <w:lang w:val="en-US"/>
        </w:rPr>
        <w:t xml:space="preserve">Academic participants stressed that stories needed to address generational differences and take an intersectional approach since patients </w:t>
      </w:r>
      <w:proofErr w:type="spellStart"/>
      <w:r w:rsidRPr="000F7E56">
        <w:rPr>
          <w:rFonts w:ascii="Calibri" w:eastAsia="Calibri" w:hAnsi="Calibri" w:cs="Times New Roman"/>
          <w:lang w:val="en-US"/>
        </w:rPr>
        <w:t>behaviours</w:t>
      </w:r>
      <w:proofErr w:type="spellEnd"/>
      <w:r w:rsidRPr="000F7E56">
        <w:rPr>
          <w:rFonts w:ascii="Calibri" w:eastAsia="Calibri" w:hAnsi="Calibri" w:cs="Times New Roman"/>
          <w:lang w:val="en-US"/>
        </w:rPr>
        <w:t xml:space="preserve"> and needs are ‘not just about race it’s also about poverty; class; ethnicity and faith etc.’ so the stories should not be overly dominated by stereo-typical cultural signifiers that represent diversity such as language needs and food restrictions. This was seen as important to avoid learners reaching for the certainty of a checklist approach to culture (e.g. Muslims do this, Jews do that) and enable practitioners to work within the realities of the context of uncertainty </w:t>
      </w:r>
      <w:r w:rsidR="00DA32BF" w:rsidRPr="000F7E56">
        <w:rPr>
          <w:rFonts w:ascii="Calibri" w:eastAsia="Calibri" w:hAnsi="Calibri" w:cs="Times New Roman"/>
          <w:lang w:val="en-US"/>
        </w:rPr>
        <w:t>and of the</w:t>
      </w:r>
      <w:r w:rsidRPr="000F7E56">
        <w:rPr>
          <w:rFonts w:ascii="Calibri" w:eastAsia="Calibri" w:hAnsi="Calibri" w:cs="Times New Roman"/>
          <w:lang w:val="en-US"/>
        </w:rPr>
        <w:t xml:space="preserve"> nuances of individuality, particularity and the layering of life experiences, heritage, culture and faith.</w:t>
      </w:r>
      <w:r w:rsidRPr="000F7E56">
        <w:rPr>
          <w:rFonts w:ascii="Calibri" w:eastAsia="Calibri" w:hAnsi="Calibri" w:cs="Times New Roman"/>
        </w:rPr>
        <w:t xml:space="preserve"> This potential for over-</w:t>
      </w:r>
      <w:proofErr w:type="spellStart"/>
      <w:r w:rsidRPr="000F7E56">
        <w:rPr>
          <w:rFonts w:ascii="Calibri" w:eastAsia="Calibri" w:hAnsi="Calibri" w:cs="Times New Roman"/>
        </w:rPr>
        <w:t>culturalisation</w:t>
      </w:r>
      <w:proofErr w:type="spellEnd"/>
      <w:r w:rsidRPr="000F7E56">
        <w:rPr>
          <w:rFonts w:ascii="Calibri" w:eastAsia="Calibri" w:hAnsi="Calibri" w:cs="Times New Roman"/>
        </w:rPr>
        <w:t xml:space="preserve"> of stories was in some tension with other participants suggesting that people need to have some understanding of core components of cultural diversity. There was mostly agreement however that stories as a learning tool needed to show that cultural hybridity exist, promoting understanding that differences exist between generations, and class as well as culture and faith.</w:t>
      </w:r>
    </w:p>
    <w:p w14:paraId="2819C0D6" w14:textId="77777777" w:rsidR="000F7E56" w:rsidRPr="000F7E56" w:rsidRDefault="000F7E56" w:rsidP="000F7E56">
      <w:pPr>
        <w:spacing w:after="120" w:line="360" w:lineRule="auto"/>
        <w:rPr>
          <w:rFonts w:ascii="Calibri" w:eastAsia="Calibri" w:hAnsi="Calibri" w:cs="Times New Roman"/>
        </w:rPr>
      </w:pPr>
      <w:r w:rsidRPr="000F7E56">
        <w:rPr>
          <w:rFonts w:ascii="Calibri" w:eastAsia="Calibri" w:hAnsi="Calibri" w:cs="Times New Roman"/>
        </w:rPr>
        <w:t xml:space="preserve">Educators stated that using a story as a teaching tool was positive. Stories needed to be complex and interesting and at the same time feel authentic engendering sparks of empathy, which was the case with the stories used in the workshops. They also viewed as positive that the stories had no ‘rounding-off’ ending, that what happened was left open. As one educator stakeholder stated ‘there is an opportunity that we can support people without fixing. It’s nice sometimes to not have a solution’. </w:t>
      </w:r>
    </w:p>
    <w:p w14:paraId="7F0788D0" w14:textId="77777777" w:rsidR="000F7E56" w:rsidRPr="000F7E56" w:rsidRDefault="000F7E56" w:rsidP="000F7E56">
      <w:pPr>
        <w:spacing w:after="120" w:line="360" w:lineRule="auto"/>
        <w:rPr>
          <w:rFonts w:ascii="Calibri" w:eastAsia="Calibri" w:hAnsi="Calibri" w:cs="Times New Roman"/>
        </w:rPr>
      </w:pPr>
      <w:r w:rsidRPr="000F7E56">
        <w:rPr>
          <w:rFonts w:ascii="Calibri" w:eastAsia="Calibri" w:hAnsi="Calibri" w:cs="Times New Roman"/>
        </w:rPr>
        <w:t xml:space="preserve">Academics also talked about the value of creating a forum of researchers and faith leaders to expand knowledge and evidence about ethnic diversity and </w:t>
      </w:r>
      <w:proofErr w:type="spellStart"/>
      <w:r w:rsidRPr="000F7E56">
        <w:rPr>
          <w:rFonts w:ascii="Calibri" w:eastAsia="Calibri" w:hAnsi="Calibri" w:cs="Times New Roman"/>
        </w:rPr>
        <w:t>PEoLC</w:t>
      </w:r>
      <w:proofErr w:type="spellEnd"/>
      <w:r w:rsidRPr="000F7E56">
        <w:rPr>
          <w:rFonts w:ascii="Calibri" w:eastAsia="Calibri" w:hAnsi="Calibri" w:cs="Times New Roman"/>
        </w:rPr>
        <w:t xml:space="preserve"> and addressing inequalities and inequities.</w:t>
      </w:r>
    </w:p>
    <w:p w14:paraId="5F1880CE" w14:textId="29843D33" w:rsidR="000F7E56" w:rsidRPr="000F7E56" w:rsidRDefault="000F7E56" w:rsidP="000F7E56">
      <w:pPr>
        <w:spacing w:after="120" w:line="360" w:lineRule="auto"/>
        <w:rPr>
          <w:rFonts w:ascii="Calibri" w:eastAsia="Calibri" w:hAnsi="Calibri" w:cs="Times New Roman"/>
        </w:rPr>
      </w:pPr>
      <w:r w:rsidRPr="000F7E56">
        <w:rPr>
          <w:rFonts w:ascii="Calibri" w:eastAsia="Calibri" w:hAnsi="Calibri" w:cs="Times New Roman"/>
        </w:rPr>
        <w:t xml:space="preserve">Behaviour change techniques and the use of concepts from normalisation process theory (as described in Chapter 2) were applied to the data gathered in the discussions in workshops and the workbooks and the potential learning mechanisms to promote </w:t>
      </w:r>
      <w:r w:rsidR="00F75231" w:rsidRPr="00F75231">
        <w:rPr>
          <w:rFonts w:ascii="Calibri" w:eastAsia="Calibri" w:hAnsi="Calibri" w:cs="Times New Roman"/>
        </w:rPr>
        <w:t>them</w:t>
      </w:r>
      <w:r w:rsidR="00F75231">
        <w:rPr>
          <w:rFonts w:ascii="Calibri" w:eastAsia="Calibri" w:hAnsi="Calibri" w:cs="Times New Roman"/>
        </w:rPr>
        <w:t xml:space="preserve"> and </w:t>
      </w:r>
      <w:r w:rsidR="00F75231" w:rsidRPr="00F75231">
        <w:rPr>
          <w:rFonts w:ascii="Calibri" w:eastAsia="Calibri" w:hAnsi="Calibri" w:cs="Times New Roman"/>
        </w:rPr>
        <w:t>how they can enact the BCT in their practice, for example, in  the learning resource</w:t>
      </w:r>
      <w:r w:rsidR="00F75231">
        <w:rPr>
          <w:rFonts w:ascii="Calibri" w:eastAsia="Calibri" w:hAnsi="Calibri" w:cs="Times New Roman"/>
        </w:rPr>
        <w:t>,</w:t>
      </w:r>
      <w:r w:rsidR="00F75231" w:rsidRPr="00F75231" w:rsidDel="00F75231">
        <w:rPr>
          <w:rFonts w:ascii="Calibri" w:eastAsia="Calibri" w:hAnsi="Calibri" w:cs="Times New Roman"/>
        </w:rPr>
        <w:t xml:space="preserve"> </w:t>
      </w:r>
      <w:r w:rsidR="00F75231">
        <w:rPr>
          <w:rFonts w:ascii="Calibri" w:eastAsia="Calibri" w:hAnsi="Calibri" w:cs="Times New Roman"/>
        </w:rPr>
        <w:t xml:space="preserve">are </w:t>
      </w:r>
      <w:r w:rsidRPr="000F7E56">
        <w:rPr>
          <w:rFonts w:ascii="Calibri" w:eastAsia="Calibri" w:hAnsi="Calibri" w:cs="Times New Roman"/>
        </w:rPr>
        <w:t>shown in Table 12.</w:t>
      </w:r>
    </w:p>
    <w:p w14:paraId="4A1258BE" w14:textId="77777777" w:rsidR="000F7E56" w:rsidRPr="000F7E56" w:rsidRDefault="000F7E56" w:rsidP="000F7E56">
      <w:pPr>
        <w:spacing w:after="120" w:line="360" w:lineRule="auto"/>
        <w:rPr>
          <w:rFonts w:ascii="Calibri" w:eastAsia="Calibri" w:hAnsi="Calibri" w:cs="Times New Roman"/>
        </w:rPr>
      </w:pPr>
    </w:p>
    <w:p w14:paraId="3CE35F2B" w14:textId="77777777" w:rsidR="000F7E56" w:rsidRPr="000F7E56" w:rsidRDefault="000F7E56" w:rsidP="000F7E56">
      <w:pPr>
        <w:spacing w:line="360" w:lineRule="auto"/>
        <w:jc w:val="both"/>
        <w:rPr>
          <w:rFonts w:ascii="Calibri" w:eastAsia="Calibri" w:hAnsi="Calibri" w:cs="Times New Roman"/>
        </w:rPr>
      </w:pPr>
    </w:p>
    <w:p w14:paraId="4C863B42" w14:textId="77777777" w:rsidR="000F7E56" w:rsidRDefault="000F7E56" w:rsidP="000F7E56">
      <w:pPr>
        <w:spacing w:line="360" w:lineRule="auto"/>
        <w:rPr>
          <w:rFonts w:ascii="Calibri" w:eastAsia="Calibri" w:hAnsi="Calibri" w:cs="Times New Roman"/>
          <w:b/>
        </w:rPr>
      </w:pPr>
    </w:p>
    <w:p w14:paraId="79C6CEE8" w14:textId="02A5796B" w:rsidR="0040316A" w:rsidRPr="000F7E56" w:rsidRDefault="0040316A" w:rsidP="000F7E56">
      <w:pPr>
        <w:spacing w:line="360" w:lineRule="auto"/>
        <w:rPr>
          <w:rFonts w:ascii="Calibri" w:eastAsia="Calibri" w:hAnsi="Calibri" w:cs="Times New Roman"/>
          <w:b/>
        </w:rPr>
        <w:sectPr w:rsidR="0040316A" w:rsidRPr="000F7E56" w:rsidSect="000F7E56">
          <w:pgSz w:w="11906" w:h="16838"/>
          <w:pgMar w:top="1440" w:right="1440" w:bottom="1440" w:left="1440" w:header="709" w:footer="709" w:gutter="0"/>
          <w:cols w:space="708"/>
          <w:docGrid w:linePitch="360"/>
        </w:sectPr>
      </w:pPr>
    </w:p>
    <w:tbl>
      <w:tblPr>
        <w:tblStyle w:val="TableGrid"/>
        <w:tblpPr w:leftFromText="180" w:rightFromText="180" w:horzAnchor="margin" w:tblpXSpec="center" w:tblpY="-1287"/>
        <w:tblW w:w="15588" w:type="dxa"/>
        <w:tblLook w:val="04A0" w:firstRow="1" w:lastRow="0" w:firstColumn="1" w:lastColumn="0" w:noHBand="0" w:noVBand="1"/>
      </w:tblPr>
      <w:tblGrid>
        <w:gridCol w:w="3119"/>
        <w:gridCol w:w="9072"/>
        <w:gridCol w:w="3397"/>
      </w:tblGrid>
      <w:tr w:rsidR="000F7E56" w:rsidRPr="000F7E56" w14:paraId="16A151B0" w14:textId="77777777" w:rsidTr="000F7E56">
        <w:tc>
          <w:tcPr>
            <w:tcW w:w="3119" w:type="dxa"/>
          </w:tcPr>
          <w:p w14:paraId="5AFC95C3" w14:textId="77777777" w:rsidR="000F7E56" w:rsidRPr="000F7E56" w:rsidRDefault="000F7E56" w:rsidP="000F7E56">
            <w:pPr>
              <w:spacing w:line="360" w:lineRule="auto"/>
              <w:rPr>
                <w:rFonts w:ascii="Calibri" w:eastAsia="Calibri" w:hAnsi="Calibri" w:cs="Times New Roman"/>
                <w:b/>
              </w:rPr>
            </w:pPr>
            <w:r w:rsidRPr="000F7E56">
              <w:rPr>
                <w:rFonts w:ascii="Calibri" w:eastAsia="Calibri" w:hAnsi="Calibri" w:cs="Times New Roman"/>
                <w:b/>
              </w:rPr>
              <w:lastRenderedPageBreak/>
              <w:t>Behaviour Change Technique</w:t>
            </w:r>
          </w:p>
        </w:tc>
        <w:tc>
          <w:tcPr>
            <w:tcW w:w="9072" w:type="dxa"/>
          </w:tcPr>
          <w:p w14:paraId="270A40DE" w14:textId="77777777" w:rsidR="000F7E56" w:rsidRPr="000F7E56" w:rsidRDefault="000F7E56" w:rsidP="000F7E56">
            <w:pPr>
              <w:spacing w:line="360" w:lineRule="auto"/>
              <w:jc w:val="both"/>
              <w:rPr>
                <w:rFonts w:ascii="Calibri" w:eastAsia="Calibri" w:hAnsi="Calibri" w:cs="Times New Roman"/>
                <w:b/>
              </w:rPr>
            </w:pPr>
            <w:bookmarkStart w:id="411" w:name="_Hlk89421073"/>
            <w:r w:rsidRPr="000F7E56">
              <w:rPr>
                <w:rFonts w:ascii="Calibri" w:eastAsia="Calibri" w:hAnsi="Calibri" w:cs="Times New Roman"/>
                <w:b/>
              </w:rPr>
              <w:t xml:space="preserve">How HCP might learn this </w:t>
            </w:r>
          </w:p>
        </w:tc>
        <w:tc>
          <w:tcPr>
            <w:tcW w:w="3397" w:type="dxa"/>
          </w:tcPr>
          <w:p w14:paraId="4F67551F" w14:textId="77777777" w:rsidR="000F7E56" w:rsidRPr="000F7E56" w:rsidRDefault="000F7E56" w:rsidP="000F7E56">
            <w:pPr>
              <w:tabs>
                <w:tab w:val="right" w:pos="3328"/>
              </w:tabs>
              <w:spacing w:line="360" w:lineRule="auto"/>
              <w:rPr>
                <w:rFonts w:ascii="Calibri" w:eastAsia="Calibri" w:hAnsi="Calibri" w:cs="Times New Roman"/>
                <w:b/>
              </w:rPr>
            </w:pPr>
            <w:r w:rsidRPr="000F7E56">
              <w:rPr>
                <w:rFonts w:ascii="Calibri" w:eastAsia="Calibri" w:hAnsi="Calibri" w:cs="Times New Roman"/>
                <w:b/>
              </w:rPr>
              <w:t>Behaviour in practice</w:t>
            </w:r>
          </w:p>
          <w:p w14:paraId="4A39633F" w14:textId="77777777" w:rsidR="000F7E56" w:rsidRPr="000F7E56" w:rsidRDefault="000F7E56" w:rsidP="000F7E56">
            <w:pPr>
              <w:spacing w:line="360" w:lineRule="auto"/>
              <w:jc w:val="both"/>
              <w:rPr>
                <w:rFonts w:ascii="Calibri" w:eastAsia="Calibri" w:hAnsi="Calibri" w:cs="Times New Roman"/>
                <w:b/>
              </w:rPr>
            </w:pPr>
          </w:p>
        </w:tc>
      </w:tr>
      <w:tr w:rsidR="000F7E56" w:rsidRPr="000F7E56" w14:paraId="2CDF744F" w14:textId="77777777" w:rsidTr="000F7E56">
        <w:tc>
          <w:tcPr>
            <w:tcW w:w="3119" w:type="dxa"/>
          </w:tcPr>
          <w:p w14:paraId="45C792B2" w14:textId="77777777" w:rsidR="000F7E56" w:rsidRPr="000F7E56" w:rsidRDefault="000F7E56" w:rsidP="000F7E56">
            <w:pPr>
              <w:rPr>
                <w:rFonts w:ascii="Calibri" w:eastAsia="Calibri" w:hAnsi="Calibri" w:cs="Times New Roman"/>
              </w:rPr>
            </w:pPr>
            <w:r w:rsidRPr="000F7E56">
              <w:rPr>
                <w:rFonts w:ascii="Calibri" w:eastAsia="Calibri" w:hAnsi="Calibri" w:cs="Times New Roman"/>
              </w:rPr>
              <w:t>Instruction on how to perform</w:t>
            </w:r>
          </w:p>
        </w:tc>
        <w:tc>
          <w:tcPr>
            <w:tcW w:w="9072" w:type="dxa"/>
          </w:tcPr>
          <w:p w14:paraId="145394A1" w14:textId="77777777" w:rsidR="000F7E56" w:rsidRPr="000F7E56" w:rsidRDefault="000F7E56" w:rsidP="000F7E56">
            <w:pPr>
              <w:rPr>
                <w:rFonts w:ascii="Calibri" w:eastAsia="Calibri" w:hAnsi="Calibri" w:cs="Times New Roman"/>
              </w:rPr>
            </w:pPr>
            <w:r w:rsidRPr="000F7E56">
              <w:rPr>
                <w:rFonts w:ascii="Calibri" w:eastAsia="Calibri" w:hAnsi="Calibri" w:cs="Times New Roman"/>
              </w:rPr>
              <w:t xml:space="preserve">Description of technique in practice by HCP focussing on stepwise approach to discussing culturally sensitive approach for elements of care such as medications, treatment decisions, place of care </w:t>
            </w:r>
          </w:p>
        </w:tc>
        <w:tc>
          <w:tcPr>
            <w:tcW w:w="3397" w:type="dxa"/>
          </w:tcPr>
          <w:p w14:paraId="65798F6C" w14:textId="77777777" w:rsidR="000F7E56" w:rsidRPr="000F7E56" w:rsidRDefault="000F7E56" w:rsidP="000F7E56">
            <w:pPr>
              <w:rPr>
                <w:rFonts w:ascii="Calibri" w:eastAsia="Calibri" w:hAnsi="Calibri" w:cs="Times New Roman"/>
              </w:rPr>
            </w:pPr>
            <w:r w:rsidRPr="000F7E56">
              <w:rPr>
                <w:rFonts w:ascii="Calibri" w:eastAsia="Calibri" w:hAnsi="Calibri" w:cs="Times New Roman"/>
              </w:rPr>
              <w:t>Introducing EOLC discussions in stages</w:t>
            </w:r>
          </w:p>
          <w:p w14:paraId="037FFF26" w14:textId="77777777" w:rsidR="000F7E56" w:rsidRPr="000F7E56" w:rsidRDefault="000F7E56" w:rsidP="000F7E56">
            <w:pPr>
              <w:rPr>
                <w:rFonts w:ascii="Calibri" w:eastAsia="Calibri" w:hAnsi="Calibri" w:cs="Times New Roman"/>
              </w:rPr>
            </w:pPr>
          </w:p>
          <w:p w14:paraId="606C1145" w14:textId="77777777" w:rsidR="000F7E56" w:rsidRPr="000F7E56" w:rsidRDefault="000F7E56" w:rsidP="000F7E56">
            <w:pPr>
              <w:rPr>
                <w:rFonts w:ascii="Calibri" w:eastAsia="Calibri" w:hAnsi="Calibri" w:cs="Times New Roman"/>
              </w:rPr>
            </w:pPr>
            <w:r w:rsidRPr="000F7E56">
              <w:rPr>
                <w:rFonts w:ascii="Calibri" w:eastAsia="Calibri" w:hAnsi="Calibri" w:cs="Times New Roman"/>
              </w:rPr>
              <w:t xml:space="preserve"> </w:t>
            </w:r>
          </w:p>
        </w:tc>
      </w:tr>
      <w:tr w:rsidR="000F7E56" w:rsidRPr="000F7E56" w14:paraId="5053DC6F" w14:textId="77777777" w:rsidTr="000F7E56">
        <w:tc>
          <w:tcPr>
            <w:tcW w:w="3119" w:type="dxa"/>
          </w:tcPr>
          <w:p w14:paraId="137DD84A" w14:textId="77777777" w:rsidR="000F7E56" w:rsidRPr="000F7E56" w:rsidRDefault="000F7E56" w:rsidP="000F7E56">
            <w:pPr>
              <w:rPr>
                <w:rFonts w:ascii="Calibri" w:eastAsia="Calibri" w:hAnsi="Calibri" w:cs="Times New Roman"/>
              </w:rPr>
            </w:pPr>
            <w:r w:rsidRPr="000F7E56">
              <w:rPr>
                <w:rFonts w:ascii="Calibri" w:eastAsia="Calibri" w:hAnsi="Calibri" w:cs="Times New Roman"/>
              </w:rPr>
              <w:t>Prompts and cues</w:t>
            </w:r>
          </w:p>
        </w:tc>
        <w:tc>
          <w:tcPr>
            <w:tcW w:w="9072" w:type="dxa"/>
          </w:tcPr>
          <w:p w14:paraId="5DDF3D56" w14:textId="77777777" w:rsidR="000F7E56" w:rsidRPr="000F7E56" w:rsidRDefault="000F7E56" w:rsidP="000F7E56">
            <w:pPr>
              <w:rPr>
                <w:rFonts w:ascii="Calibri" w:eastAsia="Calibri" w:hAnsi="Calibri" w:cs="Times New Roman"/>
              </w:rPr>
            </w:pPr>
            <w:r w:rsidRPr="000F7E56">
              <w:rPr>
                <w:rFonts w:ascii="Calibri" w:eastAsia="Calibri" w:hAnsi="Calibri" w:cs="Times New Roman"/>
              </w:rPr>
              <w:t>Checklists that map to best practice</w:t>
            </w:r>
          </w:p>
        </w:tc>
        <w:tc>
          <w:tcPr>
            <w:tcW w:w="3397" w:type="dxa"/>
          </w:tcPr>
          <w:p w14:paraId="5840FDC2" w14:textId="77777777" w:rsidR="000F7E56" w:rsidRPr="000F7E56" w:rsidRDefault="000F7E56" w:rsidP="000F7E56">
            <w:pPr>
              <w:rPr>
                <w:rFonts w:ascii="Calibri" w:eastAsia="Calibri" w:hAnsi="Calibri" w:cs="Times New Roman"/>
              </w:rPr>
            </w:pPr>
          </w:p>
        </w:tc>
      </w:tr>
      <w:tr w:rsidR="000F7E56" w:rsidRPr="000F7E56" w14:paraId="4DB53D55" w14:textId="77777777" w:rsidTr="000F7E56">
        <w:tc>
          <w:tcPr>
            <w:tcW w:w="3119" w:type="dxa"/>
          </w:tcPr>
          <w:p w14:paraId="3C3C69D0" w14:textId="77777777" w:rsidR="000F7E56" w:rsidRPr="000F7E56" w:rsidRDefault="000F7E56" w:rsidP="000F7E56">
            <w:pPr>
              <w:rPr>
                <w:rFonts w:ascii="Calibri" w:eastAsia="Calibri" w:hAnsi="Calibri" w:cs="Times New Roman"/>
              </w:rPr>
            </w:pPr>
            <w:r w:rsidRPr="000F7E56">
              <w:rPr>
                <w:rFonts w:ascii="Calibri" w:eastAsia="Calibri" w:hAnsi="Calibri" w:cs="Times New Roman"/>
              </w:rPr>
              <w:t>Anticipated regret</w:t>
            </w:r>
          </w:p>
          <w:p w14:paraId="74B42215" w14:textId="77777777" w:rsidR="000F7E56" w:rsidRPr="000F7E56" w:rsidRDefault="000F7E56" w:rsidP="000F7E56">
            <w:pPr>
              <w:rPr>
                <w:rFonts w:ascii="Calibri" w:eastAsia="Calibri" w:hAnsi="Calibri" w:cs="Times New Roman"/>
              </w:rPr>
            </w:pPr>
            <w:r w:rsidRPr="000F7E56">
              <w:rPr>
                <w:rFonts w:ascii="Calibri" w:eastAsia="Calibri" w:hAnsi="Calibri" w:cs="Times New Roman"/>
              </w:rPr>
              <w:t>(for not rai</w:t>
            </w:r>
            <w:r w:rsidRPr="000F7E56" w:rsidDel="00210122">
              <w:rPr>
                <w:rFonts w:ascii="Calibri" w:eastAsia="Calibri" w:hAnsi="Calibri" w:cs="Times New Roman"/>
              </w:rPr>
              <w:t>s</w:t>
            </w:r>
            <w:r w:rsidRPr="000F7E56">
              <w:rPr>
                <w:rFonts w:ascii="Calibri" w:eastAsia="Calibri" w:hAnsi="Calibri" w:cs="Times New Roman"/>
              </w:rPr>
              <w:t>ing EOLC)</w:t>
            </w:r>
          </w:p>
          <w:p w14:paraId="3D8C7172" w14:textId="77777777" w:rsidR="000F7E56" w:rsidRPr="000F7E56" w:rsidRDefault="000F7E56" w:rsidP="000F7E56">
            <w:pPr>
              <w:rPr>
                <w:rFonts w:ascii="Calibri" w:eastAsia="Calibri" w:hAnsi="Calibri" w:cs="Times New Roman"/>
              </w:rPr>
            </w:pPr>
            <w:r w:rsidRPr="000F7E56">
              <w:rPr>
                <w:rFonts w:ascii="Calibri" w:eastAsia="Calibri" w:hAnsi="Calibri" w:cs="Times New Roman"/>
              </w:rPr>
              <w:t>Identity (that is culturally sensitive)</w:t>
            </w:r>
          </w:p>
          <w:p w14:paraId="4FE8F8F5" w14:textId="77777777" w:rsidR="000F7E56" w:rsidRPr="000F7E56" w:rsidRDefault="000F7E56" w:rsidP="000F7E56">
            <w:pPr>
              <w:rPr>
                <w:rFonts w:ascii="Calibri" w:eastAsia="Calibri" w:hAnsi="Calibri" w:cs="Times New Roman"/>
              </w:rPr>
            </w:pPr>
          </w:p>
          <w:p w14:paraId="37A3A0FA" w14:textId="77777777" w:rsidR="000F7E56" w:rsidRPr="000F7E56" w:rsidRDefault="000F7E56" w:rsidP="000F7E56">
            <w:pPr>
              <w:rPr>
                <w:rFonts w:ascii="Calibri" w:eastAsia="Calibri" w:hAnsi="Calibri" w:cs="Times New Roman"/>
              </w:rPr>
            </w:pPr>
            <w:r w:rsidRPr="000F7E56">
              <w:rPr>
                <w:rFonts w:ascii="Calibri" w:eastAsia="Calibri" w:hAnsi="Calibri" w:cs="Times New Roman"/>
              </w:rPr>
              <w:t>Information about emotional consequences (How people feel when it goes well)</w:t>
            </w:r>
          </w:p>
        </w:tc>
        <w:tc>
          <w:tcPr>
            <w:tcW w:w="9072" w:type="dxa"/>
          </w:tcPr>
          <w:p w14:paraId="1B6365B9" w14:textId="77777777" w:rsidR="000F7E56" w:rsidRPr="000F7E56" w:rsidRDefault="000F7E56" w:rsidP="000F7E56">
            <w:pPr>
              <w:rPr>
                <w:rFonts w:ascii="Calibri" w:eastAsia="Calibri" w:hAnsi="Calibri" w:cs="Times New Roman"/>
              </w:rPr>
            </w:pPr>
            <w:r w:rsidRPr="000F7E56">
              <w:rPr>
                <w:rFonts w:ascii="Calibri" w:eastAsia="Calibri" w:hAnsi="Calibri" w:cs="Times New Roman"/>
              </w:rPr>
              <w:t>Cultural humility approach</w:t>
            </w:r>
          </w:p>
          <w:p w14:paraId="4F4227F3" w14:textId="77777777" w:rsidR="000F7E56" w:rsidRPr="000F7E56" w:rsidRDefault="000F7E56" w:rsidP="000F7E56">
            <w:pPr>
              <w:rPr>
                <w:rFonts w:ascii="Calibri" w:eastAsia="Calibri" w:hAnsi="Calibri" w:cs="Times New Roman"/>
              </w:rPr>
            </w:pPr>
          </w:p>
          <w:p w14:paraId="38036287" w14:textId="77777777" w:rsidR="000F7E56" w:rsidRPr="000F7E56" w:rsidRDefault="000F7E56" w:rsidP="000F7E56">
            <w:pPr>
              <w:rPr>
                <w:rFonts w:ascii="Calibri" w:eastAsia="Calibri" w:hAnsi="Calibri" w:cs="Times New Roman"/>
              </w:rPr>
            </w:pPr>
          </w:p>
          <w:p w14:paraId="74E7B94B" w14:textId="77777777" w:rsidR="000F7E56" w:rsidRPr="000F7E56" w:rsidRDefault="000F7E56" w:rsidP="000F7E56">
            <w:pPr>
              <w:rPr>
                <w:rFonts w:ascii="Calibri" w:eastAsia="Calibri" w:hAnsi="Calibri" w:cs="Times New Roman"/>
              </w:rPr>
            </w:pPr>
          </w:p>
          <w:p w14:paraId="78BC73CB" w14:textId="77777777" w:rsidR="000F7E56" w:rsidRPr="000F7E56" w:rsidRDefault="000F7E56" w:rsidP="000F7E56">
            <w:pPr>
              <w:rPr>
                <w:rFonts w:ascii="Calibri" w:eastAsia="Calibri" w:hAnsi="Calibri" w:cs="Times New Roman"/>
              </w:rPr>
            </w:pPr>
            <w:r w:rsidRPr="000F7E56">
              <w:rPr>
                <w:rFonts w:ascii="Calibri" w:eastAsia="Calibri" w:hAnsi="Calibri" w:cs="Times New Roman"/>
              </w:rPr>
              <w:t>Story telling</w:t>
            </w:r>
          </w:p>
          <w:p w14:paraId="70B33532" w14:textId="77777777" w:rsidR="000F7E56" w:rsidRPr="000F7E56" w:rsidRDefault="000F7E56" w:rsidP="000F7E56">
            <w:pPr>
              <w:rPr>
                <w:rFonts w:ascii="Calibri" w:eastAsia="Calibri" w:hAnsi="Calibri" w:cs="Times New Roman"/>
              </w:rPr>
            </w:pPr>
          </w:p>
        </w:tc>
        <w:tc>
          <w:tcPr>
            <w:tcW w:w="3397" w:type="dxa"/>
          </w:tcPr>
          <w:p w14:paraId="260CA225" w14:textId="77777777" w:rsidR="000F7E56" w:rsidRPr="000F7E56" w:rsidRDefault="000F7E56" w:rsidP="000F7E56">
            <w:pPr>
              <w:rPr>
                <w:rFonts w:ascii="Calibri" w:eastAsia="Calibri" w:hAnsi="Calibri" w:cs="Times New Roman"/>
              </w:rPr>
            </w:pPr>
            <w:r w:rsidRPr="000F7E56">
              <w:rPr>
                <w:rFonts w:ascii="Calibri" w:eastAsia="Calibri" w:hAnsi="Calibri" w:cs="Times New Roman"/>
              </w:rPr>
              <w:t>Personalising care</w:t>
            </w:r>
          </w:p>
        </w:tc>
      </w:tr>
      <w:tr w:rsidR="000F7E56" w:rsidRPr="000F7E56" w14:paraId="34BE0650" w14:textId="77777777" w:rsidTr="000F7E56">
        <w:tc>
          <w:tcPr>
            <w:tcW w:w="3119" w:type="dxa"/>
          </w:tcPr>
          <w:p w14:paraId="3CFEC231" w14:textId="77777777" w:rsidR="000F7E56" w:rsidRPr="000F7E56" w:rsidRDefault="000F7E56" w:rsidP="000F7E56">
            <w:pPr>
              <w:rPr>
                <w:rFonts w:ascii="Calibri" w:eastAsia="Calibri" w:hAnsi="Calibri" w:cs="Times New Roman"/>
              </w:rPr>
            </w:pPr>
            <w:r w:rsidRPr="000F7E56">
              <w:rPr>
                <w:rFonts w:ascii="Calibri" w:eastAsia="Calibri" w:hAnsi="Calibri" w:cs="Times New Roman"/>
              </w:rPr>
              <w:t>Prompts and Cues</w:t>
            </w:r>
          </w:p>
        </w:tc>
        <w:tc>
          <w:tcPr>
            <w:tcW w:w="9072" w:type="dxa"/>
          </w:tcPr>
          <w:p w14:paraId="146CA340" w14:textId="77777777" w:rsidR="000F7E56" w:rsidRPr="000F7E56" w:rsidRDefault="000F7E56" w:rsidP="000F7E56">
            <w:pPr>
              <w:rPr>
                <w:rFonts w:ascii="Calibri" w:eastAsia="Calibri" w:hAnsi="Calibri" w:cs="Times New Roman"/>
              </w:rPr>
            </w:pPr>
            <w:r w:rsidRPr="000F7E56">
              <w:rPr>
                <w:rFonts w:ascii="Calibri" w:eastAsia="Calibri" w:hAnsi="Calibri" w:cs="Times New Roman"/>
              </w:rPr>
              <w:t>Pictograms to initiate exploration of family and social context and get to ‘know’ the patient and their background.</w:t>
            </w:r>
          </w:p>
          <w:p w14:paraId="26BF92BD" w14:textId="77777777" w:rsidR="000F7E56" w:rsidRPr="000F7E56" w:rsidRDefault="000F7E56" w:rsidP="000F7E56">
            <w:pPr>
              <w:rPr>
                <w:rFonts w:ascii="Calibri" w:eastAsia="Calibri" w:hAnsi="Calibri" w:cs="Times New Roman"/>
              </w:rPr>
            </w:pPr>
          </w:p>
        </w:tc>
        <w:tc>
          <w:tcPr>
            <w:tcW w:w="3397" w:type="dxa"/>
          </w:tcPr>
          <w:p w14:paraId="1E6D10E3" w14:textId="77777777" w:rsidR="000F7E56" w:rsidRPr="000F7E56" w:rsidRDefault="000F7E56" w:rsidP="000F7E56">
            <w:pPr>
              <w:rPr>
                <w:rFonts w:ascii="Calibri" w:eastAsia="Calibri" w:hAnsi="Calibri" w:cs="Times New Roman"/>
              </w:rPr>
            </w:pPr>
            <w:r w:rsidRPr="000F7E56">
              <w:rPr>
                <w:rFonts w:ascii="Calibri" w:eastAsia="Calibri" w:hAnsi="Calibri" w:cs="Times New Roman"/>
              </w:rPr>
              <w:t>Building trust and rapport</w:t>
            </w:r>
          </w:p>
          <w:p w14:paraId="592D9F18" w14:textId="77777777" w:rsidR="000F7E56" w:rsidRPr="000F7E56" w:rsidRDefault="000F7E56" w:rsidP="000F7E56">
            <w:pPr>
              <w:rPr>
                <w:rFonts w:ascii="Calibri" w:eastAsia="Calibri" w:hAnsi="Calibri" w:cs="Times New Roman"/>
              </w:rPr>
            </w:pPr>
          </w:p>
          <w:p w14:paraId="463D3243" w14:textId="77777777" w:rsidR="000F7E56" w:rsidRPr="000F7E56" w:rsidRDefault="000F7E56" w:rsidP="000F7E56">
            <w:pPr>
              <w:rPr>
                <w:rFonts w:ascii="Calibri" w:eastAsia="Calibri" w:hAnsi="Calibri" w:cs="Times New Roman"/>
              </w:rPr>
            </w:pPr>
          </w:p>
        </w:tc>
      </w:tr>
      <w:tr w:rsidR="000F7E56" w:rsidRPr="000F7E56" w14:paraId="630B6C6A" w14:textId="77777777" w:rsidTr="000F7E56">
        <w:tc>
          <w:tcPr>
            <w:tcW w:w="3119" w:type="dxa"/>
          </w:tcPr>
          <w:p w14:paraId="7904F9F5" w14:textId="77777777" w:rsidR="000F7E56" w:rsidRPr="000F7E56" w:rsidRDefault="000F7E56" w:rsidP="000F7E56">
            <w:pPr>
              <w:rPr>
                <w:rFonts w:ascii="Calibri" w:eastAsia="Calibri" w:hAnsi="Calibri" w:cs="Times New Roman"/>
              </w:rPr>
            </w:pPr>
            <w:r w:rsidRPr="000F7E56">
              <w:rPr>
                <w:rFonts w:ascii="Calibri" w:eastAsia="Calibri" w:hAnsi="Calibri" w:cs="Times New Roman"/>
              </w:rPr>
              <w:t>Instruction on how to perform the behaviour</w:t>
            </w:r>
          </w:p>
        </w:tc>
        <w:tc>
          <w:tcPr>
            <w:tcW w:w="9072" w:type="dxa"/>
          </w:tcPr>
          <w:p w14:paraId="4EF63679" w14:textId="77777777" w:rsidR="000F7E56" w:rsidRPr="000F7E56" w:rsidRDefault="000F7E56" w:rsidP="000F7E56">
            <w:pPr>
              <w:rPr>
                <w:rFonts w:ascii="Calibri" w:eastAsia="Calibri" w:hAnsi="Calibri" w:cs="Times New Roman"/>
              </w:rPr>
            </w:pPr>
            <w:r w:rsidRPr="000F7E56">
              <w:rPr>
                <w:rFonts w:ascii="Calibri" w:eastAsia="Calibri" w:hAnsi="Calibri" w:cs="Times New Roman"/>
              </w:rPr>
              <w:t>Potential phrases and exemplars to use in practice to offer the opportunity to discuss sensitive subjects that HCP feel uncertain about such as deterioration and dying, faith and health beliefs, working with families</w:t>
            </w:r>
          </w:p>
          <w:p w14:paraId="56948D35" w14:textId="77777777" w:rsidR="000F7E56" w:rsidRPr="000F7E56" w:rsidRDefault="000F7E56" w:rsidP="000F7E56">
            <w:pPr>
              <w:rPr>
                <w:rFonts w:ascii="Calibri" w:eastAsia="Calibri" w:hAnsi="Calibri" w:cs="Times New Roman"/>
              </w:rPr>
            </w:pPr>
          </w:p>
        </w:tc>
        <w:tc>
          <w:tcPr>
            <w:tcW w:w="3397" w:type="dxa"/>
          </w:tcPr>
          <w:p w14:paraId="1BFA0E83" w14:textId="77777777" w:rsidR="000F7E56" w:rsidRPr="000F7E56" w:rsidRDefault="000F7E56" w:rsidP="000F7E56">
            <w:pPr>
              <w:rPr>
                <w:rFonts w:ascii="Calibri" w:eastAsia="Calibri" w:hAnsi="Calibri" w:cs="Times New Roman"/>
              </w:rPr>
            </w:pPr>
            <w:r w:rsidRPr="000F7E56">
              <w:rPr>
                <w:rFonts w:ascii="Calibri" w:eastAsia="Calibri" w:hAnsi="Calibri" w:cs="Times New Roman"/>
              </w:rPr>
              <w:t>Understanding patient preferences and approaches to decision-making</w:t>
            </w:r>
          </w:p>
        </w:tc>
      </w:tr>
      <w:tr w:rsidR="000F7E56" w:rsidRPr="000F7E56" w14:paraId="0EA9B35F" w14:textId="77777777" w:rsidTr="000F7E56">
        <w:tc>
          <w:tcPr>
            <w:tcW w:w="3119" w:type="dxa"/>
          </w:tcPr>
          <w:p w14:paraId="484AFA85" w14:textId="77777777" w:rsidR="000F7E56" w:rsidRPr="000F7E56" w:rsidRDefault="000F7E56" w:rsidP="000F7E56">
            <w:pPr>
              <w:rPr>
                <w:rFonts w:ascii="Calibri" w:eastAsia="Calibri" w:hAnsi="Calibri" w:cs="Times New Roman"/>
              </w:rPr>
            </w:pPr>
            <w:r w:rsidRPr="000F7E56">
              <w:rPr>
                <w:rFonts w:ascii="Calibri" w:eastAsia="Calibri" w:hAnsi="Calibri" w:cs="Times New Roman"/>
              </w:rPr>
              <w:t>Prompts and cues</w:t>
            </w:r>
          </w:p>
        </w:tc>
        <w:tc>
          <w:tcPr>
            <w:tcW w:w="9072" w:type="dxa"/>
          </w:tcPr>
          <w:p w14:paraId="7F799C40" w14:textId="77777777" w:rsidR="000F7E56" w:rsidRPr="000F7E56" w:rsidRDefault="000F7E56" w:rsidP="000F7E56">
            <w:pPr>
              <w:rPr>
                <w:rFonts w:ascii="Calibri" w:eastAsia="Calibri" w:hAnsi="Calibri" w:cs="Times New Roman"/>
              </w:rPr>
            </w:pPr>
            <w:r w:rsidRPr="000F7E56">
              <w:rPr>
                <w:rFonts w:ascii="Calibri" w:eastAsia="Calibri" w:hAnsi="Calibri" w:cs="Times New Roman"/>
              </w:rPr>
              <w:t>Checklists that map to best practice</w:t>
            </w:r>
          </w:p>
        </w:tc>
        <w:tc>
          <w:tcPr>
            <w:tcW w:w="3397" w:type="dxa"/>
          </w:tcPr>
          <w:p w14:paraId="776C3E94" w14:textId="77777777" w:rsidR="000F7E56" w:rsidRPr="000F7E56" w:rsidRDefault="000F7E56" w:rsidP="000F7E56">
            <w:pPr>
              <w:rPr>
                <w:rFonts w:ascii="Calibri" w:eastAsia="Calibri" w:hAnsi="Calibri" w:cs="Times New Roman"/>
              </w:rPr>
            </w:pPr>
          </w:p>
        </w:tc>
      </w:tr>
      <w:tr w:rsidR="000F7E56" w:rsidRPr="000F7E56" w14:paraId="42FCD185" w14:textId="77777777" w:rsidTr="000F7E56">
        <w:tc>
          <w:tcPr>
            <w:tcW w:w="3119" w:type="dxa"/>
          </w:tcPr>
          <w:p w14:paraId="1F5303E1" w14:textId="77777777" w:rsidR="000F7E56" w:rsidRPr="000F7E56" w:rsidRDefault="000F7E56" w:rsidP="000F7E56">
            <w:pPr>
              <w:rPr>
                <w:rFonts w:ascii="Calibri" w:eastAsia="Calibri" w:hAnsi="Calibri" w:cs="Times New Roman"/>
              </w:rPr>
            </w:pPr>
            <w:r w:rsidRPr="000F7E56">
              <w:rPr>
                <w:rFonts w:ascii="Calibri" w:eastAsia="Calibri" w:hAnsi="Calibri" w:cs="Times New Roman"/>
              </w:rPr>
              <w:t>General social support (of colleagues in same circumstances).</w:t>
            </w:r>
          </w:p>
          <w:p w14:paraId="4EC88356" w14:textId="77777777" w:rsidR="000F7E56" w:rsidRPr="000F7E56" w:rsidRDefault="000F7E56" w:rsidP="000F7E56">
            <w:pPr>
              <w:rPr>
                <w:rFonts w:ascii="Calibri" w:eastAsia="Calibri" w:hAnsi="Calibri" w:cs="Times New Roman"/>
              </w:rPr>
            </w:pPr>
            <w:r w:rsidRPr="000F7E56">
              <w:rPr>
                <w:rFonts w:ascii="Calibri" w:eastAsia="Calibri" w:hAnsi="Calibri" w:cs="Times New Roman"/>
              </w:rPr>
              <w:t>Feedback (on how EOLC discussions were received)</w:t>
            </w:r>
          </w:p>
          <w:p w14:paraId="7D6367B6" w14:textId="77777777" w:rsidR="000F7E56" w:rsidRPr="000F7E56" w:rsidRDefault="000F7E56" w:rsidP="000F7E56">
            <w:pPr>
              <w:rPr>
                <w:rFonts w:ascii="Calibri" w:eastAsia="Calibri" w:hAnsi="Calibri" w:cs="Times New Roman"/>
              </w:rPr>
            </w:pPr>
            <w:r w:rsidRPr="000F7E56">
              <w:rPr>
                <w:rFonts w:ascii="Calibri" w:eastAsia="Calibri" w:hAnsi="Calibri" w:cs="Times New Roman"/>
              </w:rPr>
              <w:t>Focus on past success (of successful EOLC discussions)</w:t>
            </w:r>
          </w:p>
          <w:p w14:paraId="698E996A" w14:textId="77777777" w:rsidR="000F7E56" w:rsidRPr="000F7E56" w:rsidRDefault="000F7E56" w:rsidP="000F7E56">
            <w:pPr>
              <w:rPr>
                <w:rFonts w:ascii="Calibri" w:eastAsia="Calibri" w:hAnsi="Calibri" w:cs="Times New Roman"/>
              </w:rPr>
            </w:pPr>
            <w:r w:rsidRPr="000F7E56">
              <w:rPr>
                <w:rFonts w:ascii="Calibri" w:eastAsia="Calibri" w:hAnsi="Calibri" w:cs="Times New Roman"/>
              </w:rPr>
              <w:lastRenderedPageBreak/>
              <w:t>Comparison of outcome (comparing how it works for different patients/families)</w:t>
            </w:r>
          </w:p>
        </w:tc>
        <w:tc>
          <w:tcPr>
            <w:tcW w:w="9072" w:type="dxa"/>
          </w:tcPr>
          <w:p w14:paraId="1EA071B8" w14:textId="77777777" w:rsidR="000F7E56" w:rsidRPr="000F7E56" w:rsidRDefault="000F7E56" w:rsidP="000F7E56">
            <w:pPr>
              <w:rPr>
                <w:rFonts w:ascii="Calibri" w:eastAsia="Calibri" w:hAnsi="Calibri" w:cs="Times New Roman"/>
              </w:rPr>
            </w:pPr>
            <w:r w:rsidRPr="000F7E56">
              <w:rPr>
                <w:rFonts w:ascii="Calibri" w:eastAsia="Calibri" w:hAnsi="Calibri" w:cs="Times New Roman"/>
              </w:rPr>
              <w:lastRenderedPageBreak/>
              <w:t>Sharing experiences and practices with peers and trusted expert colleagues</w:t>
            </w:r>
          </w:p>
        </w:tc>
        <w:tc>
          <w:tcPr>
            <w:tcW w:w="3397" w:type="dxa"/>
          </w:tcPr>
          <w:p w14:paraId="0C375D23" w14:textId="77777777" w:rsidR="000F7E56" w:rsidRPr="000F7E56" w:rsidRDefault="000F7E56" w:rsidP="000F7E56">
            <w:pPr>
              <w:rPr>
                <w:rFonts w:ascii="Calibri" w:eastAsia="Calibri" w:hAnsi="Calibri" w:cs="Times New Roman"/>
              </w:rPr>
            </w:pPr>
          </w:p>
        </w:tc>
      </w:tr>
      <w:tr w:rsidR="000F7E56" w:rsidRPr="000F7E56" w14:paraId="4724C770" w14:textId="77777777" w:rsidTr="000F7E56">
        <w:tc>
          <w:tcPr>
            <w:tcW w:w="3119" w:type="dxa"/>
          </w:tcPr>
          <w:p w14:paraId="77FEB1EE" w14:textId="77777777" w:rsidR="000F7E56" w:rsidRPr="000F7E56" w:rsidRDefault="000F7E56" w:rsidP="000F7E56">
            <w:pPr>
              <w:rPr>
                <w:rFonts w:ascii="Calibri" w:eastAsia="Calibri" w:hAnsi="Calibri" w:cs="Times New Roman"/>
              </w:rPr>
            </w:pPr>
            <w:r w:rsidRPr="000F7E56">
              <w:rPr>
                <w:rFonts w:ascii="Calibri" w:eastAsia="Calibri" w:hAnsi="Calibri" w:cs="Times New Roman"/>
              </w:rPr>
              <w:t>General social support</w:t>
            </w:r>
          </w:p>
          <w:p w14:paraId="00FCF6C5" w14:textId="77777777" w:rsidR="000F7E56" w:rsidRPr="000F7E56" w:rsidRDefault="000F7E56" w:rsidP="000F7E56">
            <w:pPr>
              <w:rPr>
                <w:rFonts w:ascii="Calibri" w:eastAsia="Calibri" w:hAnsi="Calibri" w:cs="Times New Roman"/>
              </w:rPr>
            </w:pPr>
            <w:r w:rsidRPr="000F7E56">
              <w:rPr>
                <w:rFonts w:ascii="Calibri" w:eastAsia="Calibri" w:hAnsi="Calibri" w:cs="Times New Roman"/>
              </w:rPr>
              <w:t>Feedback</w:t>
            </w:r>
          </w:p>
          <w:p w14:paraId="0393880F" w14:textId="77777777" w:rsidR="000F7E56" w:rsidRPr="000F7E56" w:rsidRDefault="000F7E56" w:rsidP="000F7E56">
            <w:pPr>
              <w:rPr>
                <w:rFonts w:ascii="Calibri" w:eastAsia="Calibri" w:hAnsi="Calibri" w:cs="Times New Roman"/>
              </w:rPr>
            </w:pPr>
            <w:r w:rsidRPr="000F7E56">
              <w:rPr>
                <w:rFonts w:ascii="Calibri" w:eastAsia="Calibri" w:hAnsi="Calibri" w:cs="Times New Roman"/>
              </w:rPr>
              <w:t>Focus on past success</w:t>
            </w:r>
          </w:p>
          <w:p w14:paraId="4DD76C89" w14:textId="77777777" w:rsidR="000F7E56" w:rsidRPr="000F7E56" w:rsidRDefault="000F7E56" w:rsidP="000F7E56">
            <w:pPr>
              <w:rPr>
                <w:rFonts w:ascii="Calibri" w:eastAsia="Calibri" w:hAnsi="Calibri" w:cs="Times New Roman"/>
              </w:rPr>
            </w:pPr>
            <w:r w:rsidRPr="000F7E56">
              <w:rPr>
                <w:rFonts w:ascii="Calibri" w:eastAsia="Calibri" w:hAnsi="Calibri" w:cs="Times New Roman"/>
              </w:rPr>
              <w:t>Comparison of outcomes</w:t>
            </w:r>
          </w:p>
        </w:tc>
        <w:tc>
          <w:tcPr>
            <w:tcW w:w="9072" w:type="dxa"/>
          </w:tcPr>
          <w:p w14:paraId="5C6B94E0" w14:textId="77777777" w:rsidR="000F7E56" w:rsidRPr="000F7E56" w:rsidRDefault="000F7E56" w:rsidP="000F7E56">
            <w:pPr>
              <w:rPr>
                <w:rFonts w:ascii="Calibri" w:eastAsia="Calibri" w:hAnsi="Calibri" w:cs="Times New Roman"/>
              </w:rPr>
            </w:pPr>
            <w:r w:rsidRPr="000F7E56">
              <w:rPr>
                <w:rFonts w:ascii="Calibri" w:eastAsia="Calibri" w:hAnsi="Calibri" w:cs="Times New Roman"/>
              </w:rPr>
              <w:t>Sharing experiences and practices with peers and trusted expert colleagues</w:t>
            </w:r>
          </w:p>
        </w:tc>
        <w:tc>
          <w:tcPr>
            <w:tcW w:w="3397" w:type="dxa"/>
          </w:tcPr>
          <w:p w14:paraId="263B2C72" w14:textId="77777777" w:rsidR="000F7E56" w:rsidRPr="000F7E56" w:rsidRDefault="000F7E56" w:rsidP="000F7E56">
            <w:pPr>
              <w:rPr>
                <w:rFonts w:ascii="Calibri" w:eastAsia="Calibri" w:hAnsi="Calibri" w:cs="Times New Roman"/>
              </w:rPr>
            </w:pPr>
            <w:r w:rsidRPr="000F7E56">
              <w:rPr>
                <w:rFonts w:ascii="Calibri" w:eastAsia="Calibri" w:hAnsi="Calibri" w:cs="Times New Roman"/>
              </w:rPr>
              <w:t>Working with carers in EOLC discussions</w:t>
            </w:r>
          </w:p>
        </w:tc>
      </w:tr>
      <w:tr w:rsidR="000F7E56" w:rsidRPr="000F7E56" w14:paraId="67F7003E" w14:textId="77777777" w:rsidTr="000F7E56">
        <w:tc>
          <w:tcPr>
            <w:tcW w:w="3119" w:type="dxa"/>
          </w:tcPr>
          <w:p w14:paraId="6903EC1A" w14:textId="77777777" w:rsidR="000F7E56" w:rsidRPr="000F7E56" w:rsidRDefault="000F7E56" w:rsidP="000F7E56">
            <w:pPr>
              <w:rPr>
                <w:rFonts w:ascii="Calibri" w:eastAsia="Calibri" w:hAnsi="Calibri" w:cs="Times New Roman"/>
              </w:rPr>
            </w:pPr>
            <w:r w:rsidRPr="000F7E56">
              <w:rPr>
                <w:rFonts w:ascii="Calibri" w:eastAsia="Calibri" w:hAnsi="Calibri" w:cs="Times New Roman"/>
              </w:rPr>
              <w:t>Prompts</w:t>
            </w:r>
          </w:p>
          <w:p w14:paraId="5685882C" w14:textId="77777777" w:rsidR="000F7E56" w:rsidRPr="000F7E56" w:rsidRDefault="000F7E56" w:rsidP="000F7E56">
            <w:pPr>
              <w:rPr>
                <w:rFonts w:ascii="Calibri" w:eastAsia="Calibri" w:hAnsi="Calibri" w:cs="Times New Roman"/>
              </w:rPr>
            </w:pPr>
            <w:r w:rsidRPr="000F7E56">
              <w:rPr>
                <w:rFonts w:ascii="Calibri" w:eastAsia="Calibri" w:hAnsi="Calibri" w:cs="Times New Roman"/>
              </w:rPr>
              <w:t>Instruction on how to perform</w:t>
            </w:r>
          </w:p>
          <w:p w14:paraId="5BC5DAF2" w14:textId="77777777" w:rsidR="000F7E56" w:rsidRPr="000F7E56" w:rsidRDefault="000F7E56" w:rsidP="000F7E56">
            <w:pPr>
              <w:rPr>
                <w:rFonts w:ascii="Calibri" w:eastAsia="Calibri" w:hAnsi="Calibri" w:cs="Times New Roman"/>
              </w:rPr>
            </w:pPr>
            <w:r w:rsidRPr="000F7E56">
              <w:rPr>
                <w:rFonts w:ascii="Calibri" w:eastAsia="Calibri" w:hAnsi="Calibri" w:cs="Times New Roman"/>
              </w:rPr>
              <w:t>Feedback</w:t>
            </w:r>
          </w:p>
        </w:tc>
        <w:tc>
          <w:tcPr>
            <w:tcW w:w="9072" w:type="dxa"/>
          </w:tcPr>
          <w:p w14:paraId="506D6362" w14:textId="77777777" w:rsidR="000F7E56" w:rsidRPr="000F7E56" w:rsidRDefault="000F7E56" w:rsidP="000F7E56">
            <w:pPr>
              <w:rPr>
                <w:rFonts w:ascii="Calibri" w:eastAsia="Calibri" w:hAnsi="Calibri" w:cs="Times New Roman"/>
              </w:rPr>
            </w:pPr>
            <w:r w:rsidRPr="000F7E56">
              <w:rPr>
                <w:rFonts w:ascii="Calibri" w:eastAsia="Calibri" w:hAnsi="Calibri" w:cs="Times New Roman"/>
              </w:rPr>
              <w:t>Good practice checklist (working with interpreters)</w:t>
            </w:r>
          </w:p>
          <w:p w14:paraId="0F8A8EE8" w14:textId="77777777" w:rsidR="000F7E56" w:rsidRPr="000F7E56" w:rsidRDefault="000F7E56" w:rsidP="000F7E56">
            <w:pPr>
              <w:rPr>
                <w:rFonts w:ascii="Calibri" w:eastAsia="Calibri" w:hAnsi="Calibri" w:cs="Times New Roman"/>
              </w:rPr>
            </w:pPr>
            <w:r w:rsidRPr="000F7E56">
              <w:rPr>
                <w:rFonts w:ascii="Calibri" w:eastAsia="Calibri" w:hAnsi="Calibri" w:cs="Times New Roman"/>
              </w:rPr>
              <w:t>Demonstration (video of working with interpreters)</w:t>
            </w:r>
          </w:p>
          <w:p w14:paraId="519907C3" w14:textId="77777777" w:rsidR="000F7E56" w:rsidRPr="000F7E56" w:rsidRDefault="000F7E56" w:rsidP="000F7E56">
            <w:pPr>
              <w:rPr>
                <w:rFonts w:ascii="Calibri" w:eastAsia="Calibri" w:hAnsi="Calibri" w:cs="Times New Roman"/>
              </w:rPr>
            </w:pPr>
          </w:p>
          <w:p w14:paraId="76CBA77E" w14:textId="77777777" w:rsidR="000F7E56" w:rsidRPr="000F7E56" w:rsidRDefault="000F7E56" w:rsidP="000F7E56">
            <w:pPr>
              <w:rPr>
                <w:rFonts w:ascii="Calibri" w:eastAsia="Calibri" w:hAnsi="Calibri" w:cs="Times New Roman"/>
              </w:rPr>
            </w:pPr>
            <w:r w:rsidRPr="000F7E56">
              <w:rPr>
                <w:rFonts w:ascii="Calibri" w:eastAsia="Calibri" w:hAnsi="Calibri" w:cs="Times New Roman"/>
              </w:rPr>
              <w:t xml:space="preserve">Post-session debrief (With interpreter ) </w:t>
            </w:r>
          </w:p>
        </w:tc>
        <w:tc>
          <w:tcPr>
            <w:tcW w:w="3397" w:type="dxa"/>
          </w:tcPr>
          <w:p w14:paraId="7DE57CF0" w14:textId="77777777" w:rsidR="000F7E56" w:rsidRPr="000F7E56" w:rsidRDefault="000F7E56" w:rsidP="000F7E56">
            <w:pPr>
              <w:rPr>
                <w:rFonts w:ascii="Calibri" w:eastAsia="Calibri" w:hAnsi="Calibri" w:cs="Times New Roman"/>
              </w:rPr>
            </w:pPr>
            <w:r w:rsidRPr="000F7E56">
              <w:rPr>
                <w:rFonts w:ascii="Calibri" w:eastAsia="Calibri" w:hAnsi="Calibri" w:cs="Times New Roman"/>
              </w:rPr>
              <w:t>Working with interpreters in EOLC discussions</w:t>
            </w:r>
          </w:p>
        </w:tc>
      </w:tr>
      <w:tr w:rsidR="000F7E56" w:rsidRPr="000F7E56" w14:paraId="4657B67C" w14:textId="77777777" w:rsidTr="000F7E56">
        <w:trPr>
          <w:trHeight w:val="756"/>
        </w:trPr>
        <w:tc>
          <w:tcPr>
            <w:tcW w:w="3119" w:type="dxa"/>
          </w:tcPr>
          <w:p w14:paraId="09D12A83" w14:textId="77777777" w:rsidR="000F7E56" w:rsidRPr="000F7E56" w:rsidRDefault="000F7E56" w:rsidP="000F7E56">
            <w:pPr>
              <w:rPr>
                <w:rFonts w:ascii="Calibri" w:eastAsia="Calibri" w:hAnsi="Calibri" w:cs="Times New Roman"/>
              </w:rPr>
            </w:pPr>
            <w:r w:rsidRPr="000F7E56">
              <w:rPr>
                <w:rFonts w:ascii="Calibri" w:eastAsia="Calibri" w:hAnsi="Calibri" w:cs="Times New Roman"/>
              </w:rPr>
              <w:t>Rehearsal and feedback</w:t>
            </w:r>
          </w:p>
          <w:p w14:paraId="38588ADA" w14:textId="77777777" w:rsidR="000F7E56" w:rsidRPr="000F7E56" w:rsidRDefault="000F7E56" w:rsidP="000F7E56">
            <w:pPr>
              <w:rPr>
                <w:rFonts w:ascii="Calibri" w:eastAsia="Calibri" w:hAnsi="Calibri" w:cs="Times New Roman"/>
              </w:rPr>
            </w:pPr>
            <w:r w:rsidRPr="000F7E56">
              <w:rPr>
                <w:rFonts w:ascii="Calibri" w:eastAsia="Calibri" w:hAnsi="Calibri" w:cs="Times New Roman"/>
              </w:rPr>
              <w:t>Framing/reframing</w:t>
            </w:r>
          </w:p>
        </w:tc>
        <w:tc>
          <w:tcPr>
            <w:tcW w:w="9072" w:type="dxa"/>
          </w:tcPr>
          <w:p w14:paraId="37D3ADEE" w14:textId="77777777" w:rsidR="000F7E56" w:rsidRPr="000F7E56" w:rsidRDefault="000F7E56" w:rsidP="000F7E56">
            <w:pPr>
              <w:rPr>
                <w:rFonts w:ascii="Calibri" w:eastAsia="Calibri" w:hAnsi="Calibri" w:cs="Times New Roman"/>
              </w:rPr>
            </w:pPr>
            <w:r w:rsidRPr="000F7E56">
              <w:rPr>
                <w:rFonts w:ascii="Calibri" w:eastAsia="Calibri" w:hAnsi="Calibri" w:cs="Times New Roman"/>
              </w:rPr>
              <w:t>Simulated training with formative feedback for complex situations of uncertainty</w:t>
            </w:r>
          </w:p>
          <w:p w14:paraId="4EC44A0B" w14:textId="77777777" w:rsidR="000F7E56" w:rsidRPr="000F7E56" w:rsidRDefault="000F7E56" w:rsidP="000F7E56">
            <w:pPr>
              <w:rPr>
                <w:rFonts w:ascii="Calibri" w:eastAsia="Calibri" w:hAnsi="Calibri" w:cs="Times New Roman"/>
              </w:rPr>
            </w:pPr>
          </w:p>
          <w:p w14:paraId="5B5965E1" w14:textId="77777777" w:rsidR="000F7E56" w:rsidRPr="000F7E56" w:rsidRDefault="000F7E56" w:rsidP="000F7E56">
            <w:pPr>
              <w:rPr>
                <w:rFonts w:ascii="Calibri" w:eastAsia="Calibri" w:hAnsi="Calibri" w:cs="Times New Roman"/>
              </w:rPr>
            </w:pPr>
          </w:p>
        </w:tc>
        <w:tc>
          <w:tcPr>
            <w:tcW w:w="3397" w:type="dxa"/>
          </w:tcPr>
          <w:p w14:paraId="0FA6596F" w14:textId="77777777" w:rsidR="000F7E56" w:rsidRPr="000F7E56" w:rsidRDefault="000F7E56" w:rsidP="000F7E56">
            <w:pPr>
              <w:rPr>
                <w:rFonts w:ascii="Calibri" w:eastAsia="Calibri" w:hAnsi="Calibri" w:cs="Times New Roman"/>
              </w:rPr>
            </w:pPr>
            <w:r w:rsidRPr="000F7E56">
              <w:rPr>
                <w:rFonts w:ascii="Calibri" w:eastAsia="Calibri" w:hAnsi="Calibri" w:cs="Times New Roman"/>
              </w:rPr>
              <w:t xml:space="preserve">All of the above </w:t>
            </w:r>
          </w:p>
          <w:p w14:paraId="7BC1B1FD" w14:textId="77777777" w:rsidR="000F7E56" w:rsidRPr="000F7E56" w:rsidRDefault="000F7E56" w:rsidP="000F7E56">
            <w:pPr>
              <w:rPr>
                <w:rFonts w:ascii="Calibri" w:eastAsia="Calibri" w:hAnsi="Calibri" w:cs="Times New Roman"/>
              </w:rPr>
            </w:pPr>
            <w:r w:rsidRPr="000F7E56">
              <w:rPr>
                <w:rFonts w:ascii="Calibri" w:eastAsia="Calibri" w:hAnsi="Calibri" w:cs="Times New Roman"/>
              </w:rPr>
              <w:t>Reduce discomfort with working outside of a comfort zone.</w:t>
            </w:r>
          </w:p>
          <w:p w14:paraId="50D63FBB" w14:textId="77777777" w:rsidR="000F7E56" w:rsidRPr="000F7E56" w:rsidRDefault="000F7E56" w:rsidP="000F7E56">
            <w:pPr>
              <w:rPr>
                <w:rFonts w:ascii="Calibri" w:eastAsia="Calibri" w:hAnsi="Calibri" w:cs="Times New Roman"/>
              </w:rPr>
            </w:pPr>
          </w:p>
        </w:tc>
      </w:tr>
    </w:tbl>
    <w:p w14:paraId="0331114A" w14:textId="35218369" w:rsidR="009D3F6D" w:rsidRDefault="009D3F6D" w:rsidP="009D3F6D">
      <w:pPr>
        <w:pStyle w:val="Caption"/>
      </w:pPr>
      <w:bookmarkStart w:id="412" w:name="_Toc106701074"/>
      <w:bookmarkStart w:id="413" w:name="_Toc89967522"/>
      <w:bookmarkEnd w:id="411"/>
      <w:r>
        <w:t>T</w:t>
      </w:r>
      <w:r w:rsidR="0087146C">
        <w:t>ABLE</w:t>
      </w:r>
      <w:r>
        <w:t xml:space="preserve"> </w:t>
      </w:r>
      <w:r w:rsidR="00D74EFC">
        <w:fldChar w:fldCharType="begin"/>
      </w:r>
      <w:r w:rsidR="00D74EFC">
        <w:instrText xml:space="preserve"> SEQ Table \* ARABIC </w:instrText>
      </w:r>
      <w:r w:rsidR="00D74EFC">
        <w:fldChar w:fldCharType="separate"/>
      </w:r>
      <w:r w:rsidR="00514EB4">
        <w:rPr>
          <w:noProof/>
        </w:rPr>
        <w:t>12</w:t>
      </w:r>
      <w:r w:rsidR="00D74EFC">
        <w:rPr>
          <w:noProof/>
        </w:rPr>
        <w:fldChar w:fldCharType="end"/>
      </w:r>
      <w:r w:rsidRPr="000F7E56">
        <w:rPr>
          <w:iCs w:val="0"/>
          <w:noProof/>
        </w:rPr>
        <w:t xml:space="preserve"> -</w:t>
      </w:r>
      <w:r w:rsidRPr="000F7E56">
        <w:rPr>
          <w:iCs w:val="0"/>
        </w:rPr>
        <w:t xml:space="preserve"> How HCPs translate behaviour techniques into practice</w:t>
      </w:r>
      <w:bookmarkEnd w:id="412"/>
    </w:p>
    <w:bookmarkEnd w:id="413"/>
    <w:p w14:paraId="2E008CD0" w14:textId="766F63AF" w:rsidR="000F7E56" w:rsidRPr="000F7E56" w:rsidRDefault="000F7E56" w:rsidP="000F7E56">
      <w:pPr>
        <w:keepNext/>
        <w:spacing w:after="200" w:line="240" w:lineRule="auto"/>
        <w:jc w:val="both"/>
        <w:rPr>
          <w:rFonts w:ascii="Calibri" w:eastAsia="Calibri" w:hAnsi="Calibri" w:cs="Times New Roman"/>
          <w:iCs/>
          <w:color w:val="44546A" w:themeColor="text2"/>
        </w:rPr>
        <w:sectPr w:rsidR="000F7E56" w:rsidRPr="000F7E56" w:rsidSect="000F7E56">
          <w:pgSz w:w="16838" w:h="11906" w:orient="landscape"/>
          <w:pgMar w:top="1440" w:right="1440" w:bottom="1440" w:left="1440" w:header="709" w:footer="709" w:gutter="0"/>
          <w:cols w:space="708"/>
          <w:docGrid w:linePitch="360"/>
        </w:sectPr>
      </w:pPr>
    </w:p>
    <w:p w14:paraId="6626D244" w14:textId="77777777" w:rsidR="000F7E56" w:rsidRPr="000F7E56" w:rsidRDefault="000F7E56" w:rsidP="000F7E56">
      <w:pPr>
        <w:spacing w:after="120" w:line="360" w:lineRule="auto"/>
        <w:rPr>
          <w:rFonts w:ascii="Calibri" w:eastAsia="Calibri" w:hAnsi="Calibri" w:cs="Times New Roman"/>
        </w:rPr>
      </w:pPr>
      <w:r w:rsidRPr="000F7E56">
        <w:rPr>
          <w:rFonts w:ascii="Calibri" w:eastAsia="Calibri" w:hAnsi="Calibri" w:cs="Times New Roman"/>
        </w:rPr>
        <w:lastRenderedPageBreak/>
        <w:t xml:space="preserve">The field notes of the five workshops involving HCP where the behaviours discussed were those involving “thinking ahead” discussions with patients, were scrutinised for mention of behaviour change techniques (BCTs). HCP described behaviours that they thought were important to use in how thinking ahead was discussed with the family and also described ways of promoting these behaviours in practice of HCP through learning resources that included BCTs. HCPs described thinking ahead discussions as a type of the behaviour change technique that they employed in their work with patients and families of </w:t>
      </w:r>
      <w:r w:rsidRPr="000F7E56">
        <w:rPr>
          <w:rFonts w:ascii="Calibri" w:eastAsia="Calibri" w:hAnsi="Calibri" w:cs="Times New Roman"/>
          <w:i/>
          <w:iCs/>
        </w:rPr>
        <w:t>goal-setting</w:t>
      </w:r>
      <w:r w:rsidRPr="000F7E56">
        <w:rPr>
          <w:rFonts w:ascii="Calibri" w:eastAsia="Calibri" w:hAnsi="Calibri" w:cs="Times New Roman"/>
        </w:rPr>
        <w:t xml:space="preserve">; suggesting that HCPs should ‘set a staged approach, so that you break it down into pieces.’  Another participant stated “I try to make sure they understand that I am a support for them and that they make SMART goals. The BCT of </w:t>
      </w:r>
      <w:r w:rsidRPr="000F7E56">
        <w:rPr>
          <w:rFonts w:ascii="Calibri" w:eastAsia="Calibri" w:hAnsi="Calibri" w:cs="Times New Roman"/>
          <w:i/>
          <w:iCs/>
        </w:rPr>
        <w:t>General social support</w:t>
      </w:r>
      <w:r w:rsidRPr="000F7E56">
        <w:rPr>
          <w:rFonts w:ascii="Calibri" w:eastAsia="Calibri" w:hAnsi="Calibri" w:cs="Times New Roman"/>
        </w:rPr>
        <w:t xml:space="preserve"> was twice mentioned by two people, (and did not specifically apply to the BCTs related to </w:t>
      </w:r>
      <w:r w:rsidRPr="000F7E56">
        <w:rPr>
          <w:rFonts w:ascii="Calibri" w:eastAsia="Calibri" w:hAnsi="Calibri" w:cs="Times New Roman"/>
          <w:i/>
          <w:iCs/>
        </w:rPr>
        <w:t>emotional social support</w:t>
      </w:r>
      <w:r w:rsidRPr="000F7E56">
        <w:rPr>
          <w:rFonts w:ascii="Calibri" w:eastAsia="Calibri" w:hAnsi="Calibri" w:cs="Times New Roman"/>
        </w:rPr>
        <w:t xml:space="preserve"> or </w:t>
      </w:r>
      <w:r w:rsidRPr="000F7E56">
        <w:rPr>
          <w:rFonts w:ascii="Calibri" w:eastAsia="Calibri" w:hAnsi="Calibri" w:cs="Times New Roman"/>
          <w:i/>
          <w:iCs/>
        </w:rPr>
        <w:t>practical social support</w:t>
      </w:r>
      <w:r w:rsidRPr="000F7E56">
        <w:rPr>
          <w:rFonts w:ascii="Calibri" w:eastAsia="Calibri" w:hAnsi="Calibri" w:cs="Times New Roman"/>
        </w:rPr>
        <w:t xml:space="preserve">); ‘I check with family what structures are there to support them’ and ‘I try to engage properly with the family and try and make sure they understand that I am a support for them ..{. }.. and also, as an HCP to respect family and culture of the family’.  </w:t>
      </w:r>
    </w:p>
    <w:p w14:paraId="7A5D5836" w14:textId="77777777" w:rsidR="000F7E56" w:rsidRPr="000F7E56" w:rsidRDefault="000F7E56" w:rsidP="000F7E56">
      <w:pPr>
        <w:spacing w:after="120" w:line="360" w:lineRule="auto"/>
        <w:rPr>
          <w:rFonts w:ascii="Calibri" w:eastAsia="Calibri" w:hAnsi="Calibri" w:cs="Times New Roman"/>
        </w:rPr>
      </w:pPr>
      <w:r w:rsidRPr="000F7E56">
        <w:rPr>
          <w:rFonts w:ascii="Calibri" w:eastAsia="Calibri" w:hAnsi="Calibri" w:cs="Times New Roman"/>
        </w:rPr>
        <w:t xml:space="preserve">In relation to influencing the behaviours of HCPs, a participant stated ‘So maybe give HCP some guidance in the best way to phrase the questions’ about deterioration and dying in the context of ’understanding their cultural belief systems’; an example of the BCT </w:t>
      </w:r>
      <w:r w:rsidRPr="000F7E56">
        <w:rPr>
          <w:rFonts w:ascii="Calibri" w:eastAsia="Calibri" w:hAnsi="Calibri" w:cs="Times New Roman"/>
          <w:i/>
          <w:iCs/>
        </w:rPr>
        <w:t>instruction on how to perform the behaviour</w:t>
      </w:r>
      <w:r w:rsidRPr="000F7E56">
        <w:rPr>
          <w:rFonts w:ascii="Calibri" w:eastAsia="Calibri" w:hAnsi="Calibri" w:cs="Times New Roman"/>
        </w:rPr>
        <w:t xml:space="preserve">. The BCTs of </w:t>
      </w:r>
      <w:r w:rsidRPr="00D74EFC">
        <w:rPr>
          <w:rFonts w:ascii="Calibri" w:eastAsia="Calibri" w:hAnsi="Calibri" w:cs="Times New Roman"/>
          <w:i/>
        </w:rPr>
        <w:t>using prompts or cues</w:t>
      </w:r>
      <w:r w:rsidRPr="000F7E56">
        <w:rPr>
          <w:rFonts w:ascii="Calibri" w:eastAsia="Calibri" w:hAnsi="Calibri" w:cs="Times New Roman"/>
        </w:rPr>
        <w:t xml:space="preserve"> was mentioned by three participants: Two emphasised the need to take the cue from the patient in order to know if or when to progress a conversation ‘and exploring how far patients want to go’…..another gave the example of ‘When patients say ”I want to leave it to God” you need to discuss whether to complete a DNACPR form to enable HCPs to know and respect her wishes.’ A third professional said ‘Sometimes HCPs have to tell themselves that they will need to deal with the crises when it presents as not all patients will take this conversation to the next level. It is important that HCPs don’t force these conversations.’  </w:t>
      </w:r>
    </w:p>
    <w:p w14:paraId="6A0E03D4" w14:textId="3EBFDA42" w:rsidR="000F7E56" w:rsidRPr="000F7E56" w:rsidRDefault="000F7E56" w:rsidP="000F7E56">
      <w:pPr>
        <w:spacing w:after="120" w:line="360" w:lineRule="auto"/>
        <w:rPr>
          <w:rFonts w:ascii="Calibri" w:eastAsia="Calibri" w:hAnsi="Calibri" w:cs="Times New Roman"/>
        </w:rPr>
      </w:pPr>
      <w:r w:rsidRPr="000F7E56">
        <w:rPr>
          <w:rFonts w:ascii="Calibri" w:eastAsia="Calibri" w:hAnsi="Calibri" w:cs="Times New Roman"/>
        </w:rPr>
        <w:t xml:space="preserve">There was evidence for six of the NPT concepts in the HCP workshop discussions. </w:t>
      </w:r>
      <w:r w:rsidRPr="000F7E56">
        <w:rPr>
          <w:rFonts w:ascii="Calibri" w:eastAsia="Calibri" w:hAnsi="Calibri" w:cs="Times New Roman"/>
          <w:i/>
          <w:iCs/>
        </w:rPr>
        <w:t>Collective action</w:t>
      </w:r>
      <w:r w:rsidRPr="000F7E56">
        <w:rPr>
          <w:rFonts w:ascii="Calibri" w:eastAsia="Calibri" w:hAnsi="Calibri" w:cs="Times New Roman"/>
        </w:rPr>
        <w:t xml:space="preserve"> is defined as the operational work that people do to enact a set of practices. This was implied in the statement related to working together to support HCPs talking with the patient and family about thinking ahead. It was stated in the context of understanding cultural differences that they ‘ensure they { } work together with say the GP, consultant, nurses and other stakeholders so then all HCPs are singing from the same hymn sheet.’ People also noted that being able to take the action together can depend upon people having clearly understood roles (which is component of collective action known as </w:t>
      </w:r>
      <w:r w:rsidRPr="000F7E56">
        <w:rPr>
          <w:rFonts w:ascii="Calibri" w:eastAsia="Calibri" w:hAnsi="Calibri" w:cs="Times New Roman"/>
          <w:i/>
          <w:iCs/>
        </w:rPr>
        <w:t>interactional workability</w:t>
      </w:r>
      <w:r w:rsidRPr="000F7E56">
        <w:rPr>
          <w:rFonts w:ascii="Calibri" w:eastAsia="Calibri" w:hAnsi="Calibri" w:cs="Times New Roman"/>
        </w:rPr>
        <w:t xml:space="preserve">;  ‘So, making sure that they see HCP to be part of the family or friend so at least this helps to ease this process {of family involvement in </w:t>
      </w:r>
      <w:r w:rsidR="00EE6E1F">
        <w:rPr>
          <w:rFonts w:ascii="Calibri" w:eastAsia="Calibri" w:hAnsi="Calibri" w:cs="Times New Roman"/>
        </w:rPr>
        <w:t>‘</w:t>
      </w:r>
      <w:r w:rsidRPr="000F7E56">
        <w:rPr>
          <w:rFonts w:ascii="Calibri" w:eastAsia="Calibri" w:hAnsi="Calibri" w:cs="Times New Roman"/>
        </w:rPr>
        <w:t>thinking ahead</w:t>
      </w:r>
      <w:r w:rsidR="00EE6E1F">
        <w:rPr>
          <w:rFonts w:ascii="Calibri" w:eastAsia="Calibri" w:hAnsi="Calibri" w:cs="Times New Roman"/>
        </w:rPr>
        <w:t>’</w:t>
      </w:r>
      <w:r w:rsidRPr="000F7E56">
        <w:rPr>
          <w:rFonts w:ascii="Calibri" w:eastAsia="Calibri" w:hAnsi="Calibri" w:cs="Times New Roman"/>
        </w:rPr>
        <w:t xml:space="preserve"> conversations}.   </w:t>
      </w:r>
      <w:r w:rsidR="00F75231" w:rsidRPr="00F75231">
        <w:rPr>
          <w:rFonts w:ascii="Calibri" w:eastAsia="Calibri" w:hAnsi="Calibri" w:cs="Times New Roman"/>
        </w:rPr>
        <w:t xml:space="preserve">Learning resources that support the use of pictograms (described above) to initiate exploration of family and social context and get to ‘know’ the </w:t>
      </w:r>
      <w:r w:rsidR="00F75231" w:rsidRPr="00F75231">
        <w:rPr>
          <w:rFonts w:ascii="Calibri" w:eastAsia="Calibri" w:hAnsi="Calibri" w:cs="Times New Roman"/>
        </w:rPr>
        <w:lastRenderedPageBreak/>
        <w:t>patient and their background, and that are shared and updated within the practitioner and family “team” are relevant to these practices.</w:t>
      </w:r>
    </w:p>
    <w:p w14:paraId="36B5D1BB" w14:textId="7F7BCF8F" w:rsidR="000F7E56" w:rsidRPr="000F7E56" w:rsidRDefault="000F7E56" w:rsidP="000F7E56">
      <w:pPr>
        <w:spacing w:after="120" w:line="360" w:lineRule="auto"/>
        <w:rPr>
          <w:rFonts w:ascii="Calibri" w:eastAsia="Calibri" w:hAnsi="Calibri" w:cs="Times New Roman"/>
        </w:rPr>
      </w:pPr>
      <w:r w:rsidRPr="000F7E56">
        <w:rPr>
          <w:rFonts w:ascii="Calibri" w:eastAsia="Calibri" w:hAnsi="Calibri" w:cs="Times New Roman"/>
        </w:rPr>
        <w:t xml:space="preserve">In relation to the educational resources, a participant suggested a commonly used approach in adult learning is a collective forum of learners; ‘having these kinds of forums help to discuss these things and possibly include patients’. The participant quoted above concerning faith, community and HCPs in the same room there would be good place for HCPs to learn: ‘It is very powerful and makes you think about your responses.’ This suggests they want a common sense of </w:t>
      </w:r>
      <w:r w:rsidRPr="000F7E56">
        <w:rPr>
          <w:rFonts w:ascii="Calibri" w:eastAsia="Calibri" w:hAnsi="Calibri" w:cs="Times New Roman"/>
          <w:i/>
          <w:iCs/>
        </w:rPr>
        <w:t>coherence</w:t>
      </w:r>
      <w:r w:rsidRPr="000F7E56">
        <w:rPr>
          <w:rFonts w:ascii="Calibri" w:eastAsia="Calibri" w:hAnsi="Calibri" w:cs="Times New Roman"/>
        </w:rPr>
        <w:t xml:space="preserve">, defined as the </w:t>
      </w:r>
      <w:r w:rsidR="00EE6E1F">
        <w:rPr>
          <w:rFonts w:ascii="Calibri" w:eastAsia="Calibri" w:hAnsi="Calibri" w:cs="Times New Roman"/>
        </w:rPr>
        <w:t>‘</w:t>
      </w:r>
      <w:r w:rsidRPr="000F7E56">
        <w:rPr>
          <w:rFonts w:ascii="Calibri" w:eastAsia="Calibri" w:hAnsi="Calibri" w:cs="Times New Roman"/>
        </w:rPr>
        <w:t>sense-making work</w:t>
      </w:r>
      <w:r w:rsidR="00EE6E1F">
        <w:rPr>
          <w:rFonts w:ascii="Calibri" w:eastAsia="Calibri" w:hAnsi="Calibri" w:cs="Times New Roman"/>
        </w:rPr>
        <w:t>’</w:t>
      </w:r>
      <w:r w:rsidRPr="000F7E56">
        <w:rPr>
          <w:rFonts w:ascii="Calibri" w:eastAsia="Calibri" w:hAnsi="Calibri" w:cs="Times New Roman"/>
        </w:rPr>
        <w:t xml:space="preserve"> that people do individually and collectively when they are faced with the problem of operationalizing some set of practices. Sense-making relies on people working together to build a shared understanding of the aims, objectives, and expected benefits of a set of practices. In the context of professional uncertainty this is a powerful antidote to the paralysis  that may otherwise arise.</w:t>
      </w:r>
      <w:r w:rsidRPr="000F7E56">
        <w:rPr>
          <w:rFonts w:ascii="Calibri" w:eastAsia="Calibri" w:hAnsi="Calibri" w:cs="Times New Roman"/>
        </w:rPr>
        <w:fldChar w:fldCharType="begin"/>
      </w:r>
      <w:r w:rsidR="000D5597">
        <w:rPr>
          <w:rFonts w:ascii="Calibri" w:eastAsia="Calibri" w:hAnsi="Calibri" w:cs="Times New Roman"/>
        </w:rPr>
        <w:instrText xml:space="preserve"> ADDIN ZOTERO_ITEM CSL_CITATION {"citationID":"MMU89tqi","properties":{"formattedCitation":"\\super 133\\nosupersub{}","plainCitation":"133","noteIndex":0},"citationItems":[{"id":3,"uris":["http://zotero.org/users/8748280/items/8N9T46WG"],"itemData":{"id":3,"type":"article-journal","abstract":"Background While ethnic disparities in health and health care are increasing, evidence on how to enhance quality of care and reduce inequalities remains limited. Despite growth in the scope and application of guidelines on “cultural competence,” remarkably little is known about how practising health professionals experience and perceive their work with patients from diverse ethnic communities. Using cancer care as a clinical context, we aimed to explore this with a range of health professionals to inform interventions to enhance quality of care. Methods and Findings We conducted a qualitative study involving 18 focus groups with a purposeful sample of 106 health professionals of differing disciplines, in primary and secondary care settings, working with patient populations of varying ethnic diversity in the Midlands of the UK. Data were analysed by constant comparison and we undertook processes for validation of analysis. We found that, as they sought to offer appropriate care, health professionals wrestled with considerable uncertainty and apprehension in responding to the needs of patients of ethnicities different from their own. They emphasised their perceived ignorance about cultural difference and were anxious about being culturally inappropriate, causing affront, or appearing discriminatory or racist. Professionals' ability to think and act flexibly or creatively faltered. Although trying to do their best, professionals' uncertainty was disempowering, creating a disabling hesitancy and inertia in their practice. Most professionals sought and applied a knowledge-based cultural expertise approach to patients, though some identified the risk of engendering stereotypical expectations of patients. Professionals' uncertainty and disempowerment had the potential to perpetuate each other, to the detriment of patient care. Conclusions This study suggests potential mechanisms by which health professionals may inadvertently contribute to ethnic disparities in health care. It identifies critical opportunities to empower health professionals to respond more effectively. Interventions should help professionals acknowledge their uncertainty and its potential to create inertia in their practice. A shift away from a cultural expertise model toward a greater focus on each patient as an individual may help.","container-title":"PLOS Medicine","DOI":"10.1371/journal.pmed.0040323","ISSN":"1549-1676","issue":"11","journalAbbreviation":"PLOS Medicine","language":"en","page":"e323","source":"PLoS Journals","title":"Professional Uncertainty and Disempowerment Responding to Ethnic Diversity in Health Care: A Qualitative Study","title-short":"Professional Uncertainty and Disempowerment Responding to Ethnic Diversity in Health Care","volume":"4","author":[{"family":"Kai","given":"Joe"},{"family":"Beavan","given":"Jackie"},{"family":"Faull","given":"Christina"},{"family":"Dodson","given":"Lynne"},{"family":"Gill","given":"Paramjit"},{"family":"Beighton","given":"Angela"}],"issued":{"date-parts":[["2007",11,13]]}}}],"schema":"https://github.com/citation-style-language/schema/raw/master/csl-citation.json"} </w:instrText>
      </w:r>
      <w:r w:rsidRPr="000F7E56">
        <w:rPr>
          <w:rFonts w:ascii="Calibri" w:eastAsia="Calibri" w:hAnsi="Calibri" w:cs="Times New Roman"/>
        </w:rPr>
        <w:fldChar w:fldCharType="separate"/>
      </w:r>
      <w:r w:rsidR="000D5597" w:rsidRPr="000D5597">
        <w:rPr>
          <w:rFonts w:ascii="Calibri" w:hAnsi="Calibri" w:cs="Times New Roman"/>
          <w:szCs w:val="24"/>
          <w:vertAlign w:val="superscript"/>
        </w:rPr>
        <w:t>133</w:t>
      </w:r>
      <w:r w:rsidRPr="000F7E56">
        <w:rPr>
          <w:rFonts w:ascii="Calibri" w:eastAsia="Calibri" w:hAnsi="Calibri" w:cs="Times New Roman"/>
        </w:rPr>
        <w:fldChar w:fldCharType="end"/>
      </w:r>
    </w:p>
    <w:p w14:paraId="783BB41E" w14:textId="46B53B70" w:rsidR="000F7E56" w:rsidRPr="000F7E56" w:rsidRDefault="000F7E56" w:rsidP="000F7E56">
      <w:pPr>
        <w:spacing w:after="120" w:line="360" w:lineRule="auto"/>
        <w:rPr>
          <w:rFonts w:ascii="Calibri" w:eastAsia="Calibri" w:hAnsi="Calibri" w:cs="Times New Roman"/>
        </w:rPr>
      </w:pPr>
      <w:r w:rsidRPr="000F7E56">
        <w:rPr>
          <w:rFonts w:ascii="Calibri" w:eastAsia="Calibri" w:hAnsi="Calibri" w:cs="Times New Roman"/>
        </w:rPr>
        <w:t xml:space="preserve">There are four components of </w:t>
      </w:r>
      <w:r w:rsidRPr="000F7E56">
        <w:rPr>
          <w:rFonts w:ascii="Calibri" w:eastAsia="Calibri" w:hAnsi="Calibri" w:cs="Times New Roman"/>
          <w:i/>
        </w:rPr>
        <w:t>coherence</w:t>
      </w:r>
      <w:r w:rsidRPr="000F7E56">
        <w:rPr>
          <w:rFonts w:ascii="Calibri" w:eastAsia="Calibri" w:hAnsi="Calibri" w:cs="Times New Roman"/>
        </w:rPr>
        <w:t>, which are relevant to what they want to achieve by their sense-making. First, the sense making could be from discussing how and why these cases differ from their usual practice, which would be the concept of d</w:t>
      </w:r>
      <w:r w:rsidRPr="000F7E56">
        <w:rPr>
          <w:rFonts w:ascii="Calibri" w:eastAsia="Calibri" w:hAnsi="Calibri" w:cs="Times New Roman"/>
          <w:i/>
          <w:iCs/>
        </w:rPr>
        <w:t>ifferentiation</w:t>
      </w:r>
      <w:r w:rsidRPr="000F7E56">
        <w:rPr>
          <w:rFonts w:ascii="Calibri" w:eastAsia="Calibri" w:hAnsi="Calibri" w:cs="Times New Roman"/>
        </w:rPr>
        <w:t xml:space="preserve">. Second, it could be about understanding their role and the tasks to undertake defined as </w:t>
      </w:r>
      <w:r w:rsidRPr="000F7E56">
        <w:rPr>
          <w:rFonts w:ascii="Calibri" w:eastAsia="Calibri" w:hAnsi="Calibri" w:cs="Times New Roman"/>
          <w:i/>
          <w:iCs/>
        </w:rPr>
        <w:t>communal specification</w:t>
      </w:r>
      <w:r w:rsidRPr="000F7E56">
        <w:rPr>
          <w:rFonts w:ascii="Calibri" w:eastAsia="Calibri" w:hAnsi="Calibri" w:cs="Times New Roman"/>
        </w:rPr>
        <w:t xml:space="preserve">. Third, it can also be about individuals needing to do things that will help them understand their specific tasks and responsibilities around a set of practices, which is the NPT concept of </w:t>
      </w:r>
      <w:r w:rsidRPr="000F7E56">
        <w:rPr>
          <w:rFonts w:ascii="Calibri" w:eastAsia="Calibri" w:hAnsi="Calibri" w:cs="Times New Roman"/>
          <w:i/>
          <w:iCs/>
        </w:rPr>
        <w:t>individual specification</w:t>
      </w:r>
      <w:r w:rsidRPr="000F7E56">
        <w:rPr>
          <w:rFonts w:ascii="Calibri" w:eastAsia="Calibri" w:hAnsi="Calibri" w:cs="Times New Roman"/>
        </w:rPr>
        <w:t xml:space="preserve">. Fourth, it could also be sense-making to gain a collective understanding of the value and importance of new practices, defined as </w:t>
      </w:r>
      <w:r w:rsidRPr="000F7E56">
        <w:rPr>
          <w:rFonts w:ascii="Calibri" w:eastAsia="Calibri" w:hAnsi="Calibri" w:cs="Times New Roman"/>
          <w:i/>
          <w:iCs/>
        </w:rPr>
        <w:t>internalisation</w:t>
      </w:r>
      <w:r w:rsidRPr="000F7E56">
        <w:rPr>
          <w:rFonts w:ascii="Calibri" w:eastAsia="Calibri" w:hAnsi="Calibri" w:cs="Times New Roman"/>
        </w:rPr>
        <w:t xml:space="preserve">. So a forum could potentially support all four components of the concept of </w:t>
      </w:r>
      <w:r w:rsidRPr="000F7E56">
        <w:rPr>
          <w:rFonts w:ascii="Calibri" w:eastAsia="Calibri" w:hAnsi="Calibri" w:cs="Times New Roman"/>
          <w:i/>
        </w:rPr>
        <w:t>coherence</w:t>
      </w:r>
      <w:r w:rsidRPr="000F7E56">
        <w:rPr>
          <w:rFonts w:ascii="Calibri" w:eastAsia="Calibri" w:hAnsi="Calibri" w:cs="Times New Roman"/>
        </w:rPr>
        <w:t xml:space="preserve">. </w:t>
      </w:r>
    </w:p>
    <w:p w14:paraId="2579E427" w14:textId="77777777" w:rsidR="000F7E56" w:rsidRPr="000F7E56" w:rsidRDefault="000F7E56" w:rsidP="000F7E56">
      <w:pPr>
        <w:keepNext/>
        <w:keepLines/>
        <w:spacing w:before="40" w:after="0" w:line="360" w:lineRule="auto"/>
        <w:outlineLvl w:val="1"/>
        <w:rPr>
          <w:rFonts w:asciiTheme="majorHAnsi" w:eastAsiaTheme="majorEastAsia" w:hAnsiTheme="majorHAnsi" w:cstheme="majorBidi"/>
          <w:color w:val="2F5496" w:themeColor="accent1" w:themeShade="BF"/>
          <w:sz w:val="24"/>
          <w:szCs w:val="24"/>
        </w:rPr>
      </w:pPr>
      <w:bookmarkStart w:id="414" w:name="_Toc106697851"/>
      <w:r w:rsidRPr="000F7E56">
        <w:rPr>
          <w:rFonts w:asciiTheme="majorHAnsi" w:eastAsiaTheme="majorEastAsia" w:hAnsiTheme="majorHAnsi" w:cstheme="majorBidi"/>
          <w:color w:val="2F5496" w:themeColor="accent1" w:themeShade="BF"/>
          <w:sz w:val="24"/>
          <w:szCs w:val="24"/>
        </w:rPr>
        <w:t>Conclusions</w:t>
      </w:r>
      <w:bookmarkEnd w:id="414"/>
    </w:p>
    <w:p w14:paraId="50326C61" w14:textId="77777777" w:rsidR="000F7E56" w:rsidRPr="000F7E56" w:rsidRDefault="000F7E56" w:rsidP="000F7E56">
      <w:pPr>
        <w:spacing w:after="120" w:line="360" w:lineRule="auto"/>
        <w:rPr>
          <w:rFonts w:ascii="Calibri" w:eastAsia="Calibri" w:hAnsi="Calibri" w:cs="Times New Roman"/>
        </w:rPr>
      </w:pPr>
      <w:r w:rsidRPr="000F7E56">
        <w:rPr>
          <w:rFonts w:ascii="Calibri" w:eastAsia="Calibri" w:hAnsi="Calibri" w:cs="Times New Roman"/>
        </w:rPr>
        <w:t>The 50 participants in this Work Stream came from a very broad diversity of backgrounds and the discussions have shed further light and depth from a breadth of stakeholder perspectives on the issues and themes that emerged from our interviews with patients, family members and some health professionals supporting them.</w:t>
      </w:r>
    </w:p>
    <w:p w14:paraId="3974B8A1" w14:textId="77777777" w:rsidR="000F7E56" w:rsidRPr="000F7E56" w:rsidRDefault="000F7E56" w:rsidP="000F7E56">
      <w:pPr>
        <w:spacing w:after="120" w:line="360" w:lineRule="auto"/>
        <w:rPr>
          <w:rFonts w:ascii="Calibri" w:eastAsia="Calibri" w:hAnsi="Calibri" w:cs="Times New Roman"/>
        </w:rPr>
      </w:pPr>
      <w:r w:rsidRPr="000F7E56">
        <w:rPr>
          <w:rFonts w:ascii="Calibri" w:eastAsia="Calibri" w:hAnsi="Calibri" w:cs="Times New Roman"/>
        </w:rPr>
        <w:t xml:space="preserve">The perspectives of public participants have affirmed the themes in the experiences of participants in WS1 and WS2. The perspectives of academics have placed our findings in the literature and current ways of thinking about ethnic health and addressing inequalities and inequities.  </w:t>
      </w:r>
    </w:p>
    <w:p w14:paraId="4DDBC7D6" w14:textId="2D93EC4B" w:rsidR="000F7E56" w:rsidRPr="000F7E56" w:rsidRDefault="000F7E56" w:rsidP="000F7E56">
      <w:pPr>
        <w:spacing w:after="120" w:line="360" w:lineRule="auto"/>
        <w:rPr>
          <w:rFonts w:ascii="Calibri" w:eastAsia="Calibri" w:hAnsi="Calibri" w:cs="Times New Roman"/>
        </w:rPr>
      </w:pPr>
      <w:r w:rsidRPr="000F7E56">
        <w:rPr>
          <w:rFonts w:ascii="Calibri" w:eastAsia="Calibri" w:hAnsi="Calibri" w:cs="Times New Roman"/>
        </w:rPr>
        <w:t>Participants have discussed what these themes mean for the practice required of HCPs, what the key issues might be in achieving good practice and what training would be useful to develop this. The discussions of HCPs have provided insights into the behaviours that need to be integrated into practice and how these might be developed through training and learning resources and inform the e-learning output of this project.</w:t>
      </w:r>
      <w:r w:rsidR="00F75231" w:rsidRPr="00F75231">
        <w:rPr>
          <w:rFonts w:ascii="Calibri" w:eastAsia="Calibri" w:hAnsi="Calibri" w:cs="Times New Roman"/>
        </w:rPr>
        <w:t xml:space="preserve"> As an example, an interactive forum was not part of the specification of final learning resources as </w:t>
      </w:r>
      <w:r w:rsidR="00F75231" w:rsidRPr="00F75231">
        <w:rPr>
          <w:rFonts w:ascii="Calibri" w:eastAsia="Calibri" w:hAnsi="Calibri" w:cs="Times New Roman"/>
        </w:rPr>
        <w:lastRenderedPageBreak/>
        <w:t>it is resource intensive, but could be used with groups of leaners using the same resource sharing their learning experience, such as through a closed Facebook group.</w:t>
      </w:r>
    </w:p>
    <w:p w14:paraId="038E444C" w14:textId="77777777" w:rsidR="000F7E56" w:rsidRPr="000F7E56" w:rsidRDefault="000F7E56" w:rsidP="000F7E56">
      <w:pPr>
        <w:spacing w:after="120" w:line="360" w:lineRule="auto"/>
        <w:rPr>
          <w:rFonts w:ascii="Calibri" w:eastAsia="Calibri" w:hAnsi="Calibri" w:cs="Times New Roman"/>
        </w:rPr>
      </w:pPr>
      <w:r w:rsidRPr="000F7E56">
        <w:rPr>
          <w:rFonts w:ascii="Calibri" w:eastAsia="Calibri" w:hAnsi="Calibri" w:cs="Times New Roman"/>
        </w:rPr>
        <w:t>The use of narratives and the story format was universally welcomed as a powerful tool to engage people and through this emotional response to a patient’s story, promote the motivation to learn and to embed changes in practice. E-learning is usually an independent, solitary activity and a strong message form the findings is that HCP and other stakeholders regard collective working and coherence as key processes in achieving normalisation of greater competence in supporting patients and their families from diverse ethnic backgrounds.</w:t>
      </w:r>
    </w:p>
    <w:p w14:paraId="03DECC23" w14:textId="77777777" w:rsidR="000F7E56" w:rsidRPr="000F7E56" w:rsidRDefault="000F7E56" w:rsidP="000F7E56">
      <w:pPr>
        <w:spacing w:after="120" w:line="360" w:lineRule="auto"/>
        <w:rPr>
          <w:rFonts w:ascii="Calibri" w:eastAsia="Calibri" w:hAnsi="Calibri" w:cs="Times New Roman"/>
        </w:rPr>
      </w:pPr>
      <w:r w:rsidRPr="000F7E56">
        <w:rPr>
          <w:rFonts w:ascii="Calibri" w:eastAsia="Calibri" w:hAnsi="Calibri" w:cs="Times New Roman"/>
        </w:rPr>
        <w:br w:type="page"/>
      </w:r>
    </w:p>
    <w:p w14:paraId="154A1ADB" w14:textId="77777777" w:rsidR="000F7E56" w:rsidRPr="000F7E56" w:rsidRDefault="000F7E56" w:rsidP="000F7E56">
      <w:pPr>
        <w:spacing w:after="120" w:line="360" w:lineRule="auto"/>
        <w:rPr>
          <w:rFonts w:ascii="Calibri" w:eastAsia="Calibri" w:hAnsi="Calibri" w:cs="Times New Roman"/>
        </w:rPr>
      </w:pPr>
    </w:p>
    <w:p w14:paraId="56F5099E" w14:textId="77777777" w:rsidR="000F7E56" w:rsidRPr="000F7E56" w:rsidRDefault="000F7E56" w:rsidP="000F7E56">
      <w:pPr>
        <w:keepNext/>
        <w:keepLines/>
        <w:spacing w:before="40" w:after="0" w:line="360" w:lineRule="auto"/>
        <w:jc w:val="center"/>
        <w:outlineLvl w:val="1"/>
        <w:rPr>
          <w:rFonts w:asciiTheme="majorHAnsi" w:eastAsiaTheme="majorEastAsia" w:hAnsiTheme="majorHAnsi" w:cstheme="majorBidi"/>
          <w:color w:val="2F5496" w:themeColor="accent1" w:themeShade="BF"/>
          <w:sz w:val="52"/>
          <w:szCs w:val="52"/>
        </w:rPr>
      </w:pPr>
      <w:bookmarkStart w:id="415" w:name="_Toc106697852"/>
      <w:r w:rsidRPr="000F7E56">
        <w:rPr>
          <w:rFonts w:asciiTheme="majorHAnsi" w:eastAsiaTheme="majorEastAsia" w:hAnsiTheme="majorHAnsi" w:cstheme="majorBidi"/>
          <w:color w:val="2F5496" w:themeColor="accent1" w:themeShade="BF"/>
          <w:sz w:val="52"/>
          <w:szCs w:val="52"/>
        </w:rPr>
        <w:t>Chapter 7: Discussion and Conclusions</w:t>
      </w:r>
      <w:bookmarkEnd w:id="415"/>
    </w:p>
    <w:p w14:paraId="117EC5DF" w14:textId="77777777" w:rsidR="000F7E56" w:rsidRPr="000F7E56" w:rsidRDefault="000F7E56" w:rsidP="000F7E56">
      <w:pPr>
        <w:keepNext/>
        <w:keepLines/>
        <w:spacing w:before="40" w:after="0" w:line="360" w:lineRule="auto"/>
        <w:outlineLvl w:val="1"/>
        <w:rPr>
          <w:rFonts w:asciiTheme="majorHAnsi" w:eastAsiaTheme="majorEastAsia" w:hAnsiTheme="majorHAnsi" w:cstheme="majorBidi"/>
          <w:color w:val="2F5496" w:themeColor="accent1" w:themeShade="BF"/>
          <w:sz w:val="24"/>
          <w:szCs w:val="24"/>
        </w:rPr>
      </w:pPr>
      <w:bookmarkStart w:id="416" w:name="_Toc106697853"/>
      <w:r w:rsidRPr="000F7E56">
        <w:rPr>
          <w:rFonts w:asciiTheme="majorHAnsi" w:eastAsiaTheme="majorEastAsia" w:hAnsiTheme="majorHAnsi" w:cstheme="majorBidi"/>
          <w:color w:val="2F5496" w:themeColor="accent1" w:themeShade="BF"/>
          <w:sz w:val="24"/>
          <w:szCs w:val="24"/>
        </w:rPr>
        <w:t>Introduction</w:t>
      </w:r>
      <w:bookmarkEnd w:id="416"/>
    </w:p>
    <w:p w14:paraId="4779BCD3" w14:textId="1ACD2268" w:rsidR="000F7E56" w:rsidRPr="000F7E56" w:rsidRDefault="000F7E56" w:rsidP="000F7E56">
      <w:pPr>
        <w:spacing w:line="360" w:lineRule="auto"/>
        <w:rPr>
          <w:rFonts w:cs="Arial"/>
        </w:rPr>
      </w:pPr>
      <w:r w:rsidRPr="000F7E56">
        <w:rPr>
          <w:rFonts w:cs="Arial"/>
        </w:rPr>
        <w:t xml:space="preserve">Our learning over the last 35 months from patients and families from a diversity of ethnic, faith and socio-cultural backgrounds who were living with advanced disease and with the likelihood of deterioration and dying over the coming months has been described in the previous chapters. These accounts paint a rich and diverse picture of how people live with the prospect of their death and whether and how they consider their future.  </w:t>
      </w:r>
    </w:p>
    <w:p w14:paraId="244DC910" w14:textId="599BE072" w:rsidR="000F7E56" w:rsidRPr="000F7E56" w:rsidRDefault="000F7E56" w:rsidP="000F7E56">
      <w:pPr>
        <w:spacing w:line="360" w:lineRule="auto"/>
      </w:pPr>
      <w:r w:rsidRPr="000F7E56">
        <w:t>We acknowledge the difficulties in summarising participant experiences and perspectives because these relate to many clinical encounters in many different settings and are characterised by great diversity.</w:t>
      </w:r>
      <w:r w:rsidRPr="000F7E56">
        <w:fldChar w:fldCharType="begin"/>
      </w:r>
      <w:r w:rsidR="000D5597">
        <w:instrText xml:space="preserve"> ADDIN ZOTERO_ITEM CSL_CITATION {"citationID":"mGygpId6","properties":{"formattedCitation":"\\super 134\\nosupersub{}","plainCitation":"134","noteIndex":0},"citationItems":[{"id":1760,"uris":["http://zotero.org/users/8748280/items/W9T2P4I2"],"itemData":{"id":1760,"type":"article-journal","abstract":"&lt;h3&gt;Background&lt;/h3&gt; &lt;p&gt;The unprecedented scale of contemporary migration across countries over the last decade means that ageing and dying occur in a more globalised, multicultural context. It is therefore essential to explore the end-of-life experiences of older people from migrant backgrounds.&lt;/p&gt;&lt;h3&gt;Methods&lt;/h3&gt; &lt;p&gt;A scoping review of peer-reviewed articles published in English from 2008 to 2018. Included studies addressed end-of-life preferences, attitudes, values and beliefs of first-generation international migrants who were at least 50 years of age.&lt;/p&gt;&lt;h3&gt;Results&lt;/h3&gt; &lt;p&gt;Fifteen studies met the inclusion criteria for this review, which addressed six key themes: (1) the reluctance among older migrants and their families to talk about death and dying; (2) difficult communication in patient-clinician relationships; (3) the contrast between collectivistic and individualistic norms and its associated end-of-life preferences; (4) limited health literacy in older adults from migrant backgrounds; (5) experiences with systemic barriers like time pressure, inflexibility of service provision and lack of cultural sensitivity and (6) the need for care providers to appreciate migrants’ ‘double home experience’ and what this means for end-of-life decision-making regarding place of care and place of death.&lt;/p&gt;&lt;h3&gt;Discussion&lt;/h3&gt; &lt;p&gt;To respond effectively to an increasingly culturally diverse population, healthcare staff, researchers and policymakers need to invest in the provision of culturally sensitive end-of-life care. Areas for improvement include: (a) increased awareness of cultural needs and the role of family members; (b) cultural training for healthcare staff; (c) access to interpreters and translated information and (d) involvement of older migrants in end-of-life discussions, research and policymaking.&lt;/p&gt;","container-title":"BMJ Supportive &amp; Palliative Care","DOI":"10.1136/bmjspcare-2020-002617","ISSN":"2045-435X, 2045-4368","language":"en","note":"publisher: British Medical Journal Publishing Group\nsection: Review\nPMID: 33298550","source":"spcare.bmj.com","title":"End-of-life care for older first-generation migrants: a scoping review","title-short":"End-of-life care for older first-generation migrants","URL":"https://spcare.bmj.com/content/early/2020/12/09/bmjspcare-2020-002617","author":[{"family":"Gerber","given":"Katrin"},{"family":"Maharaj","given":"Emma"},{"family":"Brijnath","given":"Bianca"},{"family":"Antoniades","given":"Josefine"}],"accessed":{"date-parts":[["2021",12,8]]},"issued":{"date-parts":[["2020",12,9]]}}}],"schema":"https://github.com/citation-style-language/schema/raw/master/csl-citation.json"} </w:instrText>
      </w:r>
      <w:r w:rsidRPr="000F7E56">
        <w:fldChar w:fldCharType="separate"/>
      </w:r>
      <w:r w:rsidR="000D5597" w:rsidRPr="000D5597">
        <w:rPr>
          <w:rFonts w:ascii="Calibri" w:hAnsi="Calibri" w:cs="Times New Roman"/>
          <w:szCs w:val="24"/>
          <w:vertAlign w:val="superscript"/>
        </w:rPr>
        <w:t>134</w:t>
      </w:r>
      <w:r w:rsidRPr="000F7E56">
        <w:fldChar w:fldCharType="end"/>
      </w:r>
      <w:r w:rsidRPr="000F7E56">
        <w:t xml:space="preserve"> However, despite specific areas of dissatisfaction, most participants were broadly positive about their experience of care for the patient. A few had serious complaints and some were extremely satisfied.  Dissatisfaction tended to relate to general shortcomings in care and communication which have been widely reported previously.</w:t>
      </w:r>
      <w:r w:rsidRPr="000F7E56">
        <w:fldChar w:fldCharType="begin"/>
      </w:r>
      <w:r w:rsidR="000D5597">
        <w:instrText xml:space="preserve"> ADDIN ZOTERO_ITEM CSL_CITATION {"citationID":"gmBa5qBL","properties":{"formattedCitation":"\\super 26,75\\nosupersub{}","plainCitation":"26,75","noteIndex":0},"citationItems":[{"id":"aZbwIlcN/wakglVR0","uris":["http://zotero.org/users/6587080/items/TLXFQBFS"],"itemData":{"id":"StNojVUY/YI1TsDXY","type":"article-journal","abstract":"Background\nEvidence of low end-of-life (EoL) care service use by minority ethnic groups in the UK has given rise to a body of research and a number of reviews of the literature. This article aims to review and evaluate literature reviews on minority ethnic groups and EoL care in the UK and assess their suitability as an evidence base for policy.\n\nMethods\nSystematic review. Searches were carried out in thirteen electronic databases, eight journals, reference lists, and grey literature. Reviews were included if they concerned minority ethnic groups and EoL care in the UK. Reviews were graded for quality and key themes identified.\n\nResults\nThirteen reviews (2001-2009) met inclusion criteria. Seven took a systematic approach, of which four scored highly for methodological quality (a mean score of six, median seven). The majority of systematic reviews were therefore of a reasonable methodological quality. Most reviews were restricted by ethnic group, aspect of EoL care, or were broader reviews which reported relevant findings. Six key themes were identified.\n\nConclusions\nA number of reviews were systematic and scored highly for methodological quality. These reviews provide a good reflection of the primary evidence and could be used to inform policy. The complexity and inter-relatedness of factors leading to low service use was recognised and reflected in reviews' recommendations for service improvement. Recommendations made in the UK End-of-Life Care Strategy were limited in comparison, and the Strategy's evidence base concerning minority ethnic groups was found to be narrow. Future policy should be embedded strongly in the evidence base to reflect the current literature and minimise bias.","container-title":"BMC Health Services Research","DOI":"10.1186/1472-6963-11-141","ISSN":"1472-6963","journalAbbreviation":"BMC Health Serv Res","page":"141","source":"PubMed Central","title":"Appraisal of literature reviews on end-of-life care for minority ethnic groups in the UK and a critical comparison with policy recommendations from the UK end-of-life care strategy","volume":"11","author":[{"family":"Evans","given":"Natalie"},{"family":"Meñaca","given":"Arantza"},{"family":"Andrew","given":"Erin VW"},{"family":"Koffman","given":"Jonathan"},{"family":"Harding","given":"Richard"},{"family":"Higginson","given":"Irene J."},{"family":"Pool","given":"Robert"},{"family":"Gysels","given":"Marjolein"}],"issued":{"date-parts":[["2011",6,2]]}}},{"id":"aZbwIlcN/ixzzP0d4","uris":["http://zotero.org/users/6587080/items/FMPAAJBE"],"itemData":{"id":"StNojVUY/z50hz84o","type":"article-journal","abstract":"Background: Advance care planning (ACP) enables patients to consider, discuss and, if they wish, document their wishes and preferences for future care, including decisions to refuse treatment, in the event that they lose capacity to make decisions for themselves. ACP is a key component of UK health policy to improve the experience of death and dying for patients and their families. There is limited evidence about how patients and health professionals understand ACP, or when and how this is initiated. It is evident that many people find discussion of and planning for end of life care difficult, and tend to avoid the topic. Aim: To investigate how patients, their relatives and health professionals initiate and experience discussion of ACP and the outcomes of advance discussions in shaping care at the end of life. Design and data collection: Qualitative study with two workstreams: (1) interviews with 37 health professionals (general practitioners, specialist nurses and community nurses) about their experiences of ACP; and (2) longitudinal case studies of 21 patients with 6-month follow-up. Cases included a patient and, where possible, a nominated key relative and/or health professional as well as a review of medical records. Complete case triads were obtained for 11 patients. Four cases comprised the patient alone, where respondents were unable or unwilling to nominate either a family member or a professional carer they wished to include in the study. Patients were identified as likely to be within the last 6 months of life. Ninety-seven interviews were completed in total. Setting: General practices and community care settings in the East Midlands of England. Findings: The study found ACP to be uncommon and focused primarily on specific documented tasks involving decisions about preferred place of death and cardiopulmonary resuscitation, supporting earlier research. There was no evidence of ACP in nearly half (9 of 21) of patient cases. Professionals reported ACP discussions to be challenging. It was difficult to recognise when patients had entered the last year of life, or to identify their readiness to consider future planning. Patients often did not wish to do so before they had become gravely ill. Consequently, ACP discussions tended to be reactive, rather than pre-emptive, occurring in response to critical events or evidence of marked deterioration. ACP discussions intersected two parallel strands of planning: professional organisation and co-ordination of care; and the practical and emotional preparatory work that patients and families undertook to prepare themselves for death. Reference to ACP as a means of guiding decisions for patients who had lost capacity was rare. Conclusions: Advance care planning remains uncommon, is often limited to documentation of a few key decisions, is reported to be challenging by many health professionals, is not welcomed by a substantial number of patients and tends to be postponed until death is clearly imminent. Current implementation largely ignores the purpose of ACP as a means of extending personal autonomy in the event of lost capacity. Future work: Attention should be paid to public attitudes to death and dying (including those of culturally diverse and ethnic minority groups), place of death, resuscitation and the value of anticipatory planning. In addition the experiences and needs of two under-researched groups should be explored: the frail elderly, including those who manage complex comorbid conditions, unrecognised as vulnerable cases; and those patients affected by stigmatised conditions, such as substance abuse or serious mental illness who fail to engage constructively with services and are not recognised as suitable referrals for palliative and end of life care. Funding: The National Institute for Health Research Health Services and Delivery Research programme.","container-title":"Health Services and Delivery Research","DOI":"10.3310/hsdr03310","ISSN":"2050-4349","issue":"31","language":"eng","page":"1-138","source":"librarysearch.le.ac.uk","title":"Care and communication between health professionals and patients affected by severe or chronic illness in community care settings: a qualitative study of care at the end of life","title-short":"Care and communication between health professionals and patients affected by severe or chronic illness in community care settings","volume":"3","author":[{"family":"Pollock","given":"Kristian"},{"family":"Wilson","given":"Eleanor"}],"issued":{"date-parts":[["2015"]]}}}],"schema":"https://github.com/citation-style-language/schema/raw/master/csl-citation.json"} </w:instrText>
      </w:r>
      <w:r w:rsidRPr="000F7E56">
        <w:fldChar w:fldCharType="separate"/>
      </w:r>
      <w:r w:rsidR="00496C3B" w:rsidRPr="00496C3B">
        <w:rPr>
          <w:rFonts w:ascii="Calibri" w:hAnsi="Calibri" w:cs="Calibri"/>
          <w:szCs w:val="24"/>
          <w:vertAlign w:val="superscript"/>
        </w:rPr>
        <w:t>26,75</w:t>
      </w:r>
      <w:r w:rsidRPr="000F7E56">
        <w:fldChar w:fldCharType="end"/>
      </w:r>
      <w:r w:rsidRPr="000F7E56">
        <w:t xml:space="preserve"> A few complaints were specific to the patient’s ethnicity and culture but overall, this was not a strong theme in the data. </w:t>
      </w:r>
    </w:p>
    <w:p w14:paraId="57786CBD" w14:textId="512C8832" w:rsidR="00C232A9" w:rsidRDefault="000F7E56" w:rsidP="000F7E56">
      <w:pPr>
        <w:spacing w:line="360" w:lineRule="auto"/>
      </w:pPr>
      <w:r w:rsidRPr="000F7E56">
        <w:t>Our findings highlight the unique nature of every patient and family, and the differences between individuals within the same family and ethnic group as well as between them. They also reveal many similarities in the experiences of end-of-life care and communication between patients and FCGs from ED groups and the wider UK population as well as their responses to these.</w:t>
      </w:r>
      <w:r w:rsidRPr="000F7E56">
        <w:fldChar w:fldCharType="begin"/>
      </w:r>
      <w:r w:rsidR="000D5597">
        <w:instrText xml:space="preserve"> ADDIN ZOTERO_ITEM CSL_CITATION {"citationID":"lgF0MhZ7","properties":{"formattedCitation":"\\super 72,91\\nosupersub{}","plainCitation":"72,91","noteIndex":0},"citationItems":[{"id":1754,"uris":["http://zotero.org/users/8748280/items/A2J52N9I"],"itemData":{"id":1754,"type":"report","page":"2-24","publisher":"Woolf Institute","title":"Advance  care  planning   and  Muslim  communities A report commissioned by   Compassion in Dying as part of   the  My Life, My Decision  programme","URL":"http://www. faithaction.net/portal/wp-content/uploads/cidplanning-muslim-1.pdf","author":[{"family":"Ahmed","given":"Sughra"},{"family":"Siddiqi, Naved","given":""}],"issued":{"date-parts":[["2016",10]]}}},{"id":"aZbwIlcN/bFtuM6GG","uris":["http://zotero.org/users/6587080/items/ZJ6TBQN2"],"itemData":{"id":"StNojVUY/DGP1m0b7","type":"article-journal","abstract":"This paper presents findings from two linked studies of white (n = 77) and Chinese (n = 92) older adults living in the UK, which sought their views about end‐of‐life care. We focus particularly on ex...","container-title":"Sociology of Health &amp; Illness","DOI":"10.1111/j.1467-9566.2007.01045.x","ISSN":"1467-9566","issue":"6","language":"en","note":"publisher: John Wiley &amp; Sons, Ltd","page":"872-890","source":"onlinelibrary.wiley.com","title":"Hospice or home? Expectations of end‐of‐life care among white and Chinese older people in the UK","title-short":"Hospice or home?","volume":"29","author":[{"family":"Seymour","given":"Jane"},{"family":"Payne","given":"Sheila"},{"family":"Chapman","given":"Alice"},{"family":"Holloway","given":"Margaret"}],"issued":{"date-parts":[["2007",9,1]]}}}],"schema":"https://github.com/citation-style-language/schema/raw/master/csl-citation.json"} </w:instrText>
      </w:r>
      <w:r w:rsidRPr="000F7E56">
        <w:fldChar w:fldCharType="separate"/>
      </w:r>
      <w:r w:rsidR="00496C3B" w:rsidRPr="00496C3B">
        <w:rPr>
          <w:rFonts w:ascii="Calibri" w:hAnsi="Calibri" w:cs="Calibri"/>
          <w:szCs w:val="24"/>
          <w:vertAlign w:val="superscript"/>
        </w:rPr>
        <w:t>72,91</w:t>
      </w:r>
      <w:r w:rsidRPr="000F7E56">
        <w:fldChar w:fldCharType="end"/>
      </w:r>
      <w:r w:rsidRPr="000F7E56">
        <w:t xml:space="preserve"> </w:t>
      </w:r>
      <w:r w:rsidR="0042059C">
        <w:t xml:space="preserve">  </w:t>
      </w:r>
      <w:r w:rsidR="00BB5345">
        <w:t>Previous work by co-applicant Pollock with White British participants</w:t>
      </w:r>
      <w:r w:rsidR="00BB5345" w:rsidRPr="00BB5345">
        <w:t xml:space="preserve"> </w:t>
      </w:r>
      <w:r w:rsidR="00BB5345">
        <w:t xml:space="preserve">concerning ACP discussions, has found that prognostic uncertainties made </w:t>
      </w:r>
      <w:r w:rsidR="00903C8D">
        <w:t>such discussions challenging</w:t>
      </w:r>
      <w:r w:rsidR="00BB5345">
        <w:t xml:space="preserve"> and that many HCPs found raising the topic and recognising when patients were ready to talk about the future was difficult.  Most patients preferred to leave such discussions until they had become severely unwell and </w:t>
      </w:r>
      <w:r w:rsidR="005B416F">
        <w:t xml:space="preserve">the </w:t>
      </w:r>
      <w:r w:rsidR="00BB5345">
        <w:t xml:space="preserve">findings challenged the policy assumptions about ACP that </w:t>
      </w:r>
      <w:r w:rsidR="0070456A">
        <w:t xml:space="preserve">all </w:t>
      </w:r>
      <w:r w:rsidR="00BB5345">
        <w:t>patients wish for</w:t>
      </w:r>
      <w:r w:rsidR="005B416F">
        <w:t>,</w:t>
      </w:r>
      <w:r w:rsidR="00BB5345">
        <w:t xml:space="preserve"> </w:t>
      </w:r>
      <w:r w:rsidR="005B416F">
        <w:t xml:space="preserve">or would benefit from, </w:t>
      </w:r>
      <w:r w:rsidR="00BB5345">
        <w:t>an open discussion about death.</w:t>
      </w:r>
      <w:r w:rsidR="00903C8D">
        <w:t xml:space="preserve"> </w:t>
      </w:r>
      <w:r w:rsidR="009B225B">
        <w:fldChar w:fldCharType="begin"/>
      </w:r>
      <w:r w:rsidR="000D5597">
        <w:instrText xml:space="preserve"> ADDIN ZOTERO_ITEM CSL_CITATION {"citationID":"a16mtei11vl","properties":{"formattedCitation":"\\super 75\\nosupersub{}","plainCitation":"75","noteIndex":0},"citationItems":[{"id":"aZbwIlcN/ixzzP0d4","uris":["http://zotero.org/users/6587080/items/FMPAAJBE"],"itemData":{"id":"aZbwIlcN/ixzzP0d4","type":"article-journal","abstract":"Background: Advance care planning (ACP) enables patients to consider, discuss and, if they wish, document their wishes and preferences for future care, including decisions to refuse treatment, in the event that they lose capacity to make decisions for themselves. ACP is a key component of UK health policy to improve the experience of death and dying for patients and their families. There is limited evidence about how patients and health professionals understand ACP, or when and how this is initiated. It is evident that many people find discussion of and planning for end of life care difficult, and tend to avoid the topic. Aim: To investigate how patients, their relatives and health professionals initiate and experience discussion of ACP and the outcomes of advance discussions in shaping care at the end of life. Design and data collection: Qualitative study with two workstreams: (1) interviews with 37 health professionals (general practitioners, specialist nurses and community nurses) about their experiences of ACP; and (2) longitudinal case studies of 21 patients with 6-month follow-up. Cases included a patient and, where possible, a nominated key relative and/or health professional as well as a review of medical records. Complete case triads were obtained for 11 patients. Four cases comprised the patient alone, where respondents were unable or unwilling to nominate either a family member or a professional carer they wished to include in the study. Patients were identified as likely to be within the last 6 months of life. Ninety-seven interviews were completed in total. Setting: General practices and community care settings in the East Midlands of England. Findings: The study found ACP to be uncommon and focused primarily on specific documented tasks involving decisions about preferred place of death and cardiopulmonary resuscitation, supporting earlier research. There was no evidence of ACP in nearly half (9 of 21) of patient cases. Professionals reported ACP discussions to be challenging. It was difficult to recognise when patients had entered the last year of life, or to identify their readiness to consider future planning. Patients often did not wish to do so before they had become gravely ill. Consequently, ACP discussions tended to be reactive, rather than pre-emptive, occurring in response to critical events or evidence of marked deterioration. ACP discussions intersected two parallel strands of planning: professional organisation and co-ordination of care; and the practical and emotional preparatory work that patients and families undertook to prepare themselves for death. Reference to ACP as a means of guiding decisions for patients who had lost capacity was rare. Conclusions: Advance care planning remains uncommon, is often limited to documentation of a few key decisions, is reported to be challenging by many health professionals, is not welcomed by a substantial number of patients and tends to be postponed until death is clearly imminent. Current implementation largely ignores the purpose of ACP as a means of extending personal autonomy in the event of lost capacity. Future work: Attention should be paid to public attitudes to death and dying (including those of culturally diverse and ethnic minority groups), place of death, resuscitation and the value of anticipatory planning. In addition the experiences and needs of two under-researched groups should be explored: the frail elderly, including those who manage complex comorbid conditions, unrecognised as vulnerable cases; and those patients affected by stigmatised conditions, such as substance abuse or serious mental illness who fail to engage constructively with services and are not recognised as suitable referrals for palliative and end of life care. Funding: The National Institute for Health Research Health Services and Delivery Research programme.","container-title":"Health Services and Delivery Research","DOI":"10.3310/hsdr03310","ISSN":"2050-4349","issue":"31","language":"eng","page":"1-138","source":"librarysearch.le.ac.uk","title":"Care and communication between health professionals and patients affected by severe or chronic illness in community care settings: a qualitative study of care at the end of life","title-short":"Care and communication between health professionals and patients affected by severe or chronic illness in community care settings","volume":"3","author":[{"family":"Pollock","given":"Kristian"},{"family":"Wilson","given":"Eleanor"}],"issued":{"date-parts":[["2015"]]}}}],"schema":"https://github.com/citation-style-language/schema/raw/master/csl-citation.json"} </w:instrText>
      </w:r>
      <w:r w:rsidR="009B225B">
        <w:fldChar w:fldCharType="separate"/>
      </w:r>
      <w:r w:rsidR="000D5597" w:rsidRPr="000D5597">
        <w:rPr>
          <w:rFonts w:ascii="Calibri" w:hAnsi="Calibri" w:cs="Times New Roman"/>
          <w:szCs w:val="24"/>
          <w:vertAlign w:val="superscript"/>
        </w:rPr>
        <w:t>75</w:t>
      </w:r>
      <w:r w:rsidR="009B225B">
        <w:fldChar w:fldCharType="end"/>
      </w:r>
    </w:p>
    <w:p w14:paraId="419EE93D" w14:textId="0281CAF1" w:rsidR="00BB5345" w:rsidRDefault="00C232A9" w:rsidP="000F7E56">
      <w:pPr>
        <w:spacing w:line="360" w:lineRule="auto"/>
      </w:pPr>
      <w:r>
        <w:t>Furthermore a</w:t>
      </w:r>
      <w:r w:rsidR="00903C8D">
        <w:t xml:space="preserve"> systematic review of the ACP experiences of patients with life-limiting illness identified </w:t>
      </w:r>
      <w:r w:rsidR="005B416F">
        <w:t xml:space="preserve">diversity of experiences and individual preferences in engaging in discussions aligned to </w:t>
      </w:r>
      <w:r w:rsidR="00903C8D">
        <w:t>three themes</w:t>
      </w:r>
      <w:r w:rsidR="00026E35">
        <w:t xml:space="preserve"> that can be seen as a continuum along which patient receptiveness and desire for ACP </w:t>
      </w:r>
      <w:r>
        <w:t xml:space="preserve">rest but may also </w:t>
      </w:r>
      <w:r w:rsidR="00026E35">
        <w:t>fluctuate, bi-directionally, during their illness</w:t>
      </w:r>
      <w:r w:rsidR="00903C8D">
        <w:t xml:space="preserve">: ambivalence </w:t>
      </w:r>
      <w:r w:rsidR="005B416F">
        <w:t>to</w:t>
      </w:r>
      <w:r w:rsidR="00903C8D">
        <w:t xml:space="preserve"> the </w:t>
      </w:r>
      <w:r w:rsidR="005B416F">
        <w:t xml:space="preserve">balance of </w:t>
      </w:r>
      <w:r w:rsidR="00903C8D">
        <w:t xml:space="preserve">benefits and burdens of thinking ahead about future deterioration; </w:t>
      </w:r>
      <w:r w:rsidR="005B416F">
        <w:t>‘</w:t>
      </w:r>
      <w:r w:rsidR="00903C8D">
        <w:t>readiness</w:t>
      </w:r>
      <w:r w:rsidR="005B416F">
        <w:t>’</w:t>
      </w:r>
      <w:r w:rsidR="00903C8D">
        <w:t xml:space="preserve"> as a prerequisite for the benefits; and </w:t>
      </w:r>
      <w:r w:rsidR="005D4DBF">
        <w:t xml:space="preserve">a </w:t>
      </w:r>
      <w:r w:rsidR="00903C8D">
        <w:t>degree of openness or comfort in discussing preferences for the future.</w:t>
      </w:r>
      <w:r w:rsidR="00026E35">
        <w:t xml:space="preserve"> </w:t>
      </w:r>
      <w:r w:rsidR="009B225B">
        <w:fldChar w:fldCharType="begin"/>
      </w:r>
      <w:r w:rsidR="000D5597">
        <w:instrText xml:space="preserve"> ADDIN ZOTERO_ITEM CSL_CITATION {"citationID":"a1rb535n4bn","properties":{"formattedCitation":"\\super 135\\nosupersub{}","plainCitation":"135","noteIndex":0},"citationItems":[{"id":2,"uris":["http://zotero.org/users/8748280/items/R55L4HBV"],"itemData":{"id":2,"type":"article-journal","container-title":"Palliative medicine","page":"0269216318784474","source":"Google Scholar","title":"Advance care planning: A systematic review about experiences of patients with a life-threatening or life-limiting illness","title-short":"Advance care planning","author":[{"family":"Zwakman","given":"M."},{"family":"Jabbarian","given":"L. J."},{"family":"Delden","given":"J. J. M.","non-dropping-particle":"van"},{"family":"Heide","given":"A.","non-dropping-particle":"van der"},{"family":"Korfage","given":"I. J."},{"family":"Pollock","given":"K."},{"family":"Rietjens","given":"J. A. C."},{"family":"Seymour","given":"J."},{"family":"Kars","given":"M. C."}],"issued":{"date-parts":[["2018"]]}}}],"schema":"https://github.com/citation-style-language/schema/raw/master/csl-citation.json"} </w:instrText>
      </w:r>
      <w:r w:rsidR="009B225B">
        <w:fldChar w:fldCharType="separate"/>
      </w:r>
      <w:r w:rsidR="000D5597" w:rsidRPr="000D5597">
        <w:rPr>
          <w:rFonts w:ascii="Calibri" w:hAnsi="Calibri" w:cs="Times New Roman"/>
          <w:szCs w:val="24"/>
          <w:vertAlign w:val="superscript"/>
        </w:rPr>
        <w:t>135</w:t>
      </w:r>
      <w:r w:rsidR="009B225B">
        <w:fldChar w:fldCharType="end"/>
      </w:r>
      <w:r w:rsidR="00026E35">
        <w:t xml:space="preserve"> These themes interlink a</w:t>
      </w:r>
      <w:r w:rsidR="005D4DBF">
        <w:t>s</w:t>
      </w:r>
      <w:r w:rsidR="00026E35">
        <w:t xml:space="preserve"> ‘two sides of the coin’ with respect to barriers and enablers to both discussions about future deterioration and </w:t>
      </w:r>
      <w:r w:rsidR="004E2A13">
        <w:t xml:space="preserve">the </w:t>
      </w:r>
      <w:r w:rsidR="004E2A13">
        <w:lastRenderedPageBreak/>
        <w:t xml:space="preserve">development of personalised </w:t>
      </w:r>
      <w:r>
        <w:t xml:space="preserve">advance care </w:t>
      </w:r>
      <w:r w:rsidR="00026E35">
        <w:t>plans that seek to en</w:t>
      </w:r>
      <w:r w:rsidR="00CA1DDB">
        <w:t xml:space="preserve">able </w:t>
      </w:r>
      <w:r w:rsidR="00026E35">
        <w:t xml:space="preserve"> </w:t>
      </w:r>
      <w:r>
        <w:t xml:space="preserve">self-determined </w:t>
      </w:r>
      <w:r w:rsidR="00026E35">
        <w:t xml:space="preserve">preferences </w:t>
      </w:r>
      <w:r>
        <w:t>in that future.</w:t>
      </w:r>
    </w:p>
    <w:p w14:paraId="57273F8E" w14:textId="7D9500E1" w:rsidR="000F7E56" w:rsidRPr="000F7E56" w:rsidRDefault="00BB5345" w:rsidP="000F7E56">
      <w:pPr>
        <w:spacing w:line="360" w:lineRule="auto"/>
      </w:pPr>
      <w:r>
        <w:t xml:space="preserve"> </w:t>
      </w:r>
      <w:r w:rsidR="00C232A9">
        <w:t xml:space="preserve">Our findings affirm these </w:t>
      </w:r>
      <w:r w:rsidR="00745BD4">
        <w:t>underpinning</w:t>
      </w:r>
      <w:r w:rsidR="00C232A9">
        <w:t xml:space="preserve"> themes </w:t>
      </w:r>
      <w:r w:rsidR="004E2A13">
        <w:t xml:space="preserve">in </w:t>
      </w:r>
      <w:r w:rsidR="00425D1C">
        <w:t xml:space="preserve">presenting </w:t>
      </w:r>
      <w:r w:rsidR="009B54E5">
        <w:t>barriers</w:t>
      </w:r>
      <w:r w:rsidR="00425D1C">
        <w:t xml:space="preserve"> and facilitators for </w:t>
      </w:r>
      <w:r w:rsidR="004E2A13">
        <w:t>people from a  diversity of ethnic and religious backgrounds</w:t>
      </w:r>
      <w:r w:rsidR="00BA3A32">
        <w:t>. A</w:t>
      </w:r>
      <w:r w:rsidR="0004294B">
        <w:t>dditionally</w:t>
      </w:r>
      <w:r w:rsidR="00BA3A32">
        <w:t>, they</w:t>
      </w:r>
      <w:r w:rsidR="0004294B">
        <w:t xml:space="preserve"> </w:t>
      </w:r>
      <w:r w:rsidR="00903C8D">
        <w:t xml:space="preserve">indicate that </w:t>
      </w:r>
      <w:r w:rsidR="000F7E56" w:rsidRPr="000F7E56">
        <w:t xml:space="preserve">there are distinctive </w:t>
      </w:r>
      <w:r w:rsidR="00515856">
        <w:t xml:space="preserve">and highly nuanced </w:t>
      </w:r>
      <w:r w:rsidR="000F7E56" w:rsidRPr="000F7E56">
        <w:t>aspects of the experience and circumstances of patients and FCGs from ED communities which compound the</w:t>
      </w:r>
      <w:r w:rsidR="00903C8D">
        <w:t xml:space="preserve"> complexities</w:t>
      </w:r>
      <w:r w:rsidR="000F7E56" w:rsidRPr="000F7E56">
        <w:t xml:space="preserve"> </w:t>
      </w:r>
      <w:r w:rsidR="004C7A6A">
        <w:t>alluded</w:t>
      </w:r>
      <w:r w:rsidR="00C232A9">
        <w:t xml:space="preserve"> to </w:t>
      </w:r>
      <w:r w:rsidR="000F7E56" w:rsidRPr="000F7E56">
        <w:t xml:space="preserve">in </w:t>
      </w:r>
      <w:r w:rsidR="00C232A9">
        <w:t xml:space="preserve">other </w:t>
      </w:r>
      <w:r w:rsidR="000F7E56" w:rsidRPr="000F7E56">
        <w:t xml:space="preserve">studies </w:t>
      </w:r>
      <w:r w:rsidR="00C232A9">
        <w:t xml:space="preserve">of ED and palliative care </w:t>
      </w:r>
      <w:r w:rsidR="000F7E56" w:rsidRPr="000F7E56">
        <w:t>the UK.</w:t>
      </w:r>
      <w:r w:rsidR="000F7E56" w:rsidRPr="000F7E56">
        <w:fldChar w:fldCharType="begin"/>
      </w:r>
      <w:r w:rsidR="000D5597">
        <w:instrText xml:space="preserve"> ADDIN ZOTERO_ITEM CSL_CITATION {"citationID":"a11ds1favgk","properties":{"formattedCitation":"\\super 25,136,137\\nosupersub{}","plainCitation":"25,136,137","noteIndex":0},"citationItems":[{"id":"aZbwIlcN/vqPrqkfi","uris":["http://zotero.org/users/6587080/items/E73EUZV4"],"itemData":{"id":"StNojVUY/iX8zwJOa","type":"report","language":"en","page":"79","publisher":"King’s College London, Cicely Saunders Institute","source":"Zotero","title":"Palliative and end of life for Black, Asian and Minority Ethnic groups in the UK","author":[{"family":"Calanzani","given":"Natalia"},{"family":"Koffman","given":"Dr Jonathan"},{"family":"Higginson","given":"Irene J."}],"issued":{"date-parts":[["2013",6]]}}},{"id":157,"uris":["http://zotero.org/users/8748280/items/XS76FZSD"],"itemData":{"id":157,"type":"article-journal","abstract":"Context\nPatients from minority ethnic groups experience lower rates of referrals to end-of-life (EoL) care services, higher levels of dissatisfaction with services, and perceive some services as culturally inappropriate.\nObjectives\nTo systematically review original studies of minority ethnic groups and EoL care in the U.K. and appraise their quality.\nMethods\nSearches were carried out in 13 electronic databases, eight journals, reference lists, and the gray literature. Studies of minority ethnic groups and EoL care in the U.K. were included. Studies were graded for quality and key themes were identified.\nResults\nForty-five studies met inclusion criteria. Study quality was good on average. Identified key themes included age structure; inequality by disease group; referrals; caregivers; place of care and death; awareness of services and communication; and cultural competency. Strategies described for the reduction of inequities were partial and reactive. The format of 10 studies prevented quality grading; these were, however, reviewed as they provided unique insights. Variations in terminology and sampling frames complicated comparison across studies.\nConclusion\nThe results highlight the multiple and related factors that contribute to low service use and substandard quality of services experienced by minority ethnic groups, and the need for authors to clarify what they mean by “culturally competent” EoL care. The synthesis of diverse and disparate studies underpins a number of key recommendations for health care professionals and policymakers. Tackling these epidemiological, demographic, institutional, social, and cultural factors will require a systematic and organization-wide approach rather than the current piecemeal and reactive interventions.","container-title":"Journal of Pain and Symptom Management","DOI":"10.1016/j.jpainsymman.2011.04.012","ISSN":"0885-3924","issue":"2","journalAbbreviation":"Journal of Pain and Symptom Management","page":"261-286","source":"ScienceDirect","title":"Systematic Review of the Primary Research on Minority Ethnic Groups and End-of-Life Care From the United Kingdom","volume":"43","author":[{"family":"Evans","given":"Natalie"},{"family":"Meñaca","given":"Arantza"},{"family":"Andrew","given":"Erin V. W."},{"family":"Koffman","given":"Jonathan"},{"family":"Harding","given":"Richard"},{"family":"Higginson","given":"Irene J."},{"family":"Pool","given":"Robert"},{"family":"Gysels","given":"Marjolein"}],"issued":{"date-parts":[["2012",2,1]]}}},{"id":1763,"uris":["http://zotero.org/users/8748280/items/Y38BV843"],"itemData":{"id":1763,"type":"report","publisher":"Marie Curie Care UK","title":"Next Steps: improving end-of-life care for Black, Asian and Minority Ethnic people in the UK","URL":"mariecurie.org.uk/diversityreport","issued":{"date-parts":[["2014",1]]}}}],"schema":"https://github.com/citation-style-language/schema/raw/master/csl-citation.json"} </w:instrText>
      </w:r>
      <w:r w:rsidR="000F7E56" w:rsidRPr="000F7E56">
        <w:fldChar w:fldCharType="separate"/>
      </w:r>
      <w:r w:rsidR="000D5597" w:rsidRPr="000D5597">
        <w:rPr>
          <w:rFonts w:ascii="Calibri" w:hAnsi="Calibri" w:cs="Times New Roman"/>
          <w:szCs w:val="24"/>
          <w:vertAlign w:val="superscript"/>
        </w:rPr>
        <w:t>25,136,137</w:t>
      </w:r>
      <w:r w:rsidR="000F7E56" w:rsidRPr="000F7E56">
        <w:fldChar w:fldCharType="end"/>
      </w:r>
      <w:r w:rsidR="000F7E56" w:rsidRPr="000F7E56">
        <w:t xml:space="preserve"> The specific issues on which we focus here relate to the findings concerning: understanding and engaging with ‘end-of-life care planning’; prognosis; awareness of dying and thinking ahead; language, communication and decision-making; models of care and navigating a complex system of health care.</w:t>
      </w:r>
    </w:p>
    <w:p w14:paraId="17BE1523" w14:textId="12776D97" w:rsidR="000F7E56" w:rsidRPr="000F7E56" w:rsidRDefault="000F7E56" w:rsidP="000F7E56">
      <w:pPr>
        <w:keepNext/>
        <w:keepLines/>
        <w:spacing w:before="40" w:after="0" w:line="360" w:lineRule="auto"/>
        <w:outlineLvl w:val="1"/>
        <w:rPr>
          <w:rFonts w:asciiTheme="majorHAnsi" w:eastAsiaTheme="majorEastAsia" w:hAnsiTheme="majorHAnsi" w:cstheme="majorBidi"/>
          <w:color w:val="2F5496" w:themeColor="accent1" w:themeShade="BF"/>
          <w:sz w:val="24"/>
          <w:szCs w:val="24"/>
        </w:rPr>
      </w:pPr>
      <w:bookmarkStart w:id="417" w:name="_Toc106697854"/>
      <w:r w:rsidRPr="000F7E56">
        <w:rPr>
          <w:rFonts w:asciiTheme="majorHAnsi" w:eastAsiaTheme="majorEastAsia" w:hAnsiTheme="majorHAnsi" w:cstheme="majorBidi"/>
          <w:color w:val="2F5496" w:themeColor="accent1" w:themeShade="BF"/>
          <w:sz w:val="24"/>
          <w:szCs w:val="24"/>
        </w:rPr>
        <w:t xml:space="preserve">Understanding and engaging with </w:t>
      </w:r>
      <w:r w:rsidR="00DA32BF">
        <w:rPr>
          <w:rFonts w:asciiTheme="majorHAnsi" w:eastAsiaTheme="majorEastAsia" w:hAnsiTheme="majorHAnsi" w:cstheme="majorBidi"/>
          <w:color w:val="2F5496" w:themeColor="accent1" w:themeShade="BF"/>
          <w:sz w:val="24"/>
          <w:szCs w:val="24"/>
        </w:rPr>
        <w:t>end-of-life care planning</w:t>
      </w:r>
      <w:bookmarkEnd w:id="417"/>
    </w:p>
    <w:p w14:paraId="5E49EFB0" w14:textId="71F1BFA6" w:rsidR="00515856" w:rsidRDefault="000F7E56" w:rsidP="000F7E56">
      <w:pPr>
        <w:spacing w:after="0" w:line="360" w:lineRule="auto"/>
      </w:pPr>
      <w:r w:rsidRPr="000F7E56">
        <w:rPr>
          <w:rFonts w:ascii="Calibri" w:eastAsia="Calibri" w:hAnsi="Calibri" w:cs="Times New Roman"/>
        </w:rPr>
        <w:t>Our findings indicate that there is some confusion especially among patients and FCGs about what constitutes end-of-life care and when discussions concerning this should be triggered. This serves to confound the current policy that it is valuable for people to have such discussions if they are to be enabled to express preferences and plan future care and obtain appropriate services at the end-of-life.</w:t>
      </w:r>
      <w:r w:rsidRPr="000F7E56">
        <w:rPr>
          <w:rFonts w:ascii="Calibri" w:eastAsia="Calibri" w:hAnsi="Calibri" w:cs="Times New Roman"/>
        </w:rPr>
        <w:fldChar w:fldCharType="begin"/>
      </w:r>
      <w:r w:rsidR="000D5597">
        <w:rPr>
          <w:rFonts w:ascii="Calibri" w:eastAsia="Calibri" w:hAnsi="Calibri" w:cs="Times New Roman"/>
        </w:rPr>
        <w:instrText xml:space="preserve"> ADDIN ZOTERO_ITEM CSL_CITATION {"citationID":"XeL4BeYX","properties":{"formattedCitation":"\\super 138\\nosupersub{}","plainCitation":"138","noteIndex":0},"citationItems":[{"id":1764,"uris":["http://zotero.org/users/8748280/items/W5M9XVUV"],"itemData":{"id":1764,"type":"article-journal","abstract":"Advance care directives situate persons as rational and self-determining actors who can make anticipatory plans about their futures. This paper critically examines how people interpret individual and future-oriented approaches to medical decision-making with limited access to information and knowledge, and reduced opportunities to prepare and document their care preferences. Based on ethnographic research with Asian migrant families living in Adelaide, South Australia (August 2015–July 2018), it reveals a discord between planning for a finite future and the contingencies and continuities of social life. It unsettles the detached reasoning that is privileged in end-of-life decision-making and reveals limitations to “do-it-yourself” approaches to advance care directives which, it will be argued, not only forecasts potential futures but also forecloses them. Taking Derrida's critique of death and decision-making as a point of departure, it develops the concept of temporal dissonance as a theoretical framework to articulate the tensions that are constituted in advance care directives. The paper suggests that attention to temporal incongruities may help to shed light on the many complex interpretations of advance care directives and the difficulties of promoting them in diverse contexts.","container-title":"Social Science &amp; Medicine","DOI":"10.1016/j.socscimed.2018.08.035","ISSN":"0277-9536","journalAbbreviation":"Social Science &amp; Medicine","language":"en","page":"16-22","source":"ScienceDirect","title":"Forecasting and foreclosing futures: The temporal dissonance of advance care directives","title-short":"Forecasting and foreclosing futures","volume":"215","author":[{"family":"Zivkovic","given":"Tanya"}],"issued":{"date-parts":[["2018",10,1]]}}}],"schema":"https://github.com/citation-style-language/schema/raw/master/csl-citation.json"} </w:instrText>
      </w:r>
      <w:r w:rsidRPr="000F7E56">
        <w:rPr>
          <w:rFonts w:ascii="Calibri" w:eastAsia="Calibri" w:hAnsi="Calibri" w:cs="Times New Roman"/>
        </w:rPr>
        <w:fldChar w:fldCharType="separate"/>
      </w:r>
      <w:r w:rsidR="000D5597" w:rsidRPr="000D5597">
        <w:rPr>
          <w:rFonts w:ascii="Calibri" w:hAnsi="Calibri" w:cs="Times New Roman"/>
          <w:szCs w:val="24"/>
          <w:vertAlign w:val="superscript"/>
        </w:rPr>
        <w:t>138</w:t>
      </w:r>
      <w:r w:rsidRPr="000F7E56">
        <w:rPr>
          <w:rFonts w:ascii="Calibri" w:eastAsia="Calibri" w:hAnsi="Calibri" w:cs="Times New Roman"/>
        </w:rPr>
        <w:fldChar w:fldCharType="end"/>
      </w:r>
      <w:r w:rsidRPr="000F7E56">
        <w:rPr>
          <w:rFonts w:ascii="Calibri" w:eastAsia="Calibri" w:hAnsi="Calibri" w:cs="Times New Roman"/>
        </w:rPr>
        <w:t xml:space="preserve"> </w:t>
      </w:r>
      <w:r w:rsidRPr="000F7E56">
        <w:t xml:space="preserve">What constituted discussion about ‘thinking ahead’ and whether EOLCP had occurred was often ambiguous and hard to recognise. </w:t>
      </w:r>
    </w:p>
    <w:p w14:paraId="559A6A66" w14:textId="584FA1B0" w:rsidR="00A83765" w:rsidRDefault="000F7E56" w:rsidP="000F7E56">
      <w:pPr>
        <w:spacing w:after="0" w:line="360" w:lineRule="auto"/>
      </w:pPr>
      <w:r w:rsidRPr="000F7E56">
        <w:t>In their accounts of thinking ahead participants tended to focus their attention on death and what happened afterwards, such as funerals and wills, rather than the preceding and uncertain process of dying.</w:t>
      </w:r>
      <w:r w:rsidRPr="000F7E56">
        <w:fldChar w:fldCharType="begin"/>
      </w:r>
      <w:r w:rsidR="000D5597">
        <w:instrText xml:space="preserve"> ADDIN ZOTERO_ITEM CSL_CITATION {"citationID":"a28e2o05oaa","properties":{"formattedCitation":"\\super 138,139\\nosupersub{}","plainCitation":"138,139","noteIndex":0},"citationItems":[{"id":1766,"uris":["http://zotero.org/users/8748280/items/QXNKCGM8"],"itemData":{"id":1766,"type":"article-journal","abstract":"Abstract. Purpose: The contribution of bioethics to clinical care at the end of life (EOL) deserves critical scrutiny. We argue that researchers have rarely que","container-title":"The Gerontologist","DOI":"10.1093/geront/42.suppl_3.114","ISSN":"0016-9013","issue":"suppl_3","journalAbbreviation":"Gerontologist","language":"en","note":"publisher: Oxford Academic","page":"114-128","source":"academic.oup.com","title":"Choice in End-of-Life Decision MakingResearching Fact or Fiction?","volume":"42","author":[{"family":"Drought","given":"Theresa S."},{"family":"Koenig","given":"Barbara A."}],"issued":{"date-parts":[["2002",10,1]]}}},{"id":1764,"uris":["http://zotero.org/users/8748280/items/W5M9XVUV"],"itemData":{"id":1764,"type":"article-journal","abstract":"Advance care directives situate persons as rational and self-determining actors who can make anticipatory plans about their futures. This paper critically examines how people interpret individual and future-oriented approaches to medical decision-making with limited access to information and knowledge, and reduced opportunities to prepare and document their care preferences. Based on ethnographic research with Asian migrant families living in Adelaide, South Australia (August 2015–July 2018), it reveals a discord between planning for a finite future and the contingencies and continuities of social life. It unsettles the detached reasoning that is privileged in end-of-life decision-making and reveals limitations to “do-it-yourself” approaches to advance care directives which, it will be argued, not only forecasts potential futures but also forecloses them. Taking Derrida's critique of death and decision-making as a point of departure, it develops the concept of temporal dissonance as a theoretical framework to articulate the tensions that are constituted in advance care directives. The paper suggests that attention to temporal incongruities may help to shed light on the many complex interpretations of advance care directives and the difficulties of promoting them in diverse contexts.","container-title":"Social Science &amp; Medicine","DOI":"10.1016/j.socscimed.2018.08.035","ISSN":"0277-9536","journalAbbreviation":"Social Science &amp; Medicine","language":"en","page":"16-22","source":"ScienceDirect","title":"Forecasting and foreclosing futures: The temporal dissonance of advance care directives","title-short":"Forecasting and foreclosing futures","volume":"215","author":[{"family":"Zivkovic","given":"Tanya"}],"issued":{"date-parts":[["2018",10,1]]}}}],"schema":"https://github.com/citation-style-language/schema/raw/master/csl-citation.json"} </w:instrText>
      </w:r>
      <w:r w:rsidRPr="000F7E56">
        <w:fldChar w:fldCharType="separate"/>
      </w:r>
      <w:r w:rsidR="000D5597" w:rsidRPr="000D5597">
        <w:rPr>
          <w:rFonts w:ascii="Calibri" w:hAnsi="Calibri" w:cs="Times New Roman"/>
          <w:szCs w:val="24"/>
          <w:vertAlign w:val="superscript"/>
        </w:rPr>
        <w:t>138,139</w:t>
      </w:r>
      <w:r w:rsidRPr="000F7E56">
        <w:fldChar w:fldCharType="end"/>
      </w:r>
      <w:r w:rsidRPr="000F7E56">
        <w:t xml:space="preserve"> Some patient participants described their efforts to make arrangements in advance to help relatives cope with loss as well as administrative burden, to leave a legacy of care and support after their death. Several participants had completed Lasting Power of Attorney documents, for financial affairs, and a few expressed a wish for their ashes to be repatriated to their native country. Concern with funerals and disposal of the body reflects what was of most immediate importance to people and was how they tended to interpret questions about EOLCP. </w:t>
      </w:r>
    </w:p>
    <w:p w14:paraId="61A956F2" w14:textId="04988301" w:rsidR="000F7E56" w:rsidRPr="000F7E56" w:rsidRDefault="000F7E56" w:rsidP="000F7E56">
      <w:pPr>
        <w:spacing w:after="0" w:line="360" w:lineRule="auto"/>
      </w:pPr>
      <w:r w:rsidRPr="000F7E56">
        <w:t>Decision-making around end-of-life care was not so pertinent to participants, perhaps because they concerned experiences that were unknown, unwelcome and could not be easily imagined.</w:t>
      </w:r>
      <w:r w:rsidRPr="000F7E56">
        <w:fldChar w:fldCharType="begin"/>
      </w:r>
      <w:r w:rsidR="000D5597">
        <w:instrText xml:space="preserve"> ADDIN ZOTERO_ITEM CSL_CITATION {"citationID":"t0vPlf7M","properties":{"formattedCitation":"\\super 138\\uc0\\u8211{}140\\nosupersub{}","plainCitation":"138–140","noteIndex":0},"citationItems":[{"id":1764,"uris":["http://zotero.org/users/8748280/items/W5M9XVUV"],"itemData":{"id":1764,"type":"article-journal","abstract":"Advance care directives situate persons as rational and self-determining actors who can make anticipatory plans about their futures. This paper critically examines how people interpret individual and future-oriented approaches to medical decision-making with limited access to information and knowledge, and reduced opportunities to prepare and document their care preferences. Based on ethnographic research with Asian migrant families living in Adelaide, South Australia (August 2015–July 2018), it reveals a discord between planning for a finite future and the contingencies and continuities of social life. It unsettles the detached reasoning that is privileged in end-of-life decision-making and reveals limitations to “do-it-yourself” approaches to advance care directives which, it will be argued, not only forecasts potential futures but also forecloses them. Taking Derrida's critique of death and decision-making as a point of departure, it develops the concept of temporal dissonance as a theoretical framework to articulate the tensions that are constituted in advance care directives. The paper suggests that attention to temporal incongruities may help to shed light on the many complex interpretations of advance care directives and the difficulties of promoting them in diverse contexts.","container-title":"Social Science &amp; Medicine","DOI":"10.1016/j.socscimed.2018.08.035","ISSN":"0277-9536","journalAbbreviation":"Social Science &amp; Medicine","language":"en","page":"16-22","source":"ScienceDirect","title":"Forecasting and foreclosing futures: The temporal dissonance of advance care directives","title-short":"Forecasting and foreclosing futures","volume":"215","author":[{"family":"Zivkovic","given":"Tanya"}],"issued":{"date-parts":[["2018",10,1]]}}},{"id":1766,"uris":["http://zotero.org/users/8748280/items/QXNKCGM8"],"itemData":{"id":1766,"type":"article-journal","abstract":"Abstract. Purpose: The contribution of bioethics to clinical care at the end of life (EOL) deserves critical scrutiny. We argue that researchers have rarely que","container-title":"The Gerontologist","DOI":"10.1093/geront/42.suppl_3.114","ISSN":"0016-9013","issue":"suppl_3","journalAbbreviation":"Gerontologist","language":"en","note":"publisher: Oxford Academic","page":"114-128","source":"academic.oup.com","title":"Choice in End-of-Life Decision MakingResearching Fact or Fiction?","volume":"42","author":[{"family":"Drought","given":"Theresa S."},{"family":"Koenig","given":"Barbara A."}],"issued":{"date-parts":[["2002",10,1]]}}},{"id":1769,"uris":["http://zotero.org/users/8748280/items/QPP6JD6N"],"itemData":{"id":1769,"type":"webpage","abstract":"**Shortlisted for the BSA Sociology of Health and Illness Book Prize 2010**What is good care? In this innovative and compelling book, Annemarie Mol argues that good care has little to do with 'patient choice' and, therefore, creating more opportunities for patient choice will not improve health care.\n\nAlthough it is possible to treat people who seek professional help as customers or citizens, Mol argues that this undermines ways of thinking and acting crucial to health care. Illustrating the dis","container-title":"Routledge &amp; CRC Press","language":"en","title":"The Logic of Care: Health and the Problem of Patient Choice","title-short":"The Logic of Care","URL":"https://www.routledge.com/The-Logic-of-Care-Health-and-the-Problem-of-Patient-Choice/Mol/p/book/9780415453431","author":[{"family":"Moll, Annemarie","given":""}],"accessed":{"date-parts":[["2021",12,8]]}}}],"schema":"https://github.com/citation-style-language/schema/raw/master/csl-citation.json"} </w:instrText>
      </w:r>
      <w:r w:rsidRPr="000F7E56">
        <w:fldChar w:fldCharType="separate"/>
      </w:r>
      <w:r w:rsidR="000D5597" w:rsidRPr="000D5597">
        <w:rPr>
          <w:rFonts w:ascii="Calibri" w:hAnsi="Calibri" w:cs="Times New Roman"/>
          <w:szCs w:val="24"/>
          <w:vertAlign w:val="superscript"/>
        </w:rPr>
        <w:t>138–140</w:t>
      </w:r>
      <w:r w:rsidRPr="000F7E56">
        <w:fldChar w:fldCharType="end"/>
      </w:r>
      <w:r w:rsidRPr="000F7E56">
        <w:t xml:space="preserve"> Consequently, reference in the accounts of participants to anticipatory questions about, or discussion of, what was likely to happen during the process of dying was unusual.</w:t>
      </w:r>
      <w:r w:rsidRPr="000F7E56">
        <w:fldChar w:fldCharType="begin"/>
      </w:r>
      <w:r w:rsidR="000D5597">
        <w:instrText xml:space="preserve"> ADDIN ZOTERO_ITEM CSL_CITATION {"citationID":"N1o9NCJm","properties":{"formattedCitation":"\\super 139\\nosupersub{}","plainCitation":"139","noteIndex":0},"citationItems":[{"id":1766,"uris":["http://zotero.org/users/8748280/items/QXNKCGM8"],"itemData":{"id":1766,"type":"article-journal","abstract":"Abstract. Purpose: The contribution of bioethics to clinical care at the end of life (EOL) deserves critical scrutiny. We argue that researchers have rarely que","container-title":"The Gerontologist","DOI":"10.1093/geront/42.suppl_3.114","ISSN":"0016-9013","issue":"suppl_3","journalAbbreviation":"Gerontologist","language":"en","note":"publisher: Oxford Academic","page":"114-128","source":"academic.oup.com","title":"Choice in End-of-Life Decision MakingResearching Fact or Fiction?","volume":"42","author":[{"family":"Drought","given":"Theresa S."},{"family":"Koenig","given":"Barbara A."}],"issued":{"date-parts":[["2002",10,1]]}}}],"schema":"https://github.com/citation-style-language/schema/raw/master/csl-citation.json"} </w:instrText>
      </w:r>
      <w:r w:rsidRPr="000F7E56">
        <w:fldChar w:fldCharType="separate"/>
      </w:r>
      <w:r w:rsidR="000D5597" w:rsidRPr="000D5597">
        <w:rPr>
          <w:rFonts w:ascii="Calibri" w:hAnsi="Calibri" w:cs="Times New Roman"/>
          <w:szCs w:val="24"/>
          <w:vertAlign w:val="superscript"/>
        </w:rPr>
        <w:t>139</w:t>
      </w:r>
      <w:r w:rsidRPr="000F7E56">
        <w:fldChar w:fldCharType="end"/>
      </w:r>
      <w:r w:rsidR="00745BD4">
        <w:t xml:space="preserve"> </w:t>
      </w:r>
      <w:r w:rsidR="00E62AE7">
        <w:t>T</w:t>
      </w:r>
      <w:r w:rsidRPr="000F7E56">
        <w:t xml:space="preserve">here was little detailed consideration </w:t>
      </w:r>
      <w:r w:rsidR="00745BD4" w:rsidRPr="000F7E56">
        <w:t xml:space="preserve">in the data </w:t>
      </w:r>
      <w:r w:rsidRPr="000F7E56">
        <w:t xml:space="preserve">of the content and formal documentation of end-of-life care plans, although they were valued by the few families who reported having completed them. However, participants </w:t>
      </w:r>
      <w:r w:rsidR="00745BD4">
        <w:t xml:space="preserve">did </w:t>
      </w:r>
      <w:r w:rsidRPr="000F7E56">
        <w:t xml:space="preserve">often recognise specific topics which were mentioned by researchers during the interview (for example, resuscitation, preferred place of care and death, limits to care and treatment) and described their experience of talking about these. Although ACP should involve a holistic discussion of ‘what matters to me’ </w:t>
      </w:r>
      <w:r w:rsidRPr="000F7E56">
        <w:lastRenderedPageBreak/>
        <w:t xml:space="preserve">at the end-of-life, our participants’ experience highlights the extent to which this </w:t>
      </w:r>
      <w:r w:rsidR="00974B74">
        <w:t xml:space="preserve"> consisted </w:t>
      </w:r>
      <w:r w:rsidRPr="000F7E56">
        <w:t xml:space="preserve">largely </w:t>
      </w:r>
      <w:r w:rsidR="00974B74">
        <w:t xml:space="preserve"> of </w:t>
      </w:r>
      <w:r w:rsidRPr="000F7E56">
        <w:t>a simplified, disaggregated, task-based focus on specific, documentable items such as decisions about DNACPR, and place of death.</w:t>
      </w:r>
      <w:r w:rsidRPr="000F7E56">
        <w:fldChar w:fldCharType="begin"/>
      </w:r>
      <w:r w:rsidR="000D5597">
        <w:instrText xml:space="preserve"> ADDIN ZOTERO_ITEM CSL_CITATION {"citationID":"a1espd7s63s","properties":{"formattedCitation":"\\super 3,10,35,75,141\\nosupersub{}","plainCitation":"3,10,35,75,141","noteIndex":0},"citationItems":[{"id":"aZbwIlcN/WOrttcKv","uris":["http://zotero.org/users/6587080/items/TF89Y6ZR"],"itemData":{"id":"StNojVUY/254jkw94","type":"article-journal","language":"en","page":"171","source":"Zotero","title":"End of Life Care Strategy - Promoting high quality care of all adults at the end of life.","author":[{"family":"Department of Health","given":""}],"issued":{"date-parts":[["2008"]]}}},{"id":"aZbwIlcN/0RqsH1vL","uris":["http://zotero.org/users/6587080/items/QJZPPMQE"],"itemData":{"id":"StNojVUY/dePq5Beq","type":"article-journal","title":"What’s important to me. A Review of Choice in End of Life Care","URL":"https://assets.publishing.service.gov.uk/government/uploads/system/uploads/attachment_data/file/407244/CHOICE_REVIEW_FINAL_for_web.pdf","author":[{"literal":"The Choice in End of Life Care"},{"literal":"Programme Board"}],"issued":{"date-parts":[["2015"]]}}},{"id":"aZbwIlcN/nuiVa5l3","uris":["http://zotero.org/users/6587080/items/W2S27IX9"],"itemData":{"id":"StNojVUY/a8AHV9XU","type":"article-journal","container-title":"London, National Council for Palliative Care; 2009.","title":"Planning for your future Care","URL":"https://www.nhs.uk/livewell/endoflifecare/documents/planning_your_future_care%5B1%5D.pdf","author":[{"family":"National Council for Palliative Care","given":""}],"issued":{"date-parts":[["2009"]]}}},{"id":"aZbwIlcN/ixzzP0d4","uris":["http://zotero.org/users/6587080/items/FMPAAJBE"],"itemData":{"id":"6w8TFr6W/vyKE6WNl","type":"article-journal","abstract":"Background: Advance care planning (ACP) enables patients to consider, discuss and, if they wish, document their wishes and preferences for future care, including decisions to refuse treatment, in the event that they lose capacity to make decisions for themselves. ACP is a key component of UK health policy to improve the experience of death and dying for patients and their families. There is limited evidence about how patients and health professionals understand ACP, or when and how this is initiated. It is evident that many people find discussion of and planning for end of life care difficult, and tend to avoid the topic. Aim: To investigate how patients, their relatives and health professionals initiate and experience discussion of ACP and the outcomes of advance discussions in shaping care at the end of life. Design and data collection: Qualitative study with two workstreams: (1) interviews with 37 health professionals (general practitioners, specialist nurses and community nurses) about their experiences of ACP; and (2) longitudinal case studies of 21 patients with 6-month follow-up. Cases included a patient and, where possible, a nominated key relative and/or health professional as well as a review of medical records. Complete case triads were obtained for 11 patients. Four cases comprised the patient alone, where respondents were unable or unwilling to nominate either a family member or a professional carer they wished to include in the study. Patients were identified as likely to be within the last 6 months of life. Ninety-seven interviews were completed in total. Setting: General practices and community care settings in the East Midlands of England. Findings: The study found ACP to be uncommon and focused primarily on specific documented tasks involving decisions about preferred place of death and cardiopulmonary resuscitation, supporting earlier research. There was no evidence of ACP in nearly half (9 of 21) of patient cases. Professionals reported ACP discussions to be challenging. It was difficult to recognise when patients had entered the last year of life, or to identify their readiness to consider future planning. Patients often did not wish to do so before they had become gravely ill. Consequently, ACP discussions tended to be reactive, rather than pre-emptive, occurring in response to critical events or evidence of marked deterioration. ACP discussions intersected two parallel strands of planning: professional organisation and co-ordination of care; and the practical and emotional preparatory work that patients and families undertook to prepare themselves for death. Reference to ACP as a means of guiding decisions for patients who had lost capacity was rare. Conclusions: Advance care planning remains uncommon, is often limited to documentation of a few key decisions, is reported to be challenging by many health professionals, is not welcomed by a substantial number of patients and tends to be postponed until death is clearly imminent. Current implementation largely ignores the purpose of ACP as a means of extending personal autonomy in the event of lost capacity. Future work: Attention should be paid to public attitudes to death and dying (including those of culturally diverse and ethnic minority groups), place of death, resuscitation and the value of anticipatory planning. In addition the experiences and needs of two under-researched groups should be explored: the frail elderly, including those who manage complex comorbid conditions, unrecognised as vulnerable cases; and those patients affected by stigmatised conditions, such as substance abuse or serious mental illness who fail to engage constructively with services and are not recognised as suitable referrals for palliative and end of life care. Funding: The National Institute for Health Research Health Services and Delivery Research programme.","container-title":"Health Services and Delivery Research","DOI":"10.3310/hsdr03310","ISSN":"2050-4349","issue":"31","language":"eng","page":"1-138","source":"librarysearch.le.ac.uk","title":"Care and communication between health professionals and patients affected by severe or chronic illness in community care settings: a qualitative study of care at the end of life","title-short":"Care and communication between health professionals and patients affected by severe or chronic illness in community care settings","volume":"3","author":[{"family":"Pollock","given":"Kristian"},{"family":"Wilson","given":"Eleanor"}],"issued":{"date-parts":[["2015"]]}}},{"id":1771,"uris":["http://zotero.org/users/8748280/items/33V6DIC8"],"itemData":{"id":1771,"type":"webpage","title":"Advance care planning re-imagined: a needed shift for COVID times and beyond - Julian Abel, Allan Kellehear, Catherine Millington Sanders, Mark Taubert, Helen Kingston, 2020","URL":"https://journals.sagepub.com/doi/full/10.1177/2632352420934491","accessed":{"date-parts":[["2021",12,8]]}}}],"schema":"https://github.com/citation-style-language/schema/raw/master/csl-citation.json"} </w:instrText>
      </w:r>
      <w:r w:rsidRPr="000F7E56">
        <w:fldChar w:fldCharType="separate"/>
      </w:r>
      <w:r w:rsidR="000D5597" w:rsidRPr="000D5597">
        <w:rPr>
          <w:rFonts w:ascii="Calibri" w:hAnsi="Calibri" w:cs="Times New Roman"/>
          <w:szCs w:val="24"/>
          <w:vertAlign w:val="superscript"/>
        </w:rPr>
        <w:t>3,10,35,75,141</w:t>
      </w:r>
      <w:r w:rsidRPr="000F7E56">
        <w:fldChar w:fldCharType="end"/>
      </w:r>
      <w:r w:rsidRPr="000F7E56">
        <w:t xml:space="preserve"> </w:t>
      </w:r>
    </w:p>
    <w:p w14:paraId="387961F9" w14:textId="77777777" w:rsidR="000F7E56" w:rsidRPr="000F7E56" w:rsidRDefault="000F7E56" w:rsidP="000F7E56">
      <w:pPr>
        <w:spacing w:after="0" w:line="360" w:lineRule="auto"/>
      </w:pPr>
    </w:p>
    <w:p w14:paraId="23B0620E" w14:textId="1C14426F" w:rsidR="000F7E56" w:rsidRPr="000F7E56" w:rsidRDefault="000F7E56" w:rsidP="000F7E56">
      <w:pPr>
        <w:spacing w:line="360" w:lineRule="auto"/>
      </w:pPr>
      <w:r w:rsidRPr="000F7E56">
        <w:t xml:space="preserve">Offering </w:t>
      </w:r>
      <w:r w:rsidR="00745BD4">
        <w:t xml:space="preserve">opportunity for </w:t>
      </w:r>
      <w:r w:rsidRPr="000F7E56">
        <w:t xml:space="preserve">conversations with people in the last year of life about future deterioration </w:t>
      </w:r>
      <w:r w:rsidR="00745BD4">
        <w:t>is</w:t>
      </w:r>
      <w:r w:rsidRPr="000F7E56">
        <w:t xml:space="preserve"> supposed to fall within the remit of all HCPs, regardless of role.</w:t>
      </w:r>
      <w:r w:rsidRPr="000F7E56">
        <w:fldChar w:fldCharType="begin"/>
      </w:r>
      <w:r w:rsidR="000D5597">
        <w:instrText xml:space="preserve"> ADDIN ZOTERO_ITEM CSL_CITATION {"citationID":"R6rUgJgL","properties":{"formattedCitation":"\\super 142,143\\nosupersub{}","plainCitation":"142,143","noteIndex":0},"citationItems":[{"id":1775,"uris":["http://zotero.org/users/8748280/items/NV2JWGQK"],"itemData":{"id":1775,"type":"webpage","abstract":"This coalition of 21 members from across the healthcare sector, including HEE, was commissioned in 2013 by the Department of Health to produce a system-wide written response to the Independent Panel Review of the Liverpool Care Pathway led by Baroness Neuberger. The Leadership Alliance set out its vision of what good care in the last days to hours should include in One Chance to Get it Right, in the form of five Priorities for Care of the Dying Person.","container-title":"Health Education England","language":"en","title":"End of life care","URL":"https://www.hee.nhs.uk/our-work/end-life-care","author":[{"literal":"NHS"}],"accessed":{"date-parts":[["2021",12,8]]},"issued":{"date-parts":[["2017",11,7]]}}},{"id":1773,"uris":["http://zotero.org/users/8748280/items/9IX52NZQ"],"itemData":{"id":1773,"type":"webpage","container-title":"Association of Chartered Physiotherapists in Oncology and Palliative Care","language":"en","title":"Ambitions for Palliative and End of Life Care: National Framework for Local Action (2021 - 2026)","title-short":"Ambitions for Palliative and End of Life Care","URL":"https://acpopc.csp.org.uk/documents/ambitions-palliative-end-life-care-national-framework-local-action-2021-2026","accessed":{"date-parts":[["2021",12,8]]}}}],"schema":"https://github.com/citation-style-language/schema/raw/master/csl-citation.json"} </w:instrText>
      </w:r>
      <w:r w:rsidRPr="000F7E56">
        <w:fldChar w:fldCharType="separate"/>
      </w:r>
      <w:r w:rsidR="000D5597" w:rsidRPr="000D5597">
        <w:rPr>
          <w:rFonts w:ascii="Calibri" w:hAnsi="Calibri" w:cs="Times New Roman"/>
          <w:szCs w:val="24"/>
          <w:vertAlign w:val="superscript"/>
        </w:rPr>
        <w:t>142,143</w:t>
      </w:r>
      <w:r w:rsidRPr="000F7E56">
        <w:fldChar w:fldCharType="end"/>
      </w:r>
      <w:r w:rsidRPr="000F7E56">
        <w:t xml:space="preserve"> However, in the Thinking Ahead study, many HCPs, did not consider discussion of EOLCP to be their responsibility suggesting this was the remit of palliative care services</w:t>
      </w:r>
      <w:r w:rsidR="00190DAB">
        <w:t xml:space="preserve">.  They </w:t>
      </w:r>
      <w:r w:rsidRPr="000F7E56">
        <w:t>did not consider that it was relevant or appropriate to raise end-of-life care topics when the patient was still receiving active treatment and was not perceived to be close to death.  They reported rarely initiating discussion of the topic, and not before the patient was clearly gravely ill.</w:t>
      </w:r>
      <w:r w:rsidRPr="000F7E56">
        <w:fldChar w:fldCharType="begin"/>
      </w:r>
      <w:r w:rsidR="000D5597">
        <w:instrText xml:space="preserve"> ADDIN ZOTERO_ITEM CSL_CITATION {"citationID":"tCl73sjW","properties":{"formattedCitation":"\\super 144,145\\nosupersub{}","plainCitation":"144,145","noteIndex":0},"citationItems":[{"id":1779,"uris":["http://zotero.org/users/8748280/items/YGHJANTC"],"itemData":{"id":1779,"type":"article-journal","abstract":"(2016). Waiting for the body to fail: limits to end-of-life communication in Canadian hospitals. Mortality: Vol. 21, No. 4, pp. 340-356.","archive_location":"world","container-title":"Mortality","ISSN":"1357-6275","language":"en","note":"publisher: Routledge","source":"www.tandfonline.com","title":"Waiting for the body to fail: limits to end-of-life communication in Canadian hospitals","title-short":"Waiting for the body to fail","URL":"https://www.tandfonline.com/doi/abs/10.1080/13576275.2016.1140133","author":[{"family":"Nouvet","given":"Elysée"},{"family":"Strachan","given":"Patricia H."},{"family":"Kryworuchko","given":"Jennifer"},{"family":"Downar","given":"James"},{"family":"You","given":"John J."}],"accessed":{"date-parts":[["2021",12,8]]},"issued":{"date-parts":[["2016",2,8]]}}},{"id":1781,"uris":["http://zotero.org/users/8748280/items/TA788QFD"],"itemData":{"id":1781,"type":"webpage","abstract":"Download PDF of Advance care planning for patients with chronic respiratory diseases: a systematic review of preferences and practices published in Thorax","language":"en","title":"Advance care planning for patients with chronic respiratory diseases: a systematic review of preferences and practices | EndNote Click","title-short":"Advance care planning for patients with chronic respiratory diseases","URL":"https://click.endnote.com/viewer?doi=10.1136%2Fthoraxjnl-2016-209806&amp;token=WzMwNDM1MzAsIjEwLjExMzYvdGhvcmF4am5sLTIwMTYtMjA5ODA2Il0.-LNLfJDXsB_wQsMx2aEmY7yavIg","author":[{"family":"al","given":"L. J. Jabbarian","dropping-particle":"et"}],"accessed":{"date-parts":[["2021",12,8]]}}}],"schema":"https://github.com/citation-style-language/schema/raw/master/csl-citation.json"} </w:instrText>
      </w:r>
      <w:r w:rsidRPr="000F7E56">
        <w:fldChar w:fldCharType="separate"/>
      </w:r>
      <w:r w:rsidR="000D5597" w:rsidRPr="000D5597">
        <w:rPr>
          <w:rFonts w:ascii="Calibri" w:hAnsi="Calibri" w:cs="Times New Roman"/>
          <w:szCs w:val="24"/>
          <w:vertAlign w:val="superscript"/>
        </w:rPr>
        <w:t>144,145</w:t>
      </w:r>
      <w:r w:rsidRPr="000F7E56">
        <w:fldChar w:fldCharType="end"/>
      </w:r>
      <w:r w:rsidRPr="000F7E56">
        <w:t xml:space="preserve"> Some positive accounts were given of consultations being scheduled to discuss the EOLCP within the context of an established relationship with the patient’s GP. As widely reported in other studies, HCPs were concerned that talk about end-of-life, especially if mistimed, risked damaging their relationship with patients, and the trust they had established, as well as destroying hope. </w:t>
      </w:r>
      <w:r w:rsidRPr="000F7E56">
        <w:fldChar w:fldCharType="begin"/>
      </w:r>
      <w:r w:rsidR="000D5597">
        <w:instrText xml:space="preserve"> ADDIN ZOTERO_ITEM CSL_CITATION {"citationID":"9LAtgfEy","properties":{"formattedCitation":"\\super 75,145\\uc0\\u8211{}147\\nosupersub{}","plainCitation":"75,145–147","noteIndex":0},"citationItems":[{"id":"aZbwIlcN/ixzzP0d4","uris":["http://zotero.org/users/6587080/items/FMPAAJBE"],"itemData":{"id":"StNojVUY/z50hz84o","type":"article-journal","abstract":"Background: Advance care planning (ACP) enables patients to consider, discuss and, if they wish, document their wishes and preferences for future care, including decisions to refuse treatment, in the event that they lose capacity to make decisions for themselves. ACP is a key component of UK health policy to improve the experience of death and dying for patients and their families. There is limited evidence about how patients and health professionals understand ACP, or when and how this is initiated. It is evident that many people find discussion of and planning for end of life care difficult, and tend to avoid the topic. Aim: To investigate how patients, their relatives and health professionals initiate and experience discussion of ACP and the outcomes of advance discussions in shaping care at the end of life. Design and data collection: Qualitative study with two workstreams: (1) interviews with 37 health professionals (general practitioners, specialist nurses and community nurses) about their experiences of ACP; and (2) longitudinal case studies of 21 patients with 6-month follow-up. Cases included a patient and, where possible, a nominated key relative and/or health professional as well as a review of medical records. Complete case triads were obtained for 11 patients. Four cases comprised the patient alone, where respondents were unable or unwilling to nominate either a family member or a professional carer they wished to include in the study. Patients were identified as likely to be within the last 6 months of life. Ninety-seven interviews were completed in total. Setting: General practices and community care settings in the East Midlands of England. Findings: The study found ACP to be uncommon and focused primarily on specific documented tasks involving decisions about preferred place of death and cardiopulmonary resuscitation, supporting earlier research. There was no evidence of ACP in nearly half (9 of 21) of patient cases. Professionals reported ACP discussions to be challenging. It was difficult to recognise when patients had entered the last year of life, or to identify their readiness to consider future planning. Patients often did not wish to do so before they had become gravely ill. Consequently, ACP discussions tended to be reactive, rather than pre-emptive, occurring in response to critical events or evidence of marked deterioration. ACP discussions intersected two parallel strands of planning: professional organisation and co-ordination of care; and the practical and emotional preparatory work that patients and families undertook to prepare themselves for death. Reference to ACP as a means of guiding decisions for patients who had lost capacity was rare. Conclusions: Advance care planning remains uncommon, is often limited to documentation of a few key decisions, is reported to be challenging by many health professionals, is not welcomed by a substantial number of patients and tends to be postponed until death is clearly imminent. Current implementation largely ignores the purpose of ACP as a means of extending personal autonomy in the event of lost capacity. Future work: Attention should be paid to public attitudes to death and dying (including those of culturally diverse and ethnic minority groups), place of death, resuscitation and the value of anticipatory planning. In addition the experiences and needs of two under-researched groups should be explored: the frail elderly, including those who manage complex comorbid conditions, unrecognised as vulnerable cases; and those patients affected by stigmatised conditions, such as substance abuse or serious mental illness who fail to engage constructively with services and are not recognised as suitable referrals for palliative and end of life care. Funding: The National Institute for Health Research Health Services and Delivery Research programme.","container-title":"Health Services and Delivery Research","DOI":"10.3310/hsdr03310","ISSN":"2050-4349","issue":"31","language":"eng","page":"1-138","source":"librarysearch.le.ac.uk","title":"Care and communication between health professionals and patients affected by severe or chronic illness in community care settings: a qualitative study of care at the end of life","title-short":"Care and communication between health professionals and patients affected by severe or chronic illness in community care settings","volume":"3","author":[{"family":"Pollock","given":"Kristian"},{"family":"Wilson","given":"Eleanor"}],"issued":{"date-parts":[["2015"]]}}},{"id":1781,"uris":["http://zotero.org/users/8748280/items/TA788QFD"],"itemData":{"id":1781,"type":"webpage","abstract":"Download PDF of Advance care planning for patients with chronic respiratory diseases: a systematic review of preferences and practices published in Thorax","language":"en","title":"Advance care planning for patients with chronic respiratory diseases: a systematic review of preferences and practices | EndNote Click","title-short":"Advance care planning for patients with chronic respiratory diseases","URL":"https://click.endnote.com/viewer?doi=10.1136%2Fthoraxjnl-2016-209806&amp;token=WzMwNDM1MzAsIjEwLjExMzYvdGhvcmF4am5sLTIwMTYtMjA5ODA2Il0.-LNLfJDXsB_wQsMx2aEmY7yavIg","author":[{"family":"al","given":"L. J. Jabbarian","dropping-particle":"et"}],"accessed":{"date-parts":[["2021",12,8]]}}},{"id":21,"uris":["http://zotero.org/users/8748280/items/3TYVPRKC"],"itemData":{"id":21,"type":"article-journal","abstract":"This study explores with patients, carers and health care professionals if, when and how Advance Care Planning conversations about patients’ preferences for place of care (and death) were facilitated and documented.","container-title":"BMC Palliative Care","DOI":"10.1186/1472-684X-11-15","ISSN":"1472-684X","issue":"1","journalAbbreviation":"BMC Palliative Care","page":"15","source":"BioMed Central","title":"After you: conversations between patients and healthcare professionals in planning for end of life care","title-short":"After you","volume":"11","author":[{"family":"Almack","given":"Kathryn"},{"family":"Cox","given":"Karen"},{"family":"Moghaddam","given":"Nima"},{"family":"Pollock","given":"Kristian"},{"family":"Seymour","given":"Jane"}],"issued":{"date-parts":[["2012",9,17]]}}},{"id":1783,"uris":["http://zotero.org/users/8748280/items/YDCL9FD7"],"itemData":{"id":1783,"type":"article-journal","abstract":"Engaging in ACP with online planning tools increases knowledge without diminishing hope, increasing hopelessness, or inducing anxiety in patients with advanced cancer. Physicians need not avoid ACP out of concern for adversely affecting patients' psychological well-being.","container-title":"Journal of pain and symptom management","DOI":"10.1016/j.jpainsymman.2014.11.293","ISSN":"1873-6513","issue":"6","language":"en","note":"publisher: J Pain Symptom Manage\nPMID: 25542552","source":"pubmed.ncbi.nlm.nih.gov","title":"Advance Care Planning Does Not Adversely Affect Hope or Anxiety Among Patients With Advanced Cancer","URL":"https://pubmed.ncbi.nlm.nih.gov/25542552/","volume":"49","author":[{"family":"Mj","given":"Green"},{"family":"Jr","given":"Schubart"},{"family":"Mm","given":"Whitehead"},{"family":"E","given":"Farace"},{"family":"E","given":"Lehman"},{"family":"Bh","given":"Levi"}],"accessed":{"date-parts":[["2021",12,8]]},"issued":{"date-parts":[["2015",6]]}}}],"schema":"https://github.com/citation-style-language/schema/raw/master/csl-citation.json"} </w:instrText>
      </w:r>
      <w:r w:rsidRPr="000F7E56">
        <w:fldChar w:fldCharType="separate"/>
      </w:r>
      <w:r w:rsidR="000D5597" w:rsidRPr="000D5597">
        <w:rPr>
          <w:rFonts w:ascii="Calibri" w:hAnsi="Calibri" w:cs="Times New Roman"/>
          <w:szCs w:val="24"/>
          <w:vertAlign w:val="superscript"/>
        </w:rPr>
        <w:t>75,145–147</w:t>
      </w:r>
      <w:r w:rsidRPr="000F7E56">
        <w:fldChar w:fldCharType="end"/>
      </w:r>
      <w:r w:rsidRPr="000F7E56">
        <w:t xml:space="preserve"> Thus, there was often an alignment of motivation between patients, FCGs and HCPs to maintain a positive recovery orientation and avoid the topic of end-of-life</w:t>
      </w:r>
      <w:r w:rsidRPr="000F7E56">
        <w:fldChar w:fldCharType="begin">
          <w:fldData xml:space="preserve">PEVuZE5vdGU+PENpdGU+PEF1dGhvcj5Qb2xsb2NrPC9BdXRob3I+PFllYXI+MjAxNTwvWWVhcj48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</w:fldData>
        </w:fldChar>
      </w:r>
      <w:r w:rsidRPr="000F7E56">
        <w:instrText xml:space="preserve"> ADDIN EN.CITE </w:instrText>
      </w:r>
      <w:r w:rsidRPr="000F7E56">
        <w:fldChar w:fldCharType="begin">
          <w:fldData xml:space="preserve">PEVuZE5vdGU+PENpdGU+PEF1dGhvcj5Qb2xsb2NrPC9BdXRob3I+PFllYXI+MjAxNTwvWWVhcj48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</w:fldData>
        </w:fldChar>
      </w:r>
      <w:r w:rsidRPr="000F7E56">
        <w:instrText xml:space="preserve"> ADDIN EN.CITE.DATA </w:instrText>
      </w:r>
      <w:r w:rsidRPr="000F7E56">
        <w:fldChar w:fldCharType="end"/>
      </w:r>
      <w:r w:rsidRPr="000F7E56">
        <w:fldChar w:fldCharType="end"/>
      </w:r>
      <w:r w:rsidRPr="000F7E56">
        <w:t>.</w:t>
      </w:r>
      <w:r w:rsidRPr="000F7E56">
        <w:fldChar w:fldCharType="begin"/>
      </w:r>
      <w:r w:rsidR="000D5597">
        <w:instrText xml:space="preserve"> ADDIN ZOTERO_ITEM CSL_CITATION {"citationID":"FeXPTRFK","properties":{"formattedCitation":"\\super 75,148\\nosupersub{}","plainCitation":"75,148","noteIndex":0},"citationItems":[{"id":"aZbwIlcN/ixzzP0d4","uris":["http://zotero.org/users/6587080/items/FMPAAJBE"],"itemData":{"id":"StNojVUY/z50hz84o","type":"article-journal","abstract":"Background: Advance care planning (ACP) enables patients to consider, discuss and, if they wish, document their wishes and preferences for future care, including decisions to refuse treatment, in the event that they lose capacity to make decisions for themselves. ACP is a key component of UK health policy to improve the experience of death and dying for patients and their families. There is limited evidence about how patients and health professionals understand ACP, or when and how this is initiated. It is evident that many people find discussion of and planning for end of life care difficult, and tend to avoid the topic. Aim: To investigate how patients, their relatives and health professionals initiate and experience discussion of ACP and the outcomes of advance discussions in shaping care at the end of life. Design and data collection: Qualitative study with two workstreams: (1) interviews with 37 health professionals (general practitioners, specialist nurses and community nurses) about their experiences of ACP; and (2) longitudinal case studies of 21 patients with 6-month follow-up. Cases included a patient and, where possible, a nominated key relative and/or health professional as well as a review of medical records. Complete case triads were obtained for 11 patients. Four cases comprised the patient alone, where respondents were unable or unwilling to nominate either a family member or a professional carer they wished to include in the study. Patients were identified as likely to be within the last 6 months of life. Ninety-seven interviews were completed in total. Setting: General practices and community care settings in the East Midlands of England. Findings: The study found ACP to be uncommon and focused primarily on specific documented tasks involving decisions about preferred place of death and cardiopulmonary resuscitation, supporting earlier research. There was no evidence of ACP in nearly half (9 of 21) of patient cases. Professionals reported ACP discussions to be challenging. It was difficult to recognise when patients had entered the last year of life, or to identify their readiness to consider future planning. Patients often did not wish to do so before they had become gravely ill. Consequently, ACP discussions tended to be reactive, rather than pre-emptive, occurring in response to critical events or evidence of marked deterioration. ACP discussions intersected two parallel strands of planning: professional organisation and co-ordination of care; and the practical and emotional preparatory work that patients and families undertook to prepare themselves for death. Reference to ACP as a means of guiding decisions for patients who had lost capacity was rare. Conclusions: Advance care planning remains uncommon, is often limited to documentation of a few key decisions, is reported to be challenging by many health professionals, is not welcomed by a substantial number of patients and tends to be postponed until death is clearly imminent. Current implementation largely ignores the purpose of ACP as a means of extending personal autonomy in the event of lost capacity. Future work: Attention should be paid to public attitudes to death and dying (including those of culturally diverse and ethnic minority groups), place of death, resuscitation and the value of anticipatory planning. In addition the experiences and needs of two under-researched groups should be explored: the frail elderly, including those who manage complex comorbid conditions, unrecognised as vulnerable cases; and those patients affected by stigmatised conditions, such as substance abuse or serious mental illness who fail to engage constructively with services and are not recognised as suitable referrals for palliative and end of life care. Funding: The National Institute for Health Research Health Services and Delivery Research programme.","container-title":"Health Services and Delivery Research","DOI":"10.3310/hsdr03310","ISSN":"2050-4349","issue":"31","language":"eng","page":"1-138","source":"librarysearch.le.ac.uk","title":"Care and communication between health professionals and patients affected by severe or chronic illness in community care settings: a qualitative study of care at the end of life","title-short":"Care and communication between health professionals and patients affected by severe or chronic illness in community care settings","volume":"3","author":[{"family":"Pollock","given":"Kristian"},{"family":"Wilson","given":"Eleanor"}],"issued":{"date-parts":[["2015"]]}}},{"id":1787,"uris":["http://zotero.org/users/8748280/items/2CYQUKVF"],"itemData":{"id":1787,"type":"article-journal","abstract":"Solutions to the problem of collusion between physician and patient require an active, patient-oriented approach by the physician. Perhaps solutions have to be found outside the physician-patient relationship itself--for example, by involving \"treatment brokers.\"","container-title":"The Western journal of medicine","DOI":"10.1136/ewjm.174.4.247","ISSN":"0093-0415","issue":"4","language":"en","note":"publisher: West J Med\nPMID: 11290678","source":"pubmed.ncbi.nlm.nih.gov","title":"Collusion in doctor-patient communication about imminent death: an ethnographic study","title-short":"Collusion in doctor-patient communication about imminent death","URL":"https://pubmed.ncbi.nlm.nih.gov/11290678/","volume":"174","author":[{"family":"Am","given":"The"},{"family":"T","given":"Hak"},{"family":"G","given":"Koëter"},{"family":"G","given":"van der Wal"}],"accessed":{"date-parts":[["2021",12,8]]},"issued":{"date-parts":[["2001",4]]}}}],"schema":"https://github.com/citation-style-language/schema/raw/master/csl-citation.json"} </w:instrText>
      </w:r>
      <w:r w:rsidRPr="000F7E56">
        <w:fldChar w:fldCharType="separate"/>
      </w:r>
      <w:r w:rsidR="000D5597" w:rsidRPr="000D5597">
        <w:rPr>
          <w:rFonts w:ascii="Calibri" w:hAnsi="Calibri" w:cs="Times New Roman"/>
          <w:szCs w:val="24"/>
          <w:vertAlign w:val="superscript"/>
        </w:rPr>
        <w:t>75,148</w:t>
      </w:r>
      <w:r w:rsidRPr="000F7E56">
        <w:fldChar w:fldCharType="end"/>
      </w:r>
      <w:r w:rsidRPr="000F7E56">
        <w:t xml:space="preserve"> Not knowing too much about the prognosis could be a prerequisite for maintaining hope, optimism and engagement. </w:t>
      </w:r>
    </w:p>
    <w:p w14:paraId="40AE6956" w14:textId="363C7265" w:rsidR="000F7E56" w:rsidRPr="000F7E56" w:rsidRDefault="000F7E56" w:rsidP="000F7E56">
      <w:pPr>
        <w:spacing w:after="120" w:line="360" w:lineRule="auto"/>
        <w:contextualSpacing/>
      </w:pPr>
      <w:r w:rsidRPr="000F7E56">
        <w:t>Professionals emphasised the importance of identifying ‘readiness’ in patients and family members and the need to be alert to cues that they were receptive to discussion of future planning.</w:t>
      </w:r>
      <w:r w:rsidRPr="000F7E56">
        <w:fldChar w:fldCharType="begin"/>
      </w:r>
      <w:r w:rsidR="000D5597">
        <w:instrText xml:space="preserve"> ADDIN ZOTERO_ITEM CSL_CITATION {"citationID":"JhEtzAsN","properties":{"formattedCitation":"\\super 75,146,149\\nosupersub{}","plainCitation":"75,146,149","noteIndex":0},"citationItems":[{"id":"aZbwIlcN/ixzzP0d4","uris":["http://zotero.org/users/6587080/items/FMPAAJBE"],"itemData":{"id":"StNojVUY/z50hz84o","type":"article-journal","abstract":"Background: Advance care planning (ACP) enables patients to consider, discuss and, if they wish, document their wishes and preferences for future care, including decisions to refuse treatment, in the event that they lose capacity to make decisions for themselves. ACP is a key component of UK health policy to improve the experience of death and dying for patients and their families. There is limited evidence about how patients and health professionals understand ACP, or when and how this is initiated. It is evident that many people find discussion of and planning for end of life care difficult, and tend to avoid the topic. Aim: To investigate how patients, their relatives and health professionals initiate and experience discussion of ACP and the outcomes of advance discussions in shaping care at the end of life. Design and data collection: Qualitative study with two workstreams: (1) interviews with 37 health professionals (general practitioners, specialist nurses and community nurses) about their experiences of ACP; and (2) longitudinal case studies of 21 patients with 6-month follow-up. Cases included a patient and, where possible, a nominated key relative and/or health professional as well as a review of medical records. Complete case triads were obtained for 11 patients. Four cases comprised the patient alone, where respondents were unable or unwilling to nominate either a family member or a professional carer they wished to include in the study. Patients were identified as likely to be within the last 6 months of life. Ninety-seven interviews were completed in total. Setting: General practices and community care settings in the East Midlands of England. Findings: The study found ACP to be uncommon and focused primarily on specific documented tasks involving decisions about preferred place of death and cardiopulmonary resuscitation, supporting earlier research. There was no evidence of ACP in nearly half (9 of 21) of patient cases. Professionals reported ACP discussions to be challenging. It was difficult to recognise when patients had entered the last year of life, or to identify their readiness to consider future planning. Patients often did not wish to do so before they had become gravely ill. Consequently, ACP discussions tended to be reactive, rather than pre-emptive, occurring in response to critical events or evidence of marked deterioration. ACP discussions intersected two parallel strands of planning: professional organisation and co-ordination of care; and the practical and emotional preparatory work that patients and families undertook to prepare themselves for death. Reference to ACP as a means of guiding decisions for patients who had lost capacity was rare. Conclusions: Advance care planning remains uncommon, is often limited to documentation of a few key decisions, is reported to be challenging by many health professionals, is not welcomed by a substantial number of patients and tends to be postponed until death is clearly imminent. Current implementation largely ignores the purpose of ACP as a means of extending personal autonomy in the event of lost capacity. Future work: Attention should be paid to public attitudes to death and dying (including those of culturally diverse and ethnic minority groups), place of death, resuscitation and the value of anticipatory planning. In addition the experiences and needs of two under-researched groups should be explored: the frail elderly, including those who manage complex comorbid conditions, unrecognised as vulnerable cases; and those patients affected by stigmatised conditions, such as substance abuse or serious mental illness who fail to engage constructively with services and are not recognised as suitable referrals for palliative and end of life care. Funding: The National Institute for Health Research Health Services and Delivery Research programme.","container-title":"Health Services and Delivery Research","DOI":"10.3310/hsdr03310","ISSN":"2050-4349","issue":"31","language":"eng","page":"1-138","source":"librarysearch.le.ac.uk","title":"Care and communication between health professionals and patients affected by severe or chronic illness in community care settings: a qualitative study of care at the end of life","title-short":"Care and communication between health professionals and patients affected by severe or chronic illness in community care settings","volume":"3","author":[{"family":"Pollock","given":"Kristian"},{"family":"Wilson","given":"Eleanor"}],"issued":{"date-parts":[["2015"]]}}},{"id":21,"uris":["http://zotero.org/users/8748280/items/3TYVPRKC"],"itemData":{"id":21,"type":"article-journal","abstract":"This study explores with patients, carers and health care professionals if, when and how Advance Care Planning conversations about patients’ preferences for place of care (and death) were facilitated and documented.","container-title":"BMC Palliative Care","DOI":"10.1186/1472-684X-11-15","ISSN":"1472-684X","issue":"1","journalAbbreviation":"BMC Palliative Care","page":"15","source":"BioMed Central","title":"After you: conversations between patients and healthcare professionals in planning for end of life care","title-short":"After you","volume":"11","author":[{"family":"Almack","given":"Kathryn"},{"family":"Cox","given":"Karen"},{"family":"Moghaddam","given":"Nima"},{"family":"Pollock","given":"Kristian"},{"family":"Seymour","given":"Jane"}],"issued":{"date-parts":[["2012",9,17]]}}},{"id":1791,"uris":["http://zotero.org/users/8748280/items/EFU6MBQY"],"itemData":{"id":1791,"type":"article-journal","abstract":"Objective: The aim of the study was to identify the challenges experienced by clinical nurse specialists (CNSs) when facilitating advance care planning (ACP) conversations with terminally ill patients. This paper focuses on the factors that influence CNSs when they are deciding whether to open an ACP discussion. Methods: Semi-structured interviews were used to collect data from eight purposively selected palliative care CNSs working in two different community teams. The interviews were recorded, transcribed, and analysed to identify themes. Findings: ACP required the CNSs to ‘walk a tightrope’, balancing potential harm with purported benefit. The nurses identified that their decision to introduce an ACP discussion was influenced by three key factors: an assessment of the patient's readiness to discuss the topic, their physical condition, and the nurse's relationship with the patient and family. Conclusion: ACP involves risk-taking on the part of those initiating it, owing to the potential for unforeseen or negative consequences. Further research is required to identify the factors that facilitate nurses involving patients in ACP.","archive_location":"London","container-title":"International Journal of Palliative Nursing","DOI":"10.12968/ijpn.2014.20.1.9","language":"en","note":"publisher: MA Healthcare London","source":"www.magonlinelibrary.com","title":"Clinical nurse specialists’ perspectives on advance care planning conversations: a qualitative study","title-short":"Clinical nurse specialists’ perspectives on advance care planning conversations","URL":"https://www.magonlinelibrary.com/doi/abs/10.12968/ijpn.2014.20.1.9","author":[{"family":"Wilson","given":"Michelle Boot; Catherine"}],"accessed":{"date-parts":[["2021",12,8]]},"issued":{"date-parts":[["2014",2,18]]}}}],"schema":"https://github.com/citation-style-language/schema/raw/master/csl-citation.json"} </w:instrText>
      </w:r>
      <w:r w:rsidRPr="000F7E56">
        <w:fldChar w:fldCharType="separate"/>
      </w:r>
      <w:r w:rsidR="000D5597" w:rsidRPr="000D5597">
        <w:rPr>
          <w:rFonts w:ascii="Calibri" w:hAnsi="Calibri" w:cs="Times New Roman"/>
          <w:szCs w:val="24"/>
          <w:vertAlign w:val="superscript"/>
        </w:rPr>
        <w:t>75,146,149</w:t>
      </w:r>
      <w:r w:rsidRPr="000F7E56">
        <w:fldChar w:fldCharType="end"/>
      </w:r>
      <w:r w:rsidRPr="000F7E56">
        <w:t xml:space="preserve"> Policy drivers towards open and transparent communication between patients and professionals, and the encouragement of partnership and shared decision-making in medical consultations have been promoted for decades. </w:t>
      </w:r>
      <w:r w:rsidRPr="000F7E56">
        <w:fldChar w:fldCharType="begin"/>
      </w:r>
      <w:r w:rsidR="000D5597">
        <w:instrText xml:space="preserve"> ADDIN ZOTERO_ITEM CSL_CITATION {"citationID":"a6nifa11p0","properties":{"formattedCitation":"\\super 150,151\\nosupersub{}","plainCitation":"150,151","noteIndex":0},"citationItems":[{"id":1803,"uris":["http://zotero.org/users/8748280/items/7WT8QEV3"],"itemData":{"id":1803,"type":"article-journal","abstract":"In 1965, Glaser and Strauss (1965) offered the concept of \"awareness contexts\" to explain what patients in hospitals do or don't know about their death trajectories. Awareness ranges from closed (where patients are completely unaware and family and providers protect \"the secret\") to open (where all parties communicate openly and honestly). While closed awareness was the norm in 1960s, open awareness is now considered standard practice in US, a reflection of mounting evidence that patients, families, and providers benefit from clear and honest communication at end of life (Seale et al., 1997; Wright et al., 2008). Despite the known benefits of open awareness, many terminal patients remain unaware or confused about their prognoses (Chen et al., 2017). This paper asks why, in an era of open awareness, are patients and families uncertain about dying? To answer this question, we focus on an aspect of Glaser and Strauss's theory that remains relatively understudied by researchers, namely the role of institutional and organizational realities in shaping awareness contexts. Based on interviews with 43 family members of deceased patients who died at General Hospital in the Midwestern US, we argue that two related conditions in hospitals-the increased specialization of medical professionals and the fragmentation of patient care-serve as important context for the death awareness of patients and families.","container-title":"Social Science &amp; Medicine (1982)","DOI":"10.1016/j.socscimed.2018.10.028","ISSN":"1873-5347","journalAbbreviation":"Soc Sci Med","language":"eng","note":"PMID: 30458430","page":"212-218","source":"PubMed","title":"Revisiting 'awareness contexts' in the 21st century hospital: How fragmented and specialized care shape patients' Awareness of Dying","title-short":"Revisiting 'awareness contexts' in the 21st century hospital","volume":"220","author":[{"family":"Stacey","given":"Clare L."},{"family":"Pai","given":"Manacy"},{"family":"Novisky","given":"Meghan A."},{"family":"Radwany","given":"Steven M."}],"issued":{"date-parts":[["2019",1]]}}},{"id":392,"uris":["http://zotero.org/users/8748280/items/CLGBXPRB"],"itemData":{"id":392,"type":"webpage","title":"Liberating the NHS: No Decision about me without me","URL":"https://scholar.google.com/scholar?hl=en&amp;as_sdt=0%2C5&amp;q=Liberating+the+NHS%3A+No+Decision+about+Me+without+Me.+Further+Consultation+on+Proposals+to+Secure+Shared+Decision-Making&amp;btnG=","author":[{"literal":"Department of Health"}],"accessed":{"date-parts":[["2021",2,12]]},"issued":{"date-parts":[["2012"]]}}}],"schema":"https://github.com/citation-style-language/schema/raw/master/csl-citation.json"} </w:instrText>
      </w:r>
      <w:r w:rsidRPr="000F7E56">
        <w:fldChar w:fldCharType="separate"/>
      </w:r>
      <w:r w:rsidR="000D5597" w:rsidRPr="000D5597">
        <w:rPr>
          <w:rFonts w:ascii="Calibri" w:hAnsi="Calibri" w:cs="Times New Roman"/>
          <w:szCs w:val="24"/>
          <w:vertAlign w:val="superscript"/>
        </w:rPr>
        <w:t>150,151</w:t>
      </w:r>
      <w:r w:rsidRPr="000F7E56">
        <w:fldChar w:fldCharType="end"/>
      </w:r>
      <w:r w:rsidRPr="000F7E56">
        <w:t xml:space="preserve"> In the face of this, the persistent entrenchment of patterns of communication in which ambiguity and even denial may be preferred over clarity, points to the functional and adaptive capacity of the positive recovery orientation for many patients.</w:t>
      </w:r>
      <w:r w:rsidRPr="000F7E56">
        <w:fldChar w:fldCharType="begin"/>
      </w:r>
      <w:r w:rsidR="000D5597">
        <w:instrText xml:space="preserve"> ADDIN ZOTERO_ITEM CSL_CITATION {"citationID":"a212ol0f991","properties":{"formattedCitation":"\\super 72,150\\nosupersub{}","plainCitation":"72,150","noteIndex":0},"citationItems":[{"id":1754,"uris":["http://zotero.org/users/8748280/items/A2J52N9I"],"itemData":{"id":1754,"type":"report","page":"2-24","publisher":"Woolf Institute","title":"Advance  care  planning   and  Muslim  communities A report commissioned by   Compassion in Dying as part of   the  My Life, My Decision  programme","URL":"http://www. faithaction.net/portal/wp-content/uploads/cidplanning-muslim-1.pdf","author":[{"family":"Ahmed","given":"Sughra"},{"family":"Siddiqi, Naved","given":""}],"issued":{"date-parts":[["2016",10]]}}},{"id":1803,"uris":["http://zotero.org/users/8748280/items/7WT8QEV3"],"itemData":{"id":1803,"type":"article-journal","abstract":"In 1965, Glaser and Strauss (1965) offered the concept of \"awareness contexts\" to explain what patients in hospitals do or don't know about their death trajectories. Awareness ranges from closed (where patients are completely unaware and family and providers protect \"the secret\") to open (where all parties communicate openly and honestly). While closed awareness was the norm in 1960s, open awareness is now considered standard practice in US, a reflection of mounting evidence that patients, families, and providers benefit from clear and honest communication at end of life (Seale et al., 1997; Wright et al., 2008). Despite the known benefits of open awareness, many terminal patients remain unaware or confused about their prognoses (Chen et al., 2017). This paper asks why, in an era of open awareness, are patients and families uncertain about dying? To answer this question, we focus on an aspect of Glaser and Strauss's theory that remains relatively understudied by researchers, namely the role of institutional and organizational realities in shaping awareness contexts. Based on interviews with 43 family members of deceased patients who died at General Hospital in the Midwestern US, we argue that two related conditions in hospitals-the increased specialization of medical professionals and the fragmentation of patient care-serve as important context for the death awareness of patients and families.","container-title":"Social Science &amp; Medicine (1982)","DOI":"10.1016/j.socscimed.2018.10.028","ISSN":"1873-5347","journalAbbreviation":"Soc Sci Med","language":"eng","note":"PMID: 30458430","page":"212-218","source":"PubMed","title":"Revisiting 'awareness contexts' in the 21st century hospital: How fragmented and specialized care shape patients' Awareness of Dying","title-short":"Revisiting 'awareness contexts' in the 21st century hospital","volume":"220","author":[{"family":"Stacey","given":"Clare L."},{"family":"Pai","given":"Manacy"},{"family":"Novisky","given":"Meghan A."},{"family":"Radwany","given":"Steven M."}],"issued":{"date-parts":[["2019",1]]}}}],"schema":"https://github.com/citation-style-language/schema/raw/master/csl-citation.json"} </w:instrText>
      </w:r>
      <w:r w:rsidRPr="000F7E56">
        <w:fldChar w:fldCharType="separate"/>
      </w:r>
      <w:r w:rsidR="000D5597" w:rsidRPr="000D5597">
        <w:rPr>
          <w:rFonts w:ascii="Calibri" w:hAnsi="Calibri" w:cs="Times New Roman"/>
          <w:szCs w:val="24"/>
          <w:vertAlign w:val="superscript"/>
        </w:rPr>
        <w:t>72,150</w:t>
      </w:r>
      <w:r w:rsidRPr="000F7E56">
        <w:fldChar w:fldCharType="end"/>
      </w:r>
      <w:r w:rsidRPr="000F7E56">
        <w:t xml:space="preserve"> While a positive recovery orientation may suit many patients and FCGs, there are some – a minority in our study – who have a strong desire to be fully informed about their illness, prognosis and future care in order to be aware of their ending and prepare for it.</w:t>
      </w:r>
      <w:r w:rsidRPr="000F7E56">
        <w:fldChar w:fldCharType="begin"/>
      </w:r>
      <w:r w:rsidR="000D5597">
        <w:instrText xml:space="preserve"> ADDIN ZOTERO_ITEM CSL_CITATION {"citationID":"a1jh9p1hp8k","properties":{"formattedCitation":"\\super 152,153\\nosupersub{}","plainCitation":"152,153","noteIndex":0},"citationItems":[{"id":1793,"uris":["http://zotero.org/users/8748280/items/MBMVUG9P"],"itemData":{"id":1793,"type":"article-journal","abstract":"Background: Uncertainty is common in advanced illness but is infrequently studied in this context. If poorly addressed, uncertainty can lead to adverse patient ...","archive_location":"Sage UK: London, England","container-title":"Palliative Medicine","DOI":"10.1177/0269216316647610","language":"en","note":"publisher: SAGE PublicationsSage UK: London, England","source":"journals.sagepub.com","title":"How does uncertainty shape patient experience in advanced illness? A secondary analysis of qualitative data:","title-short":"How does uncertainty shape patient experience in advanced illness?","URL":"https://journals.sagepub.com/doi/full/10.1177/0269216316647610","author":[{"family":"Etkind","given":"Simon Noah"},{"family":"Bristowe","given":"Katherine"},{"family":"Bailey","given":"Katharine"},{"family":"Selman","given":"Lucy Ellen"},{"family":"Murtagh","given":"Fliss EM"}],"accessed":{"date-parts":[["2021",12,8]]},"issued":{"date-parts":[["2016",4,29]]}}},{"id":1796,"uris":["http://zotero.org/users/8748280/items/4PYMS8MS"],"itemData":{"id":1796,"type":"article-journal","abstract":"The usage of medical technologies alongside the medicalization of death brought about the medical norm of fighting for life with all means available. Yet, this norm was questioned and the demand for patient autonomy gained importance. It is in this context that the right to die movement emerged in 1976, and living wills were introduced in Japan. The right to die movement promotes legislation of “death with dignity” arguing for patient empowerment, whereas their opponents warn against social exclusion of severely ill, old, and disabled people. Against this discursive background, I draw on qualitative interviews with Japanese who signed a living will and examine what motivated them to engage in advance decision-making. In recourse to the Foucauldian notions of biopower and biopolitics, I show that the living will is a technology of the entrepreneurial self, to govern itself. My research participants expressed their critical awareness for a variety of problems they aim to solve by their living will, e.g. paternalism and overtreatment, conflicting values and attitudes toward life-sustaining treatments between family members, as well as shortcomings in the social security and care sector. Hence, through the living will the risks of life are shifted to the self-responsibility of the individual, who opts for death to avoid becoming a burden on others and society. Accordingly, the living will can be seen as a means of the neo-liberal state to increasingly withdraw from its social responsibility of granting the right to comprehensive health care, a secure old age, and adequate care.","container-title":"Contemporary Japan","DOI":"10.1080/18692729.2020.1714279","ISSN":"1869-2729","issue":"1","note":"publisher: Routledge\n_eprint: https://doi.org/10.1080/18692729.2020.1714279","page":"63-82","source":"Taylor and Francis+NEJM","title":"Deciding one’s own death in advance: Biopower, living wills, and resistance to a legislation of death with dignity in Japan","title-short":"Deciding one’s own death in advance","volume":"32","author":[{"family":"Spoden","given":"Celia"}],"issued":{"date-parts":[["2020",1,2]]}}}],"schema":"https://github.com/citation-style-language/schema/raw/master/csl-citation.json"} </w:instrText>
      </w:r>
      <w:r w:rsidRPr="000F7E56">
        <w:fldChar w:fldCharType="separate"/>
      </w:r>
      <w:r w:rsidR="000D5597" w:rsidRPr="000D5597">
        <w:rPr>
          <w:rFonts w:ascii="Calibri" w:hAnsi="Calibri" w:cs="Times New Roman"/>
          <w:szCs w:val="24"/>
          <w:vertAlign w:val="superscript"/>
        </w:rPr>
        <w:t>152,153</w:t>
      </w:r>
      <w:r w:rsidRPr="000F7E56">
        <w:fldChar w:fldCharType="end"/>
      </w:r>
      <w:r w:rsidRPr="000F7E56">
        <w:t xml:space="preserve"> In these cases, the positive recovery orientation might work to their disadvantage, much as previous studies have reported over a period of more than half a century.</w:t>
      </w:r>
      <w:r w:rsidRPr="000F7E56">
        <w:fldChar w:fldCharType="begin"/>
      </w:r>
      <w:r w:rsidR="000D5597">
        <w:instrText xml:space="preserve"> ADDIN ZOTERO_ITEM CSL_CITATION {"citationID":"wTJzVtUo","properties":{"formattedCitation":"\\super 150,154\\uc0\\u8211{}156\\nosupersub{}","plainCitation":"150,154–156","noteIndex":0},"citationItems":[{"id":27,"uris":["http://zotero.org/users/8748280/items/VZHBBX7X"],"itemData":{"id":27,"type":"book","publisher":"Routledge","source":"Google Scholar","title":"Awareness of dying","author":[{"family":"Glaser","given":"Barney G."},{"family":"Strauss","given":"Anselm L."}],"issued":{"date-parts":[["1965"]]}}},{"id":1798,"uris":["http://zotero.org/users/8748280/items/2PPTHQUV"],"itemData":{"id":1798,"type":"webpage","abstract":"AbeBooks.com: Communication and Awareness in a Cancer Ward (9780882021096) by McIntosh, Jim and a great selection of similar New, Used and Collectible Books available now at great prices.","language":"en","title":"9780882021096: Communication and Awareness in a Cancer Ward - AbeBooks - McIntosh, Jim: 0882021095","title-short":"9780882021096","URL":"https://www.abebooks.com/9780882021096/Communication-Awareness-Cancer-Ward-McIntosh-0882021095/plp","accessed":{"date-parts":[["2021",12,8]]}}},{"id":1801,"uris":["http://zotero.org/users/8748280/items/XPI3RQS6"],"itemData":{"id":1801,"type":"article-journal","abstract":"AIMS: To explore if and how information about a transition to a palliative care approach was communicated to patients recently discharged from hospital and who fulfilled standardized criteria for palliative care need.\nBACKGROUND: Palliative care philosophy and, more recently, UK palliative care policy, endorse a context of 'open' awareness, where all parties openly acknowledge that the patient's death is approaching. The perceived benefits of making the patient aware of their prognosis encompass a variety of planning activities, which mean that death, when it occurs, is arguably more in keeping with the wishes of the patient.\nDESIGN: A qualitative inductive interview study conducted in 2010-2011.\nMETHODS: Fifteen semi-structured interviews were conducted with 15 patients and 3 family carers. All patients were identified as having palliative care needs according to standardized criteria, 3-6 months after discharge from hospital. A thematic analysis was undertaken.\nFINDINGS: Contrary to the professed ideal of 'open' awareness, some participants were only partially aware and others wholly unaware that they were likely to be approaching the end-of-life. Those identified as unaware were over 85. Participants displayed a reluctance to acquire knowledge which would require them to face the imminence of death.\nCONCLUSION: Philosophy and policy aside, people do not always conform to the autonomy paradigm of a self-directed life followed by a self-directed death.","container-title":"Journal of Advanced Nursing","DOI":"10.1111/jan.12151","ISSN":"1365-2648","issue":"12","journalAbbreviation":"J Adv Nurs","language":"eng","note":"PMID: 23600793","page":"2654-2664","source":"PubMed","title":"Awareness contexts revisited: indeterminacy in initiating discussions at the end-of-life","title-short":"Awareness contexts revisited","volume":"69","author":[{"family":"Richards","given":"Naomi"},{"family":"Ingleton","given":"Christine"},{"family":"Gardiner","given":"Clare"},{"family":"Gott","given":"Merryn"}],"issued":{"date-parts":[["2013",12]]}}},{"id":1803,"uris":["http://zotero.org/users/8748280/items/7WT8QEV3"],"itemData":{"id":1803,"type":"article-journal","abstract":"In 1965, Glaser and Strauss (1965) offered the concept of \"awareness contexts\" to explain what patients in hospitals do or don't know about their death trajectories. Awareness ranges from closed (where patients are completely unaware and family and providers protect \"the secret\") to open (where all parties communicate openly and honestly). While closed awareness was the norm in 1960s, open awareness is now considered standard practice in US, a reflection of mounting evidence that patients, families, and providers benefit from clear and honest communication at end of life (Seale et al., 1997; Wright et al., 2008). Despite the known benefits of open awareness, many terminal patients remain unaware or confused about their prognoses (Chen et al., 2017). This paper asks why, in an era of open awareness, are patients and families uncertain about dying? To answer this question, we focus on an aspect of Glaser and Strauss's theory that remains relatively understudied by researchers, namely the role of institutional and organizational realities in shaping awareness contexts. Based on interviews with 43 family members of deceased patients who died at General Hospital in the Midwestern US, we argue that two related conditions in hospitals-the increased specialization of medical professionals and the fragmentation of patient care-serve as important context for the death awareness of patients and families.","container-title":"Social Science &amp; Medicine (1982)","DOI":"10.1016/j.socscimed.2018.10.028","ISSN":"1873-5347","journalAbbreviation":"Soc Sci Med","language":"eng","note":"PMID: 30458430","page":"212-218","source":"PubMed","title":"Revisiting 'awareness contexts' in the 21st century hospital: How fragmented and specialized care shape patients' Awareness of Dying","title-short":"Revisiting 'awareness contexts' in the 21st century hospital","volume":"220","author":[{"family":"Stacey","given":"Clare L."},{"family":"Pai","given":"Manacy"},{"family":"Novisky","given":"Meghan A."},{"family":"Radwany","given":"Steven M."}],"issued":{"date-parts":[["2019",1]]}}}],"schema":"https://github.com/citation-style-language/schema/raw/master/csl-citation.json"} </w:instrText>
      </w:r>
      <w:r w:rsidRPr="000F7E56">
        <w:fldChar w:fldCharType="separate"/>
      </w:r>
      <w:r w:rsidR="000D5597" w:rsidRPr="000D5597">
        <w:rPr>
          <w:rFonts w:ascii="Calibri" w:hAnsi="Calibri" w:cs="Times New Roman"/>
          <w:szCs w:val="24"/>
          <w:vertAlign w:val="superscript"/>
        </w:rPr>
        <w:t>150,154–156</w:t>
      </w:r>
      <w:r w:rsidRPr="000F7E56">
        <w:fldChar w:fldCharType="end"/>
      </w:r>
      <w:r w:rsidRPr="000F7E56">
        <w:t xml:space="preserve"> </w:t>
      </w:r>
    </w:p>
    <w:p w14:paraId="7E0BCF32" w14:textId="77777777" w:rsidR="000F7E56" w:rsidRPr="000F7E56" w:rsidRDefault="000F7E56" w:rsidP="000F7E56">
      <w:pPr>
        <w:spacing w:after="120" w:line="360" w:lineRule="auto"/>
        <w:contextualSpacing/>
      </w:pPr>
    </w:p>
    <w:p w14:paraId="2618B1E5" w14:textId="44F8C75D" w:rsidR="000F7E56" w:rsidRPr="000F7E56" w:rsidRDefault="000F7E56" w:rsidP="000F7E56">
      <w:pPr>
        <w:spacing w:after="120" w:line="360" w:lineRule="auto"/>
        <w:contextualSpacing/>
      </w:pPr>
      <w:r w:rsidRPr="000F7E56">
        <w:t>Individuals who sought to know the details of their illness and prognosis became extremely frustrated by what they perceived to be professional reluctance to address these issues, and by their evasion and indeterminacy, whether this stemmed from deliberate evasion or lack of expertise. Some participants appreciated that professionals themselves were subject to the intrinsic uncertainty of prognosis. Their experience evokes the distinction originally made between ‘clinical’ and ‘functional’ uncertainty.</w:t>
      </w:r>
      <w:r w:rsidRPr="000F7E56">
        <w:fldChar w:fldCharType="begin"/>
      </w:r>
      <w:r w:rsidR="000D5597">
        <w:instrText xml:space="preserve"> ADDIN ZOTERO_ITEM CSL_CITATION {"citationID":"a1bo8rja0hs","properties":{"formattedCitation":"\\super 157\\nosupersub{}","plainCitation":"157","noteIndex":0},"citationItems":[{"id":1805,"uris":["http://zotero.org/users/8748280/items/HJ5S4F8U"],"itemData":{"id":1805,"type":"book","event-place":"Indianapolis","language":"English","note":"OCLC: 547267","publisher":"Bobbs-Merrill","publisher-place":"Indianapolis","source":"Open WorldCat","title":"Passage through crisis; polio victims and their families.","author":[{"family":"Davis","given":"Fred"}],"issued":{"date-parts":[["1963"]]}}}],"schema":"https://github.com/citation-style-language/schema/raw/master/csl-citation.json"} </w:instrText>
      </w:r>
      <w:r w:rsidRPr="000F7E56">
        <w:fldChar w:fldCharType="separate"/>
      </w:r>
      <w:r w:rsidR="000D5597" w:rsidRPr="000D5597">
        <w:rPr>
          <w:rFonts w:ascii="Calibri" w:hAnsi="Calibri" w:cs="Times New Roman"/>
          <w:szCs w:val="24"/>
          <w:vertAlign w:val="superscript"/>
        </w:rPr>
        <w:t>157</w:t>
      </w:r>
      <w:r w:rsidRPr="000F7E56">
        <w:fldChar w:fldCharType="end"/>
      </w:r>
      <w:r w:rsidRPr="000F7E56">
        <w:t xml:space="preserve"> ‘Clinical’ </w:t>
      </w:r>
      <w:r w:rsidRPr="000F7E56">
        <w:lastRenderedPageBreak/>
        <w:t>uncertainty refers to the real unpredictability of illness progression and outcome, whereas ‘functional’ uncertainty is a strategy professionals adopt to manage their engagement with patients and families and avoid being drawn into difficult and protracted conversations. Some family members in the study adopted a similar strategy in withholding information from relatives and, especially patients, in order to avoid distress and maintain hope.</w:t>
      </w:r>
      <w:r w:rsidRPr="000F7E56">
        <w:fldChar w:fldCharType="begin"/>
      </w:r>
      <w:r w:rsidR="000D5597">
        <w:instrText xml:space="preserve"> ADDIN ZOTERO_ITEM CSL_CITATION {"citationID":"a2qg3dfsit1","properties":{"formattedCitation":"\\super 72\\nosupersub{}","plainCitation":"72","noteIndex":0},"citationItems":[{"id":1754,"uris":["http://zotero.org/users/8748280/items/A2J52N9I"],"itemData":{"id":1754,"type":"report","page":"2-24","publisher":"Woolf Institute","title":"Advance  care  planning   and  Muslim  communities A report commissioned by   Compassion in Dying as part of   the  My Life, My Decision  programme","URL":"http://www. faithaction.net/portal/wp-content/uploads/cidplanning-muslim-1.pdf","author":[{"family":"Ahmed","given":"Sughra"},{"family":"Siddiqi, Naved","given":""}],"issued":{"date-parts":[["2016",10]]}}}],"schema":"https://github.com/citation-style-language/schema/raw/master/csl-citation.json"} </w:instrText>
      </w:r>
      <w:r w:rsidRPr="000F7E56">
        <w:fldChar w:fldCharType="separate"/>
      </w:r>
      <w:r w:rsidR="00496C3B" w:rsidRPr="00496C3B">
        <w:rPr>
          <w:rFonts w:ascii="Calibri" w:hAnsi="Calibri" w:cs="Calibri"/>
          <w:szCs w:val="24"/>
          <w:vertAlign w:val="superscript"/>
        </w:rPr>
        <w:t>72</w:t>
      </w:r>
      <w:r w:rsidRPr="000F7E56">
        <w:fldChar w:fldCharType="end"/>
      </w:r>
      <w:r w:rsidRPr="000F7E56">
        <w:t xml:space="preserve"> This effort to protect patients from awareness of their poor prognosis has been widely reported among ED populations.</w:t>
      </w:r>
      <w:r w:rsidRPr="000F7E56">
        <w:fldChar w:fldCharType="begin"/>
      </w:r>
      <w:r w:rsidR="000D5597">
        <w:instrText xml:space="preserve"> ADDIN ZOTERO_ITEM CSL_CITATION {"citationID":"avqfmmu84m","properties":{"formattedCitation":"\\super 102,138,158\\uc0\\u8211{}160\\nosupersub{}","plainCitation":"102,138,158–160","noteIndex":0},"citationItems":[{"id":"aZbwIlcN/jQeKRtim","uris":["http://zotero.org/users/6587080/items/YDAWXKCK"],"itemData":{"id":"gHPDX7Ii/kh4SfMqc","type":"webpage","title":"END-OF-LIFE CARE FOR THE BRITISH ASIAN HINDU COMMUNITY: PREFERENCES AND SOLUTIONS.","URL":"https://web.b.ebscohost.com/abstract?direct=true&amp;profile=ehost&amp;scope=site&amp;authtype=crawler&amp;jrnl=20476361&amp;AN=90453994&amp;h=ZCo1Cg%2b5ElgLg9HaL%2bSgavZSaAHjntjmZkas0HE8O6FIjRiR5ODZllRYH0xv8pTufCJqSCooEJdr4i%2fjjz3T6A%3d%3d&amp;crl=c&amp;resultNs=AdminWebAuth&amp;resultLocal=ErrCrlNotAuth&amp;crlhashurl=login.aspx%3fdirect%3dtrue%26profile%3dehost%26scope%3dsite%26authtype%3dcrawler%26jrnl%3d20476361%26AN%3d90453994","author":[{"family":"Frearson","given":"Sarah"},{"family":"Henderson, Jane","given":""},{"family":"Raval, Bharti","given":""},{"family":"Daniels, Charles","given":""},{"family":"Burke, Geraldine","given":""},{"family":"Koffman, Jonathan","given":""}],"accessed":{"date-parts":[["2021",2,19]]},"issued":{"date-parts":[["2013"]]}}},{"id":1764,"uris":["http://zotero.org/users/8748280/items/W5M9XVUV"],"itemData":{"id":1764,"type":"article-journal","abstract":"Advance care directives situate persons as rational and self-determining actors who can make anticipatory plans about their futures. This paper critically examines how people interpret individual and future-oriented approaches to medical decision-making with limited access to information and knowledge, and reduced opportunities to prepare and document their care preferences. Based on ethnographic research with Asian migrant families living in Adelaide, South Australia (August 2015–July 2018), it reveals a discord between planning for a finite future and the contingencies and continuities of social life. It unsettles the detached reasoning that is privileged in end-of-life decision-making and reveals limitations to “do-it-yourself” approaches to advance care directives which, it will be argued, not only forecasts potential futures but also forecloses them. Taking Derrida's critique of death and decision-making as a point of departure, it develops the concept of temporal dissonance as a theoretical framework to articulate the tensions that are constituted in advance care directives. The paper suggests that attention to temporal incongruities may help to shed light on the many complex interpretations of advance care directives and the difficulties of promoting them in diverse contexts.","container-title":"Social Science &amp; Medicine","DOI":"10.1016/j.socscimed.2018.08.035","ISSN":"0277-9536","journalAbbreviation":"Social Science &amp; Medicine","language":"en","page":"16-22","source":"ScienceDirect","title":"Forecasting and foreclosing futures: The temporal dissonance of advance care directives","title-short":"Forecasting and foreclosing futures","volume":"215","author":[{"family":"Zivkovic","given":"Tanya"}],"issued":{"date-parts":[["2018",10,1]]}}},{"id":1806,"uris":["http://zotero.org/users/8748280/items/9HPZVY33"],"itemData":{"id":1806,"type":"article-journal","abstract":"This paper explores the views of healthcare staff regarding the provision of culturally appropriate palliative care for Māori, Pacific Island and Chinese elders living in Auckland, New Zealand. The ageing population is culturally and ethnically diverse and, along with other developed countries experiencing high levels of migration, the challenge is balancing the rise in numbers of older people from different ethnic and cultural groups with end-of-life care, which reflects personal values and beliefs. Two joint interviews and ten focus groups were conducted with eighty staff across a range of primary, secondary and speciality care settings in 2010. The findings demonstrated that participants viewed the involvement of family as fundamental to the provision of palliative care for Māori, Pacific Island and Chinese elders. For Māori and Pacific Islanders, healthcare staff indicated the importance of enabling family members to provide 'hands-on' care. The role of family in decision-making was fundamental to the delivery of and satisfaction with care for older Chinese family members. Care staff highlighted the need to be cognisant of individual preferences both within and across cultures as a fundamental aspect of palliative care provision. The role of family in 'hands-on' palliative care and decision-making requires care staff to relinquish their role as 'expert provider'. Counter to the prioritisation of autonomy in Western health-care, collective decision-making was favoured by Chinese elders. Providing families with the requisite knowledge and skills to give care to older family members was important. Whilst assumptions are sometimes made about preferences for end-of-life care based on cultural values alone, these data suggest that care preferences need to be ascertained by working with family members on an individual basis and in a manner that respects their involvement in palliative care provision.","container-title":"Health &amp; Social Care in the Community","DOI":"10.1111/j.1365-2524.2012.01083.x","ISSN":"1365-2524","issue":"1","journalAbbreviation":"Health Soc Care Community","language":"eng","note":"PMID: 22812427","page":"26-34","source":"PubMed","title":"What are the priorities for developing culturally appropriate palliative and end-of-life care for older people? The views of healthcare staff working in New Zealand","title-short":"What are the priorities for developing culturally appropriate palliative and end-of-life care for older people?","volume":"21","author":[{"family":"Bellamy","given":"Gary"},{"family":"Gott","given":"Merryn"}],"issued":{"date-parts":[["2013",1]]}}},{"id":1808,"uris":["http://zotero.org/users/8748280/items/BZLC2KVX"],"itemData":{"id":1808,"type":"article-journal","abstract":"Our aim was to obtain a clearer picture of the relevant care experiences and care perceptions of incurably ill Turkish and Moroccan patients, their relatives and professional care providers, as well as of communication and decision-making patterns at the end of life. The ultimate objective is to improve palliative care for Turkish and Moroccan immigrants in the Netherlands, by taking account of socio-cultural factors in the guidelines for palliative care.","container-title":"BMC Palliative Care","DOI":"10.1186/1472-684X-11-17","ISSN":"1472-684X","issue":"1","journalAbbreviation":"BMC Palliative Care","page":"17","source":"BioMed Central","title":"Perspectives on care and communication involving incurably ill Turkish and Moroccan patients, relatives and professionals: a systematic literature review","title-short":"Perspectives on care and communication involving incurably ill Turkish and Moroccan patients, relatives and professionals","volume":"11","author":[{"family":"Graaff","given":"Fuusje M.","non-dropping-particle":"de"},{"family":"Mistiaen","given":"Patriek"},{"family":"Devillé","given":"Walter LJM"},{"family":"Francke","given":"Anneke L."}],"issued":{"date-parts":[["2012",9,18]]}}},{"id":311,"uris":["http://zotero.org/users/8748280/items/PN8IDEYQ"],"itemData":{"id":311,"type":"article-journal","abstract":"&lt;p&gt;Historic migration and the ever–increasing current migration into Western countries have greatly changed the ethnic and cultural patterns of patient populations. Because health care beliefs of minority groups may follow their religion and country of origin, inevitable conflict can arise with decision making at the end of life. The principles of truth telling and patient autonomy are embedded in the framework of Anglo–American medical ethics. In contrast, in many parts of the world, the cultural norm is protection of the patient from the truth, decision making by the family, and a tradition of familial piety, where it is dishonorable not to do as much as possible for parents. The challenge for health care professionals is to understand how culture has enormous potential to influence patients’ responses to medical issues, such as healing and suffering, as well as the physician-patient relationship. Our paper provides a framework of communication strategies that enhance crosscultural competency within nephrology teams. Shared decision making also enables clinicians to be culturally competent communicators by providing a model where clinicians and patients jointly consider best clinical evidence in light of a patient’s specific health characteristics and values when choosing health care. The development of decision aids to include cultural awareness could avoid conflict proactively, more productively address it when it occurs, and enable decision making within the framework of the patient and family cultural beliefs.&lt;/p&gt;","container-title":"Clinical Journal of the American Society of Nephrology","DOI":"10.2215/CJN.13661215","ISSN":"1555-9041, 1555-905X","issue":"10","journalAbbreviation":"CJASN","language":"en","page":"1902-1908","source":"cjasn.asnjournals.org","title":"Supportive Care: Communication Strategies to Improve Cultural Competence in Shared Decision Making","title-short":"Supportive Care","volume":"11","author":[{"family":"Brown","given":"Edwina A."},{"family":"Bekker","given":"Hilary L."},{"family":"Davison","given":"Sara N."},{"family":"Koffman","given":"Jonathan"},{"family":"Schell","given":"Jane O."}],"issued":{"date-parts":[["2016",10,7]]}}}],"schema":"https://github.com/citation-style-language/schema/raw/master/csl-citation.json"} </w:instrText>
      </w:r>
      <w:r w:rsidRPr="000F7E56">
        <w:fldChar w:fldCharType="separate"/>
      </w:r>
      <w:r w:rsidR="000D5597" w:rsidRPr="000D5597">
        <w:rPr>
          <w:rFonts w:ascii="Calibri" w:hAnsi="Calibri" w:cs="Times New Roman"/>
          <w:szCs w:val="24"/>
          <w:vertAlign w:val="superscript"/>
        </w:rPr>
        <w:t>102,138,158–160</w:t>
      </w:r>
      <w:r w:rsidRPr="000F7E56">
        <w:fldChar w:fldCharType="end"/>
      </w:r>
      <w:r w:rsidRPr="000F7E56">
        <w:t xml:space="preserve"> </w:t>
      </w:r>
    </w:p>
    <w:p w14:paraId="1C6D5411" w14:textId="77777777" w:rsidR="000F7E56" w:rsidRPr="000F7E56" w:rsidRDefault="000F7E56" w:rsidP="000F7E56">
      <w:pPr>
        <w:spacing w:after="120" w:line="360" w:lineRule="auto"/>
        <w:contextualSpacing/>
      </w:pPr>
    </w:p>
    <w:p w14:paraId="293EDAA8" w14:textId="6313B1F1" w:rsidR="000F7E56" w:rsidRPr="000F7E56" w:rsidRDefault="000F7E56" w:rsidP="000F7E56">
      <w:pPr>
        <w:spacing w:after="120" w:line="360" w:lineRule="auto"/>
        <w:contextualSpacing/>
      </w:pPr>
      <w:r w:rsidRPr="000F7E56">
        <w:t>In contrast to the circumspection with which professionals often approached end-of-life care discussion during scheduled or routine encounters, FCGs described a much blunter approach prompted by patients’ urgent hospital admissions following a crisis or rapid deterioration in their condition. The families described distressing experiences when professionals sought rapid answers to questions, notably about resuscitation, for which they were not prepared. These often occurred during times of great distress, when the patient was acutely ill, and relatives were struggling to come to terms with the gravity of the situation and the uncertainty of recovery. Consequently, the setting and context within which discussion of advance decisions occurred was an important determinant of patient and FCGs’ experience and willingness to engage with the topic.</w:t>
      </w:r>
      <w:r w:rsidRPr="000F7E56">
        <w:fldChar w:fldCharType="begin"/>
      </w:r>
      <w:r w:rsidR="000D5597">
        <w:instrText xml:space="preserve"> ADDIN ZOTERO_ITEM CSL_CITATION {"citationID":"tc8xWmOI","properties":{"formattedCitation":"\\super 150\\nosupersub{}","plainCitation":"150","noteIndex":0},"citationItems":[{"id":1803,"uris":["http://zotero.org/users/8748280/items/7WT8QEV3"],"itemData":{"id":1803,"type":"article-journal","abstract":"In 1965, Glaser and Strauss (1965) offered the concept of \"awareness contexts\" to explain what patients in hospitals do or don't know about their death trajectories. Awareness ranges from closed (where patients are completely unaware and family and providers protect \"the secret\") to open (where all parties communicate openly and honestly). While closed awareness was the norm in 1960s, open awareness is now considered standard practice in US, a reflection of mounting evidence that patients, families, and providers benefit from clear and honest communication at end of life (Seale et al., 1997; Wright et al., 2008). Despite the known benefits of open awareness, many terminal patients remain unaware or confused about their prognoses (Chen et al., 2017). This paper asks why, in an era of open awareness, are patients and families uncertain about dying? To answer this question, we focus on an aspect of Glaser and Strauss's theory that remains relatively understudied by researchers, namely the role of institutional and organizational realities in shaping awareness contexts. Based on interviews with 43 family members of deceased patients who died at General Hospital in the Midwestern US, we argue that two related conditions in hospitals-the increased specialization of medical professionals and the fragmentation of patient care-serve as important context for the death awareness of patients and families.","container-title":"Social Science &amp; Medicine (1982)","DOI":"10.1016/j.socscimed.2018.10.028","ISSN":"1873-5347","journalAbbreviation":"Soc Sci Med","language":"eng","note":"PMID: 30458430","page":"212-218","source":"PubMed","title":"Revisiting 'awareness contexts' in the 21st century hospital: How fragmented and specialized care shape patients' Awareness of Dying","title-short":"Revisiting 'awareness contexts' in the 21st century hospital","volume":"220","author":[{"family":"Stacey","given":"Clare L."},{"family":"Pai","given":"Manacy"},{"family":"Novisky","given":"Meghan A."},{"family":"Radwany","given":"Steven M."}],"issued":{"date-parts":[["2019",1]]}}}],"schema":"https://github.com/citation-style-language/schema/raw/master/csl-citation.json"} </w:instrText>
      </w:r>
      <w:r w:rsidRPr="000F7E56">
        <w:fldChar w:fldCharType="separate"/>
      </w:r>
      <w:r w:rsidR="000D5597" w:rsidRPr="000D5597">
        <w:rPr>
          <w:rFonts w:ascii="Calibri" w:hAnsi="Calibri" w:cs="Times New Roman"/>
          <w:szCs w:val="24"/>
          <w:vertAlign w:val="superscript"/>
        </w:rPr>
        <w:t>150</w:t>
      </w:r>
      <w:r w:rsidRPr="000F7E56">
        <w:fldChar w:fldCharType="end"/>
      </w:r>
    </w:p>
    <w:p w14:paraId="6B5727A2" w14:textId="77777777" w:rsidR="000F7E56" w:rsidRPr="000F7E56" w:rsidRDefault="000F7E56" w:rsidP="000F7E56">
      <w:pPr>
        <w:spacing w:after="120" w:line="360" w:lineRule="auto"/>
        <w:contextualSpacing/>
      </w:pPr>
    </w:p>
    <w:p w14:paraId="0998726F" w14:textId="6C084978" w:rsidR="000F7E56" w:rsidRPr="000F7E56" w:rsidRDefault="000F7E56" w:rsidP="000F7E56">
      <w:pPr>
        <w:spacing w:after="120" w:line="360" w:lineRule="auto"/>
        <w:contextualSpacing/>
      </w:pPr>
      <w:r w:rsidRPr="000F7E56">
        <w:t xml:space="preserve"> It might be proposed that it is precisely the purpose of advance discussion and documentation of wishes to pre-empt the occurrence of such situations. However, as Mol and others have argued, decisions by patients and FCGs are always hampered by the intrinsic uncertainty and incomplete nature of the information they have at their disposal about what is going to happen in the future and what is the best way to respond.</w:t>
      </w:r>
      <w:r w:rsidRPr="000F7E56">
        <w:fldChar w:fldCharType="begin"/>
      </w:r>
      <w:r w:rsidR="000D5597">
        <w:instrText xml:space="preserve"> ADDIN ZOTERO_ITEM CSL_CITATION {"citationID":"YZM6s0Pj","properties":{"formattedCitation":"\\super 138,140,161\\uc0\\u8211{}164\\nosupersub{}","plainCitation":"138,140,161–164","noteIndex":0},"citationItems":[{"id":1764,"uris":["http://zotero.org/users/8748280/items/W5M9XVUV"],"itemData":{"id":1764,"type":"article-journal","abstract":"Advance care directives situate persons as rational and self-determining actors who can make anticipatory plans about their futures. This paper critically examines how people interpret individual and future-oriented approaches to medical decision-making with limited access to information and knowledge, and reduced opportunities to prepare and document their care preferences. Based on ethnographic research with Asian migrant families living in Adelaide, South Australia (August 2015–July 2018), it reveals a discord between planning for a finite future and the contingencies and continuities of social life. It unsettles the detached reasoning that is privileged in end-of-life decision-making and reveals limitations to “do-it-yourself” approaches to advance care directives which, it will be argued, not only forecasts potential futures but also forecloses them. Taking Derrida's critique of death and decision-making as a point of departure, it develops the concept of temporal dissonance as a theoretical framework to articulate the tensions that are constituted in advance care directives. The paper suggests that attention to temporal incongruities may help to shed light on the many complex interpretations of advance care directives and the difficulties of promoting them in diverse contexts.","container-title":"Social Science &amp; Medicine","DOI":"10.1016/j.socscimed.2018.08.035","ISSN":"0277-9536","journalAbbreviation":"Social Science &amp; Medicine","language":"en","page":"16-22","source":"ScienceDirect","title":"Forecasting and foreclosing futures: The temporal dissonance of advance care directives","title-short":"Forecasting and foreclosing futures","volume":"215","author":[{"family":"Zivkovic","given":"Tanya"}],"issued":{"date-parts":[["2018",10,1]]}}},{"id":1769,"uris":["http://zotero.org/users/8748280/items/QPP6JD6N"],"itemData":{"id":1769,"type":"webpage","abstract":"**Shortlisted for the BSA Sociology of Health and Illness Book Prize 2010**What is good care? In this innovative and compelling book, Annemarie Mol argues that good care has little to do with 'patient choice' and, therefore, creating more opportunities for patient choice will not improve health care.\n\nAlthough it is possible to treat people who seek professional help as customers or citizens, Mol argues that this undermines ways of thinking and acting crucial to health care. Illustrating the dis","container-title":"Routledge &amp; CRC Press","language":"en","title":"The Logic of Care: Health and the Problem of Patient Choice","title-short":"The Logic of Care","URL":"https://www.routledge.com/The-Logic-of-Care-Health-and-the-Problem-of-Patient-Choice/Mol/p/book/9780415453431","author":[{"family":"Moll, Annemarie","given":""}],"accessed":{"date-parts":[["2021",12,8]]}}},{"id":198,"uris":["http://zotero.org/users/8748280/items/I3A6IUFT"],"itemData":{"id":198,"type":"article-journal","abstract":"Transitions to palliative care can involve a shift in philosophy from life-prolonging to life-enhancing care. People living with a life-limiting illness will often receive palliative care through specialist outpatient clinics, while also being cared for by another medical specialty. Experiences of this point of care have been described as being liminal in character, that is, somewhere between living and dying. Drawing on experiences of illness and care taken from semistructured interviews with 30 palliative care outpatients in Australia, we found that this phase was frequently understood as concurrently living and dying. We suggest that this is a “parallax experience” involving narratives of a coherent linear self that is able to understand both realities, in a way that acknowledges the benefits of being multiple. These findings have significant implications for the ways in which palliative care is understood and how the self and subjectivity might be conceptualized at the end of life.","container-title":"Qualitative Health Research","DOI":"10.1177/1049732315618938","ISSN":"1049-7323","issue":"5","journalAbbreviation":"Qual Health Res","language":"en","page":"623-633","source":"SAGE Journals","title":"The Liminal and the Parallax: Living and Dying at the End of Life","title-short":"The Liminal and the Parallax","volume":"27","author":[{"family":"MacArtney","given":"John I."},{"family":"Broom","given":"Alex"},{"family":"Kirby","given":"Emma"},{"family":"Good","given":"Phillip"},{"family":"Wootton","given":"Julia"}],"issued":{"date-parts":[["2017",4,1]]}}},{"id":1811,"uris":["http://zotero.org/users/8748280/items/9NUECY75"],"itemData":{"id":1811,"type":"article-journal","abstract":"The participation of patients in making decisions about their care is especially important towards the end of life because palliative care decisions involve extensive uncertainty and are heavily influenced by personal values. Yet, there is a scarcity of studies directly observing clinical interactions between palliative patients and their health care providers. In this study, we aimed to understand how patient participation in palliative care decisions is constructed through discourse in a community hospital-based palliative care team. This qualitative study combined ethnographic observations of a palliative care team with discourse analysis. Eighteen palliative care patients with cancer diagnoses, six family physicians, and two nurses were involved in the study. Multiple interactions were observed between each patient and health care providers over the course of 1 year, for a total of 101 consultations, 24 of which were audio-recorded. The analysis consisted in looking for the interpretive repertoires (i.e., familiar lines of argument used to justify actions) that were used to justify patient participation in decision-making during clinical interactions, as well as exploring their implications for decision roles and end-of-life care. Patients and their health care providers seldom addressed their decision-making roles explicitly. Rather, they constructed patient participation in palliative care decisions in a covert manner. Four interpretive repertoires were used to justify patient participation: (1) exposing uncertainty, (2) co-constructing patient preferences, (3) affirming patient autonomy, and finally (4) upholding the authority of health care providers. The results demonstrate how patients and health care providers used these arguments to negotiate their respective roles in decision-making. In conclusion, patients and health care providers used a variety of interpretive repertoires to covertly negotiate their roles in decision-making, and to legitimize decisions that shaped patients' dying trajectories. Discourse analysis encourages awareness of the role of language in either promoting or hindering patient participation in decision-making.","container-title":"International Journal of Qualitative Studies on Health and Well-Being","DOI":"10.3402/qhw.v11.32438","ISSN":"1748-2631","journalAbbreviation":"Int J Qual Stud Health Well-being","language":"eng","note":"PMID: 27882864\nPMCID: PMC5122231","page":"32438","source":"PubMed","title":"Patient participation in palliative care decisions: An ethnographic discourse analysis","title-short":"Patient participation in palliative care decisions","volume":"11","author":[{"family":"Bélanger","given":"Emmanuelle"},{"family":"Rodríguez","given":"Charo"},{"family":"Groleau","given":"Danielle"},{"family":"Légaré","given":"France"},{"family":"MacDonald","given":"Mary Ellen"},{"family":"Marchand","given":"Robert"}],"issued":{"date-parts":[["2016"]]}}},{"id":1814,"uris":["http://zotero.org/users/8748280/items/U3VCRMN4"],"itemData":{"id":1814,"type":"article-journal","abstract":"Neoliberal policies are shaping the healthcare landscape by emphasizing individual choice. End-of-life care is a case in point as patient choice, through advance care planning, is a key conceptual framework for motivating service development and provision. Based on qualitative ethnographic research in England, this article describes what choice is and how it is enacted in the context of end-of-life care. Within policy, choice represents individual autonomy and is a goal to strive towards. In order to enable choice, healthcare professionals are to openly discuss dying with patients and in turn, patients are expected to express their preferences. However, by focusing on two case studies, the article demonstrates how people struggle to articulate choice in these ways and the preferences expressed represent the complex contexts in which care is performed. Although death is certain, the possibility of control alluded to by choice rhetoric is not realized in practice.","container-title":"Current Sociology","DOI":"10.1177/0011392115590084","ISSN":"0011-3921","issue":"5","journalAbbreviation":"Current Sociology","language":"en","note":"publisher: SAGE Publications Ltd","page":"700-713","source":"SAGE Journals","title":"Planning for an (un)certain future: Choice within English end-of-life care","title-short":"Planning for an (un)certain future","volume":"63","author":[{"family":"Borgstrom","given":"Erica"}],"issued":{"date-parts":[["2015",9,1]]}}},{"id":1816,"uris":["http://zotero.org/users/8748280/items/WARF8AD4"],"itemData":{"id":1816,"type":"article-journal","abstract":"BACKGROUND: It is often suggested that terminally ill patients favour end-of-life care at home. Yet, it is unclear how these preferences are formed, if the process is similar for patients and family caregivers, and if there are discrepancies between preferences for place of care and place of death. Understanding these nuances is essential to support people in their decision-making and ultimately provide better care at the end-of-life.\nAIM: To gain an in-depth understanding of how terminally ill patients and their family caregivers make decisions about preferred place of care and place of death.\nDESIGN: Semi-structured interviews with patients and family caregivers, which were analysed thematically using qualitative description.\nSETTING/PARTICIPANTS: A total of 17 participants (8 patients and 9 caregivers) recruited from an acute palliative care hospital ward, a sub-acute hospice unit, and a palliative homecare organisation in Melbourne, Australia.\nRESULTS: The process of forming location preferences was shaped by uncertainty relating to the illness, the caregiver and the services. Patients and caregivers dealt with this uncertainty on a level of thoughts, emotions, and actions. At the end of this process, patients and caregivers expressed their choices as contextual, personal, relational, conditional and flexible preferences.\nCONCLUSIONS: These findings suggest that in many cases end-of-life decision-making does not conclude with a clear and stable choice. Understanding the reasons for the malleability of preferences and the process of how they are formed has implications for both clinicians and researchers.","container-title":"Palliative Medicine","DOI":"10.1177/0269216319845794","ISSN":"1477-030X","issue":"7","journalAbbreviation":"Palliat Med","language":"eng","note":"PMID: 31046580","page":"802-811","source":"PubMed","title":"'It all depends!': A qualitative study of preferences for place of care and place of death in terminally ill patients and their family caregivers","title-short":"'It all depends!'","volume":"33","author":[{"family":"Gerber","given":"Katrin"},{"family":"Hayes","given":"Barbara"},{"family":"Bryant","given":"Christina"}],"issued":{"date-parts":[["2019",7]]}}}],"schema":"https://github.com/citation-style-language/schema/raw/master/csl-citation.json"} </w:instrText>
      </w:r>
      <w:r w:rsidRPr="000F7E56">
        <w:fldChar w:fldCharType="separate"/>
      </w:r>
      <w:r w:rsidR="000D5597" w:rsidRPr="000D5597">
        <w:rPr>
          <w:rFonts w:ascii="Calibri" w:hAnsi="Calibri" w:cs="Times New Roman"/>
          <w:szCs w:val="24"/>
          <w:vertAlign w:val="superscript"/>
        </w:rPr>
        <w:t>138,140,161–164</w:t>
      </w:r>
      <w:r w:rsidRPr="000F7E56">
        <w:fldChar w:fldCharType="end"/>
      </w:r>
      <w:r w:rsidRPr="000F7E56">
        <w:t xml:space="preserve"> Patients and FCGs (from any culture) tend to adopt a cautious, provisional and pragmatic approach to preferences for, and anticipation of, their future end-of-life, anticipating that these may change, as their illness and circumstances decline.</w:t>
      </w:r>
      <w:r w:rsidRPr="000F7E56">
        <w:fldChar w:fldCharType="begin"/>
      </w:r>
      <w:r w:rsidR="000D5597">
        <w:instrText xml:space="preserve"> ADDIN ZOTERO_ITEM CSL_CITATION {"citationID":"bAehdAU1","properties":{"formattedCitation":"\\super 164\\nosupersub{}","plainCitation":"164","noteIndex":0},"citationItems":[{"id":1816,"uris":["http://zotero.org/users/8748280/items/WARF8AD4"],"itemData":{"id":1816,"type":"article-journal","abstract":"BACKGROUND: It is often suggested that terminally ill patients favour end-of-life care at home. Yet, it is unclear how these preferences are formed, if the process is similar for patients and family caregivers, and if there are discrepancies between preferences for place of care and place of death. Understanding these nuances is essential to support people in their decision-making and ultimately provide better care at the end-of-life.\nAIM: To gain an in-depth understanding of how terminally ill patients and their family caregivers make decisions about preferred place of care and place of death.\nDESIGN: Semi-structured interviews with patients and family caregivers, which were analysed thematically using qualitative description.\nSETTING/PARTICIPANTS: A total of 17 participants (8 patients and 9 caregivers) recruited from an acute palliative care hospital ward, a sub-acute hospice unit, and a palliative homecare organisation in Melbourne, Australia.\nRESULTS: The process of forming location preferences was shaped by uncertainty relating to the illness, the caregiver and the services. Patients and caregivers dealt with this uncertainty on a level of thoughts, emotions, and actions. At the end of this process, patients and caregivers expressed their choices as contextual, personal, relational, conditional and flexible preferences.\nCONCLUSIONS: These findings suggest that in many cases end-of-life decision-making does not conclude with a clear and stable choice. Understanding the reasons for the malleability of preferences and the process of how they are formed has implications for both clinicians and researchers.","container-title":"Palliative Medicine","DOI":"10.1177/0269216319845794","ISSN":"1477-030X","issue":"7","journalAbbreviation":"Palliat Med","language":"eng","note":"PMID: 31046580","page":"802-811","source":"PubMed","title":"'It all depends!': A qualitative study of preferences for place of care and place of death in terminally ill patients and their family caregivers","title-short":"'It all depends!'","volume":"33","author":[{"family":"Gerber","given":"Katrin"},{"family":"Hayes","given":"Barbara"},{"family":"Bryant","given":"Christina"}],"issued":{"date-parts":[["2019",7]]}}}],"schema":"https://github.com/citation-style-language/schema/raw/master/csl-citation.json"} </w:instrText>
      </w:r>
      <w:r w:rsidRPr="000F7E56">
        <w:fldChar w:fldCharType="separate"/>
      </w:r>
      <w:r w:rsidR="000D5597" w:rsidRPr="000D5597">
        <w:rPr>
          <w:rFonts w:ascii="Calibri" w:hAnsi="Calibri" w:cs="Times New Roman"/>
          <w:szCs w:val="24"/>
          <w:vertAlign w:val="superscript"/>
        </w:rPr>
        <w:t>164</w:t>
      </w:r>
      <w:r w:rsidRPr="000F7E56">
        <w:fldChar w:fldCharType="end"/>
      </w:r>
      <w:r w:rsidRPr="000F7E56">
        <w:t xml:space="preserve"> The current focus on ACP in the UK and other Western nations is underpinned by an ideological commitment to freedom of choice as a condition of individual autonomy.</w:t>
      </w:r>
      <w:r w:rsidRPr="000F7E56">
        <w:fldChar w:fldCharType="begin"/>
      </w:r>
      <w:r w:rsidR="000D5597">
        <w:instrText xml:space="preserve"> ADDIN ZOTERO_ITEM CSL_CITATION {"citationID":"a104hbs0avf","properties":{"formattedCitation":"\\super 156\\nosupersub{}","plainCitation":"156","noteIndex":0},"citationItems":[{"id":1801,"uris":["http://zotero.org/users/8748280/items/XPI3RQS6"],"itemData":{"id":1801,"type":"article-journal","abstract":"AIMS: To explore if and how information about a transition to a palliative care approach was communicated to patients recently discharged from hospital and who fulfilled standardized criteria for palliative care need.\nBACKGROUND: Palliative care philosophy and, more recently, UK palliative care policy, endorse a context of 'open' awareness, where all parties openly acknowledge that the patient's death is approaching. The perceived benefits of making the patient aware of their prognosis encompass a variety of planning activities, which mean that death, when it occurs, is arguably more in keeping with the wishes of the patient.\nDESIGN: A qualitative inductive interview study conducted in 2010-2011.\nMETHODS: Fifteen semi-structured interviews were conducted with 15 patients and 3 family carers. All patients were identified as having palliative care needs according to standardized criteria, 3-6 months after discharge from hospital. A thematic analysis was undertaken.\nFINDINGS: Contrary to the professed ideal of 'open' awareness, some participants were only partially aware and others wholly unaware that they were likely to be approaching the end-of-life. Those identified as unaware were over 85. Participants displayed a reluctance to acquire knowledge which would require them to face the imminence of death.\nCONCLUSION: Philosophy and policy aside, people do not always conform to the autonomy paradigm of a self-directed life followed by a self-directed death.","container-title":"Journal of Advanced Nursing","DOI":"10.1111/jan.12151","ISSN":"1365-2648","issue":"12","journalAbbreviation":"J Adv Nurs","language":"eng","note":"PMID: 23600793","page":"2654-2664","source":"PubMed","title":"Awareness contexts revisited: indeterminacy in initiating discussions at the end-of-life","title-short":"Awareness contexts revisited","volume":"69","author":[{"family":"Richards","given":"Naomi"},{"family":"Ingleton","given":"Christine"},{"family":"Gardiner","given":"Clare"},{"family":"Gott","given":"Merryn"}],"issued":{"date-parts":[["2013",12]]}}}],"schema":"https://github.com/citation-style-language/schema/raw/master/csl-citation.json"} </w:instrText>
      </w:r>
      <w:r w:rsidRPr="000F7E56">
        <w:fldChar w:fldCharType="separate"/>
      </w:r>
      <w:r w:rsidR="000D5597" w:rsidRPr="000D5597">
        <w:rPr>
          <w:rFonts w:ascii="Calibri" w:hAnsi="Calibri" w:cs="Times New Roman"/>
          <w:szCs w:val="24"/>
          <w:vertAlign w:val="superscript"/>
        </w:rPr>
        <w:t>156</w:t>
      </w:r>
      <w:r w:rsidRPr="000F7E56">
        <w:fldChar w:fldCharType="end"/>
      </w:r>
      <w:r w:rsidRPr="000F7E56">
        <w:t xml:space="preserve"> However, the relevance of individual autonomy to the way most people live their lives, and in particular in isolation of their relationships with other people, is being called into question: the consumerist notion of autonomous ‘choice’ has limited relevance, particularly in relation to patients from ED groups for whom individual autonomy may not be the predominant underpinning to decisions.</w:t>
      </w:r>
      <w:r w:rsidRPr="000F7E56">
        <w:fldChar w:fldCharType="begin"/>
      </w:r>
      <w:r w:rsidR="000D5597">
        <w:instrText xml:space="preserve"> ADDIN ZOTERO_ITEM CSL_CITATION {"citationID":"aehf2fknj7","properties":{"formattedCitation":"\\super 75,138,140,158,160,160,165,166\\nosupersub{}","plainCitation":"75,138,140,158,160,160,165,166","noteIndex":0},"citationItems":[{"id":1764,"uris":["http://zotero.org/users/8748280/items/W5M9XVUV"],"itemData":{"id":1764,"type":"article-journal","abstract":"Advance care directives situate persons as rational and self-determining actors who can make anticipatory plans about their futures. This paper critically examines how people interpret individual and future-oriented approaches to medical decision-making with limited access to information and knowledge, and reduced opportunities to prepare and document their care preferences. Based on ethnographic research with Asian migrant families living in Adelaide, South Australia (August 2015–July 2018), it reveals a discord between planning for a finite future and the contingencies and continuities of social life. It unsettles the detached reasoning that is privileged in end-of-life decision-making and reveals limitations to “do-it-yourself” approaches to advance care directives which, it will be argued, not only forecasts potential futures but also forecloses them. Taking Derrida's critique of death and decision-making as a point of departure, it develops the concept of temporal dissonance as a theoretical framework to articulate the tensions that are constituted in advance care directives. The paper suggests that attention to temporal incongruities may help to shed light on the many complex interpretations of advance care directives and the difficulties of promoting them in diverse contexts.","container-title":"Social Science &amp; Medicine","DOI":"10.1016/j.socscimed.2018.08.035","ISSN":"0277-9536","journalAbbreviation":"Social Science &amp; Medicine","language":"en","page":"16-22","source":"ScienceDirect","title":"Forecasting and foreclosing futures: The temporal dissonance of advance care directives","title-short":"Forecasting and foreclosing futures","volume":"215","author":[{"family":"Zivkovic","given":"Tanya"}],"issued":{"date-parts":[["2018",10,1]]}}},{"id":1769,"uris":["http://zotero.org/users/8748280/items/QPP6JD6N"],"itemData":{"id":1769,"type":"webpage","abstract":"**Shortlisted for the BSA Sociology of Health and Illness Book Prize 2010**What is good care? In this innovative and compelling book, Annemarie Mol argues that good care has little to do with 'patient choice' and, therefore, creating more opportunities for patient choice will not improve health care.\n\nAlthough it is possible to treat people who seek professional help as customers or citizens, Mol argues that this undermines ways of thinking and acting crucial to health care. Illustrating the dis","container-title":"Routledge &amp; CRC Press","language":"en","title":"The Logic of Care: Health and the Problem of Patient Choice","title-short":"The Logic of Care","URL":"https://www.routledge.com/The-Logic-of-Care-Health-and-the-Problem-of-Patient-Choice/Mol/p/book/9780415453431","author":[{"family":"Moll, Annemarie","given":""}],"accessed":{"date-parts":[["2021",12,8]]}}},{"id":1806,"uris":["http://zotero.org/users/8748280/items/9HPZVY33"],"itemData":{"id":1806,"type":"article-journal","abstract":"This paper explores the views of healthcare staff regarding the provision of culturally appropriate palliative care for Māori, Pacific Island and Chinese elders living in Auckland, New Zealand. The ageing population is culturally and ethnically diverse and, along with other developed countries experiencing high levels of migration, the challenge is balancing the rise in numbers of older people from different ethnic and cultural groups with end-of-life care, which reflects personal values and beliefs. Two joint interviews and ten focus groups were conducted with eighty staff across a range of primary, secondary and speciality care settings in 2010. The findings demonstrated that participants viewed the involvement of family as fundamental to the provision of palliative care for Māori, Pacific Island and Chinese elders. For Māori and Pacific Islanders, healthcare staff indicated the importance of enabling family members to provide 'hands-on' care. The role of family in decision-making was fundamental to the delivery of and satisfaction with care for older Chinese family members. Care staff highlighted the need to be cognisant of individual preferences both within and across cultures as a fundamental aspect of palliative care provision. The role of family in 'hands-on' palliative care and decision-making requires care staff to relinquish their role as 'expert provider'. Counter to the prioritisation of autonomy in Western health-care, collective decision-making was favoured by Chinese elders. Providing families with the requisite knowledge and skills to give care to older family members was important. Whilst assumptions are sometimes made about preferences for end-of-life care based on cultural values alone, these data suggest that care preferences need to be ascertained by working with family members on an individual basis and in a manner that respects their involvement in palliative care provision.","container-title":"Health &amp; Social Care in the Community","DOI":"10.1111/j.1365-2524.2012.01083.x","ISSN":"1365-2524","issue":"1","journalAbbreviation":"Health Soc Care Community","language":"eng","note":"PMID: 22812427","page":"26-34","source":"PubMed","title":"What are the priorities for developing culturally appropriate palliative and end-of-life care for older people? The views of healthcare staff working in New Zealand","title-short":"What are the priorities for developing culturally appropriate palliative and end-of-life care for older people?","volume":"21","author":[{"family":"Bellamy","given":"Gary"},{"family":"Gott","given":"Merryn"}],"issued":{"date-parts":[["2013",1]]}}},{"id":311,"uris":["http://zotero.org/users/8748280/items/PN8IDEYQ"],"itemData":{"id":311,"type":"article-journal","abstract":"&lt;p&gt;Historic migration and the ever–increasing current migration into Western countries have greatly changed the ethnic and cultural patterns of patient populations. Because health care beliefs of minority groups may follow their religion and country of origin, inevitable conflict can arise with decision making at the end of life. The principles of truth telling and patient autonomy are embedded in the framework of Anglo–American medical ethics. In contrast, in many parts of the world, the cultural norm is protection of the patient from the truth, decision making by the family, and a tradition of familial piety, where it is dishonorable not to do as much as possible for parents. The challenge for health care professionals is to understand how culture has enormous potential to influence patients’ responses to medical issues, such as healing and suffering, as well as the physician-patient relationship. Our paper provides a framework of communication strategies that enhance crosscultural competency within nephrology teams. Shared decision making also enables clinicians to be culturally competent communicators by providing a model where clinicians and patients jointly consider best clinical evidence in light of a patient’s specific health characteristics and values when choosing health care. The development of decision aids to include cultural awareness could avoid conflict proactively, more productively address it when it occurs, and enable decision making within the framework of the patient and family cultural beliefs.&lt;/p&gt;","container-title":"Clinical Journal of the American Society of Nephrology","DOI":"10.2215/CJN.13661215","ISSN":"1555-9041, 1555-905X","issue":"10","journalAbbreviation":"CJASN","language":"en","page":"1902-1908","source":"cjasn.asnjournals.org","title":"Supportive Care: Communication Strategies to Improve Cultural Competence in Shared Decision Making","title-short":"Supportive Care","volume":"11","author":[{"family":"Brown","given":"Edwina A."},{"family":"Bekker","given":"Hilary L."},{"family":"Davison","given":"Sara N."},{"family":"Koffman","given":"Jonathan"},{"family":"Schell","given":"Jane O."}],"issued":{"date-parts":[["2016",10,7]]}}},{"id":311,"uris":["http://zotero.org/users/8748280/items/PN8IDEYQ"],"itemData":{"id":311,"type":"article-journal","abstract":"&lt;p&gt;Historic migration and the ever–increasing current migration into Western countries have greatly changed the ethnic and cultural patterns of patient populations. Because health care beliefs of minority groups may follow their religion and country of origin, inevitable conflict can arise with decision making at the end of life. The principles of truth telling and patient autonomy are embedded in the framework of Anglo–American medical ethics. In contrast, in many parts of the world, the cultural norm is protection of the patient from the truth, decision making by the family, and a tradition of familial piety, where it is dishonorable not to do as much as possible for parents. The challenge for health care professionals is to understand how culture has enormous potential to influence patients’ responses to medical issues, such as healing and suffering, as well as the physician-patient relationship. Our paper provides a framework of communication strategies that enhance crosscultural competency within nephrology teams. Shared decision making also enables clinicians to be culturally competent communicators by providing a model where clinicians and patients jointly consider best clinical evidence in light of a patient’s specific health characteristics and values when choosing health care. The development of decision aids to include cultural awareness could avoid conflict proactively, more productively address it when it occurs, and enable decision making within the framework of the patient and family cultural beliefs.&lt;/p&gt;","container-title":"Clinical Journal of the American Society of Nephrology","DOI":"10.2215/CJN.13661215","ISSN":"1555-9041, 1555-905X","issue":"10","journalAbbreviation":"CJASN","language":"en","page":"1902-1908","source":"cjasn.asnjournals.org","title":"Supportive Care: Communication Strategies to Improve Cultural Competence in Shared Decision Making","title-short":"Supportive Care","volume":"11","author":[{"family":"Brown","given":"Edwina A."},{"family":"Bekker","given":"Hilary L."},{"family":"Davison","given":"Sara N."},{"family":"Koffman","given":"Jonathan"},{"family":"Schell","given":"Jane O."}],"issued":{"date-parts":[["2016",10,7]]}}},{"id":1818,"uris":["http://zotero.org/users/8748280/items/UD7DW879"],"itemData":{"id":1818,"type":"article-journal","abstract":"Informed by values of autonomy and self-determination, advance care planning assumes that individuals should independently take control of their future health. In this article, we draw on research conducted with Vietnamese health and community workers to problematize individualized approaches to planning ahead, reframe notions of “cultural and linguistic barriers,” and expose how homogeneous messages about care at the end of life are not readily translatable within and across diverse groups. Anthropological and feminist critiques of inclusion and exclusion are used to reorientate Anglophone framings of the individual and of cultural and linguistic differences. In this article, we suggest that it is the narrow singularity of care for the self—rather than diverse relationalities of care—that should be overcome if aging and end-of-life care policy and practice is to be broadened and made relevant to migrant and non-English-speaking groups.","container-title":"Qualitative Health Research","DOI":"10.1177/10497323211023453","ISSN":"1049-7323","issue":"12","journalAbbreviation":"Qual Health Res","language":"en","note":"publisher: SAGE Publications Inc","page":"2304-2316","source":"SAGE Journals","title":"Problematizing “Planning Ahead”: A Cross-Cultural Analysis of Vietnamese Health and Community Workers’ Perspectives on Advance Care Directives","title-short":"Problematizing “Planning Ahead”","volume":"31","author":[{"family":"Nguyen","given":"Nga"},{"family":"Zivkovic","given":"Tanya"},{"family":"Haas","given":"Rachael","non-dropping-particle":"de"},{"family":"Faulkner","given":"Debbie"}],"issued":{"date-parts":[["2021",10,1]]}}},{"id":"aZbwIlcN/ixzzP0d4","uris":["http://zotero.org/users/6587080/items/FMPAAJBE"],"itemData":{"id":"gHPDX7Ii/GjXOA33M","type":"article-journal","abstract":"Background: Advance care planning (ACP) enables patients to consider, discuss and, if they wish, document their wishes and preferences for future care, including decisions to refuse treatment, in the event that they lose capacity to make decisions for themselves. ACP is a key component of UK health policy to improve the experience of death and dying for patients and their families. There is limited evidence about how patients and health professionals understand ACP, or when and how this is initiated. It is evident that many people find discussion of and planning for end of life care difficult, and tend to avoid the topic. Aim: To investigate how patients, their relatives and health professionals initiate and experience discussion of ACP and the outcomes of advance discussions in shaping care at the end of life. Design and data collection: Qualitative study with two workstreams: (1) interviews with 37 health professionals (general practitioners, specialist nurses and community nurses) about their experiences of ACP; and (2) longitudinal case studies of 21 patients with 6-month follow-up. Cases included a patient and, where possible, a nominated key relative and/or health professional as well as a review of medical records. Complete case triads were obtained for 11 patients. Four cases comprised the patient alone, where respondents were unable or unwilling to nominate either a family member or a professional carer they wished to include in the study. Patients were identified as likely to be within the last 6 months of life. Ninety-seven interviews were completed in total. Setting: General practices and community care settings in the East Midlands of England. Findings: The study found ACP to be uncommon and focused primarily on specific documented tasks involving decisions about preferred place of death and cardiopulmonary resuscitation, supporting earlier research. There was no evidence of ACP in nearly half (9 of 21) of patient cases. Professionals reported ACP discussions to be challenging. It was difficult to recognise when patients had entered the last year of life, or to identify their readiness to consider future planning. Patients often did not wish to do so before they had become gravely ill. Consequently, ACP discussions tended to be reactive, rather than pre-emptive, occurring in response to critical events or evidence of marked deterioration. ACP discussions intersected two parallel strands of planning: professional organisation and co-ordination of care; and the practical and emotional preparatory work that patients and families undertook to prepare themselves for death. Reference to ACP as a means of guiding decisions for patients who had lost capacity was rare. Conclusions: Advance care planning remains uncommon, is often limited to documentation of a few key decisions, is reported to be challenging by many health professionals, is not welcomed by a substantial number of patients and tends to be postponed until death is clearly imminent. Current implementation largely ignores the purpose of ACP as a means of extending personal autonomy in the event of lost capacity. Future work: Attention should be paid to public attitudes to death and dying (including those of culturally diverse and ethnic minority groups), place of death, resuscitation and the value of anticipatory planning. In addition the experiences and needs of two under-researched groups should be explored: the frail elderly, including those who manage complex comorbid conditions, unrecognised as vulnerable cases; and those patients affected by stigmatised conditions, such as substance abuse or serious mental illness who fail to engage constructively with services and are not recognised as suitable referrals for palliative and end of life care. Funding: The National Institute for Health Research Health Services and Delivery Research programme.","container-title":"Health Services and Delivery Research","DOI":"10.3310/hsdr03310","ISSN":"2050-4349","issue":"31","language":"eng","page":"1-138","source":"librarysearch.le.ac.uk","title":"Care and communication between health professionals and patients affected by severe or chronic illness in community care settings: a qualitative study of care at the end of life","title-short":"Care and communication between health professionals and patients affected by severe or chronic illness in community care settings","volume":"3","author":[{"family":"Pollock","given":"Kristian"},{"family":"Wilson","given":"Eleanor"}],"issued":{"date-parts":[["2015"]]}}},{"id":1823,"uris":["http://zotero.org/users/8748280/items/V9VGF3SI"],"itemData":{"id":1823,"type":"article-journal","abstract":"Palliative care in the UK has been developed to meet the needs of predominantly middle aged and younger old people with cancer. Few data are available regarding the extent to which services respond to the specific needs of an older group of people with other illnesses. This paper draws on in-depth interviews conducted with 40 people (median age 77) with advanced heart failure and poor prognosis to explore the extent to which older people's views and concerns about dying are consistent with the prevalent model of the 'good death' underpinning palliative care delivery. That prevalent model is identified as the \"revivalist\" good death. Our findings indicate that older people's views of a 'good death' often conflict with the values upon which palliative care is predicated. For example, in line with previous research, many participants did not want an open awareness of death preceded by acknowledgement of the potential imminence of dying. Similarly, concepts of autonomy and individuality appeared alien to most. Indeed, whilst there was evidence that palliative care could help improve the end of life experiences of older people, for example in initiating discussions around death and dying, the translation of other aspects of specialist palliative care philosophy appear more problematic. Ultimately, the study identified that improving the end of life experiences of older people must involve addressing the problematised nature of ageing and old age within contemporary society, whilst recognising the cohort and cultural effects that influence attitudes to death and dying.","container-title":"Social Science &amp; Medicine (1982)","DOI":"10.1016/j.socscimed.2008.05.024","ISSN":"0277-9536","issue":"7","journalAbbreviation":"Soc Sci Med","language":"eng","note":"PMID: 18585838","page":"1113-1121","source":"PubMed","title":"Older people's views of a good death in heart failure: implications for palliative care provision","title-short":"Older people's views of a good death in heart failure","volume":"67","author":[{"family":"Gott","given":"M."},{"family":"Small","given":"Neil"},{"family":"Barnes","given":"Sarah"},{"family":"Payne","given":"Sheila"},{"family":"Seamark","given":"David"}],"issued":{"date-parts":[["2008",10]]}}}],"schema":"https://github.com/citation-style-language/schema/raw/master/csl-citation.json"} </w:instrText>
      </w:r>
      <w:r w:rsidRPr="000F7E56">
        <w:fldChar w:fldCharType="separate"/>
      </w:r>
      <w:r w:rsidR="000D5597" w:rsidRPr="000D5597">
        <w:rPr>
          <w:rFonts w:ascii="Calibri" w:hAnsi="Calibri" w:cs="Times New Roman"/>
          <w:szCs w:val="24"/>
          <w:vertAlign w:val="superscript"/>
        </w:rPr>
        <w:t>75,138,140,158,160,160,165,166</w:t>
      </w:r>
      <w:r w:rsidRPr="000F7E56">
        <w:fldChar w:fldCharType="end"/>
      </w:r>
      <w:r w:rsidRPr="000F7E56">
        <w:t xml:space="preserve"> </w:t>
      </w:r>
    </w:p>
    <w:p w14:paraId="386AB41D" w14:textId="77777777" w:rsidR="000F7E56" w:rsidRPr="000F7E56" w:rsidRDefault="000F7E56" w:rsidP="000F7E56">
      <w:pPr>
        <w:spacing w:after="120" w:line="360" w:lineRule="auto"/>
        <w:contextualSpacing/>
      </w:pPr>
    </w:p>
    <w:p w14:paraId="708C8151" w14:textId="76AAEBC1" w:rsidR="000F7E56" w:rsidRPr="000F7E56" w:rsidRDefault="000F7E56" w:rsidP="000F7E56">
      <w:pPr>
        <w:spacing w:after="120" w:line="360" w:lineRule="auto"/>
        <w:contextualSpacing/>
      </w:pPr>
      <w:r w:rsidRPr="000F7E56">
        <w:t xml:space="preserve">The limited and ethnocentric stance of current policy is underlined by consideration of the alternative approaches which have been identified in research from ethnically and culturally diverse groups. Respect for persons is manifest in the desire to protect the patient from an unwelcome truth, for the family or </w:t>
      </w:r>
      <w:r w:rsidRPr="000F7E56">
        <w:lastRenderedPageBreak/>
        <w:t>elders to assume responsibility for making decisions about treatment and a commitment to care by family members, particularly of adult children for their parents.</w:t>
      </w:r>
      <w:r w:rsidRPr="000F7E56">
        <w:fldChar w:fldCharType="begin"/>
      </w:r>
      <w:r w:rsidR="000D5597">
        <w:instrText xml:space="preserve"> ADDIN ZOTERO_ITEM CSL_CITATION {"citationID":"X3M1fFhX","properties":{"formattedCitation":"\\super 102,109,138,158\\uc0\\u8211{}160,167\\nosupersub{}","plainCitation":"102,109,138,158–160,167","noteIndex":0},"citationItems":[{"id":"aZbwIlcN/jQeKRtim","uris":["http://zotero.org/users/6587080/items/YDAWXKCK"],"itemData":{"id":"StNojVUY/onoHe8Hd","type":"webpage","title":"END-OF-LIFE CARE FOR THE BRITISH ASIAN HINDU COMMUNITY: PREFERENCES AND SOLUTIONS.","URL":"https://web.b.ebscohost.com/abstract?direct=true&amp;profile=ehost&amp;scope=site&amp;authtype=crawler&amp;jrnl=20476361&amp;AN=90453994&amp;h=ZCo1Cg%2b5ElgLg9HaL%2bSgavZSaAHjntjmZkas0HE8O6FIjRiR5ODZllRYH0xv8pTufCJqSCooEJdr4i%2fjjz3T6A%3d%3d&amp;crl=c&amp;resultNs=AdminWebAuth&amp;resultLocal=ErrCrlNotAuth&amp;crlhashurl=login.aspx%3fdirect%3dtrue%26profile%3dehost%26scope%3dsite%26authtype%3dcrawler%26jrnl%3d20476361%26AN%3d90453994","author":[{"family":"Frearson","given":"Sarah"},{"family":"Henderson, Jane","given":""},{"family":"Raval, Bharti","given":""},{"family":"Daniels, Charles","given":""},{"family":"Burke, Geraldine","given":""},{"family":"Koffman, Jonathan","given":""}],"accessed":{"date-parts":[["2021",2,19]]},"issued":{"date-parts":[["2013"]]}}},{"id":"aZbwIlcN/C6ai0Hpv","uris":["http://zotero.org/users/6587080/items/LCD38VDH"],"itemData":{"id":"StNojVUY/fdtHUf0m","type":"article-journal","abstract":"Objectives To examine the care experiences of South Asian Sikh and Muslim patients in Scotland with life limiting illness and their families and to understand the reasons for any difficulties with access to services and how these might be overcome. Design Prospective, longitudinal, qualitative design using in-depth interviews. Setting Central Scotland. Participants 25 purposively selected South Asian Sikh and Muslim patients, 18 family carers, and 20 key health professionals.\nResults 92 interviews took place. Most services struggled to deliver responsive, culturally appropriate care. Barriers to accessing effective end of life care included resource constrained services; institutional and, occasionally, personal racial and religious discrimination; limited awareness and understanding among South Asian people of the role of hospices; and difficulty discussing death. The most vulnerable patients, including recent migrants and those with poor English language skills, with no family advocate, and dying of non-malignant diseases were at particularly high risk of inadequate care.\nConclusions Despite a robust Scottish diversity policy, services for South Asian Sikh and Muslim patients with life limiting illness were wanting in many key areas. Active case management of the most vulnerable patients and carers, and “real time” support, from where professionals can obtain advice specific to an individual patient and family, are the approaches most likely to instigate noticeable improvements in access to high quality end of life care. Improving access to palliative care for all, particularly those with non-malignant illnesses, as well as focusing on the specific needs of ethnic minority groups, is required.","container-title":"BMJ","DOI":"10.1136/bmj.b183","ISSN":"0959-8138, 1468-5833","issue":"feb03 1","journalAbbreviation":"BMJ","language":"en","page":"b183-b183","source":"DOI.org (Crossref)","title":"Vulnerability and access to care for South Asian Sikh and Muslim patients with life limiting illness in Scotland: prospective longitudinal qualitative study","title-short":"Vulnerability and access to care for South Asian Sikh and Muslim patients with life limiting illness in Scotland","volume":"338","author":[{"family":"Worth","given":"A."},{"family":"Irshad","given":"T."},{"family":"Bhopal","given":"R."},{"family":"Brown","given":"D."},{"family":"Lawton","given":"J."},{"family":"Grant","given":"E."},{"family":"Murray","given":"S."},{"family":"Kendall","given":"M."},{"family":"Adam","given":"J."},{"family":"Gardee","given":"R."},{"family":"Sheikh","given":"A."}],"issued":{"date-parts":[["2009",2,3]]}}},{"id":1764,"uris":["http://zotero.org/users/8748280/items/W5M9XVUV"],"itemData":{"id":1764,"type":"article-journal","abstract":"Advance care directives situate persons as rational and self-determining actors who can make anticipatory plans about their futures. This paper critically examines how people interpret individual and future-oriented approaches to medical decision-making with limited access to information and knowledge, and reduced opportunities to prepare and document their care preferences. Based on ethnographic research with Asian migrant families living in Adelaide, South Australia (August 2015–July 2018), it reveals a discord between planning for a finite future and the contingencies and continuities of social life. It unsettles the detached reasoning that is privileged in end-of-life decision-making and reveals limitations to “do-it-yourself” approaches to advance care directives which, it will be argued, not only forecasts potential futures but also forecloses them. Taking Derrida's critique of death and decision-making as a point of departure, it develops the concept of temporal dissonance as a theoretical framework to articulate the tensions that are constituted in advance care directives. The paper suggests that attention to temporal incongruities may help to shed light on the many complex interpretations of advance care directives and the difficulties of promoting them in diverse contexts.","container-title":"Social Science &amp; Medicine","DOI":"10.1016/j.socscimed.2018.08.035","ISSN":"0277-9536","journalAbbreviation":"Social Science &amp; Medicine","language":"en","page":"16-22","source":"ScienceDirect","title":"Forecasting and foreclosing futures: The temporal dissonance of advance care directives","title-short":"Forecasting and foreclosing futures","volume":"215","author":[{"family":"Zivkovic","given":"Tanya"}],"issued":{"date-parts":[["2018",10,1]]}}},{"id":1806,"uris":["http://zotero.org/users/8748280/items/9HPZVY33"],"itemData":{"id":1806,"type":"article-journal","abstract":"This paper explores the views of healthcare staff regarding the provision of culturally appropriate palliative care for Māori, Pacific Island and Chinese elders living in Auckland, New Zealand. The ageing population is culturally and ethnically diverse and, along with other developed countries experiencing high levels of migration, the challenge is balancing the rise in numbers of older people from different ethnic and cultural groups with end-of-life care, which reflects personal values and beliefs. Two joint interviews and ten focus groups were conducted with eighty staff across a range of primary, secondary and speciality care settings in 2010. The findings demonstrated that participants viewed the involvement of family as fundamental to the provision of palliative care for Māori, Pacific Island and Chinese elders. For Māori and Pacific Islanders, healthcare staff indicated the importance of enabling family members to provide 'hands-on' care. The role of family in decision-making was fundamental to the delivery of and satisfaction with care for older Chinese family members. Care staff highlighted the need to be cognisant of individual preferences both within and across cultures as a fundamental aspect of palliative care provision. The role of family in 'hands-on' palliative care and decision-making requires care staff to relinquish their role as 'expert provider'. Counter to the prioritisation of autonomy in Western health-care, collective decision-making was favoured by Chinese elders. Providing families with the requisite knowledge and skills to give care to older family members was important. Whilst assumptions are sometimes made about preferences for end-of-life care based on cultural values alone, these data suggest that care preferences need to be ascertained by working with family members on an individual basis and in a manner that respects their involvement in palliative care provision.","container-title":"Health &amp; Social Care in the Community","DOI":"10.1111/j.1365-2524.2012.01083.x","ISSN":"1365-2524","issue":"1","journalAbbreviation":"Health Soc Care Community","language":"eng","note":"PMID: 22812427","page":"26-34","source":"PubMed","title":"What are the priorities for developing culturally appropriate palliative and end-of-life care for older people? The views of healthcare staff working in New Zealand","title-short":"What are the priorities for developing culturally appropriate palliative and end-of-life care for older people?","volume":"21","author":[{"family":"Bellamy","given":"Gary"},{"family":"Gott","given":"Merryn"}],"issued":{"date-parts":[["2013",1]]}}},{"id":1808,"uris":["http://zotero.org/users/8748280/items/BZLC2KVX"],"itemData":{"id":1808,"type":"article-journal","abstract":"Our aim was to obtain a clearer picture of the relevant care experiences and care perceptions of incurably ill Turkish and Moroccan patients, their relatives and professional care providers, as well as of communication and decision-making patterns at the end of life. The ultimate objective is to improve palliative care for Turkish and Moroccan immigrants in the Netherlands, by taking account of socio-cultural factors in the guidelines for palliative care.","container-title":"BMC Palliative Care","DOI":"10.1186/1472-684X-11-17","ISSN":"1472-684X","issue":"1","journalAbbreviation":"BMC Palliative Care","page":"17","source":"BioMed Central","title":"Perspectives on care and communication involving incurably ill Turkish and Moroccan patients, relatives and professionals: a systematic literature review","title-short":"Perspectives on care and communication involving incurably ill Turkish and Moroccan patients, relatives and professionals","volume":"11","author":[{"family":"Graaff","given":"Fuusje M.","non-dropping-particle":"de"},{"family":"Mistiaen","given":"Patriek"},{"family":"Devillé","given":"Walter LJM"},{"family":"Francke","given":"Anneke L."}],"issued":{"date-parts":[["2012",9,18]]}}},{"id":311,"uris":["http://zotero.org/users/8748280/items/PN8IDEYQ"],"itemData":{"id":311,"type":"article-journal","abstract":"&lt;p&gt;Historic migration and the ever–increasing current migration into Western countries have greatly changed the ethnic and cultural patterns of patient populations. Because health care beliefs of minority groups may follow their religion and country of origin, inevitable conflict can arise with decision making at the end of life. The principles of truth telling and patient autonomy are embedded in the framework of Anglo–American medical ethics. In contrast, in many parts of the world, the cultural norm is protection of the patient from the truth, decision making by the family, and a tradition of familial piety, where it is dishonorable not to do as much as possible for parents. The challenge for health care professionals is to understand how culture has enormous potential to influence patients’ responses to medical issues, such as healing and suffering, as well as the physician-patient relationship. Our paper provides a framework of communication strategies that enhance crosscultural competency within nephrology teams. Shared decision making also enables clinicians to be culturally competent communicators by providing a model where clinicians and patients jointly consider best clinical evidence in light of a patient’s specific health characteristics and values when choosing health care. The development of decision aids to include cultural awareness could avoid conflict proactively, more productively address it when it occurs, and enable decision making within the framework of the patient and family cultural beliefs.&lt;/p&gt;","container-title":"Clinical Journal of the American Society of Nephrology","DOI":"10.2215/CJN.13661215","ISSN":"1555-9041, 1555-905X","issue":"10","journalAbbreviation":"CJASN","language":"en","page":"1902-1908","source":"cjasn.asnjournals.org","title":"Supportive Care: Communication Strategies to Improve Cultural Competence in Shared Decision Making","title-short":"Supportive Care","volume":"11","author":[{"family":"Brown","given":"Edwina A."},{"family":"Bekker","given":"Hilary L."},{"family":"Davison","given":"Sara N."},{"family":"Koffman","given":"Jonathan"},{"family":"Schell","given":"Jane O."}],"issued":{"date-parts":[["2016",10,7]]}}},{"id":1825,"uris":["http://zotero.org/users/8748280/items/MKJ9JELF"],"itemData":{"id":1825,"type":"article-journal","abstract":"The National End-of-life Care Strategy for England identifies that a lack of open discussion about death and dying can be a barrier to achieving good quality end-of-life care. South Asians constitute the single largest ethnic minority group in the United Kingdom, yet little is known about their attitudes and expectations towards the discussion of death and dying. In this study, set in East London, five focus groups and 29 in-depth, semi-structured interviews were conducted with a total of 55 older adults aged between 52 and 78 years. Participants from six South Asian ethnic groups were recruited from 11 local community organisations. A constructivist grounded theory approach was used to analyse the data. Findings revealed two key themes which capture the perspectives of older South Asian study participants towards end-of-life care discussions. The theme ‘avoidance as a cultural norm’ relates to the relative absence of discussions around death and dying experienced by participants. Participants neither expected to have discussions about their own death and dying within their family, nor to assume any involvement in decision-making. The second theme ‘avoidance as protection’ relates to beliefs and experiences about the delegation of decision-making to family members. Future research should explore the perspectives of second-generation adult children towards end-of-life care discussions.","container-title":"Journal of Research in Nursing","DOI":"10.1177/1744987113490712","ISSN":"1744-9871","issue":"5","journalAbbreviation":"Journal of Research in Nursing","language":"en","note":"publisher: SAGE Publications Ltd","page":"394-406","source":"SAGE Journals","title":"Talking about end-of-life care: the perspectives of older South Asians living in East London","title-short":"Talking about end-of-life care","volume":"18","author":[{"family":"Venkatasalu","given":"Munikumar R."},{"family":"Arthur","given":"Antony"},{"family":"Seymour","given":"Jane"}],"issued":{"date-parts":[["2013",8,1]]}}}],"schema":"https://github.com/citation-style-language/schema/raw/master/csl-citation.json"} </w:instrText>
      </w:r>
      <w:r w:rsidRPr="000F7E56">
        <w:fldChar w:fldCharType="separate"/>
      </w:r>
      <w:r w:rsidR="000D5597" w:rsidRPr="000D5597">
        <w:rPr>
          <w:rFonts w:ascii="Calibri" w:hAnsi="Calibri" w:cs="Times New Roman"/>
          <w:szCs w:val="24"/>
          <w:vertAlign w:val="superscript"/>
        </w:rPr>
        <w:t>102,109,138,158–160,167</w:t>
      </w:r>
      <w:r w:rsidRPr="000F7E56">
        <w:fldChar w:fldCharType="end"/>
      </w:r>
      <w:r w:rsidRPr="000F7E56">
        <w:t xml:space="preserve"> A natural orientation to such approaches was apparent in many of the study participants. Alongside this, was a strong preference by many patients to protect their family members from the burden of care and for their choices for treatment and care to be considered carefully in relation to their anticipated consequences for others</w:t>
      </w:r>
      <w:r w:rsidRPr="000F7E56">
        <w:rPr>
          <w:color w:val="4472C4" w:themeColor="accent1"/>
        </w:rPr>
        <w:t>.</w:t>
      </w:r>
      <w:r w:rsidRPr="000F7E56">
        <w:rPr>
          <w:color w:val="4472C4" w:themeColor="accent1"/>
        </w:rPr>
        <w:fldChar w:fldCharType="begin"/>
      </w:r>
      <w:r w:rsidR="000D5597">
        <w:rPr>
          <w:color w:val="4472C4" w:themeColor="accent1"/>
        </w:rPr>
        <w:instrText xml:space="preserve"> ADDIN ZOTERO_ITEM CSL_CITATION {"citationID":"yFiHeJLs","properties":{"formattedCitation":"\\super 75,140\\nosupersub{}","plainCitation":"75,140","noteIndex":0},"citationItems":[{"id":"aZbwIlcN/ixzzP0d4","uris":["http://zotero.org/users/6587080/items/FMPAAJBE"],"itemData":{"id":"StNojVUY/z50hz84o","type":"article-journal","abstract":"Background: Advance care planning (ACP) enables patients to consider, discuss and, if they wish, document their wishes and preferences for future care, including decisions to refuse treatment, in the event that they lose capacity to make decisions for themselves. ACP is a key component of UK health policy to improve the experience of death and dying for patients and their families. There is limited evidence about how patients and health professionals understand ACP, or when and how this is initiated. It is evident that many people find discussion of and planning for end of life care difficult, and tend to avoid the topic. Aim: To investigate how patients, their relatives and health professionals initiate and experience discussion of ACP and the outcomes of advance discussions in shaping care at the end of life. Design and data collection: Qualitative study with two workstreams: (1) interviews with 37 health professionals (general practitioners, specialist nurses and community nurses) about their experiences of ACP; and (2) longitudinal case studies of 21 patients with 6-month follow-up. Cases included a patient and, where possible, a nominated key relative and/or health professional as well as a review of medical records. Complete case triads were obtained for 11 patients. Four cases comprised the patient alone, where respondents were unable or unwilling to nominate either a family member or a professional carer they wished to include in the study. Patients were identified as likely to be within the last 6 months of life. Ninety-seven interviews were completed in total. Setting: General practices and community care settings in the East Midlands of England. Findings: The study found ACP to be uncommon and focused primarily on specific documented tasks involving decisions about preferred place of death and cardiopulmonary resuscitation, supporting earlier research. There was no evidence of ACP in nearly half (9 of 21) of patient cases. Professionals reported ACP discussions to be challenging. It was difficult to recognise when patients had entered the last year of life, or to identify their readiness to consider future planning. Patients often did not wish to do so before they had become gravely ill. Consequently, ACP discussions tended to be reactive, rather than pre-emptive, occurring in response to critical events or evidence of marked deterioration. ACP discussions intersected two parallel strands of planning: professional organisation and co-ordination of care; and the practical and emotional preparatory work that patients and families undertook to prepare themselves for death. Reference to ACP as a means of guiding decisions for patients who had lost capacity was rare. Conclusions: Advance care planning remains uncommon, is often limited to documentation of a few key decisions, is reported to be challenging by many health professionals, is not welcomed by a substantial number of patients and tends to be postponed until death is clearly imminent. Current implementation largely ignores the purpose of ACP as a means of extending personal autonomy in the event of lost capacity. Future work: Attention should be paid to public attitudes to death and dying (including those of culturally diverse and ethnic minority groups), place of death, resuscitation and the value of anticipatory planning. In addition the experiences and needs of two under-researched groups should be explored: the frail elderly, including those who manage complex comorbid conditions, unrecognised as vulnerable cases; and those patients affected by stigmatised conditions, such as substance abuse or serious mental illness who fail to engage constructively with services and are not recognised as suitable referrals for palliative and end of life care. Funding: The National Institute for Health Research Health Services and Delivery Research programme.","container-title":"Health Services and Delivery Research","DOI":"10.3310/hsdr03310","ISSN":"2050-4349","issue":"31","language":"eng","page":"1-138","source":"librarysearch.le.ac.uk","title":"Care and communication between health professionals and patients affected by severe or chronic illness in community care settings: a qualitative study of care at the end of life","title-short":"Care and communication between health professionals and patients affected by severe or chronic illness in community care settings","volume":"3","author":[{"family":"Pollock","given":"Kristian"},{"family":"Wilson","given":"Eleanor"}],"issued":{"date-parts":[["2015"]]}}},{"id":1769,"uris":["http://zotero.org/users/8748280/items/QPP6JD6N"],"itemData":{"id":1769,"type":"webpage","abstract":"**Shortlisted for the BSA Sociology of Health and Illness Book Prize 2010**What is good care? In this innovative and compelling book, Annemarie Mol argues that good care has little to do with 'patient choice' and, therefore, creating more opportunities for patient choice will not improve health care.\n\nAlthough it is possible to treat people who seek professional help as customers or citizens, Mol argues that this undermines ways of thinking and acting crucial to health care. Illustrating the dis","container-title":"Routledge &amp; CRC Press","language":"en","title":"The Logic of Care: Health and the Problem of Patient Choice","title-short":"The Logic of Care","URL":"https://www.routledge.com/The-Logic-of-Care-Health-and-the-Problem-of-Patient-Choice/Mol/p/book/9780415453431","author":[{"family":"Moll, Annemarie","given":""}],"accessed":{"date-parts":[["2021",12,8]]}}}],"schema":"https://github.com/citation-style-language/schema/raw/master/csl-citation.json"} </w:instrText>
      </w:r>
      <w:r w:rsidRPr="000F7E56">
        <w:rPr>
          <w:color w:val="4472C4" w:themeColor="accent1"/>
        </w:rPr>
        <w:fldChar w:fldCharType="separate"/>
      </w:r>
      <w:r w:rsidR="000D5597" w:rsidRPr="000D5597">
        <w:rPr>
          <w:rFonts w:ascii="Calibri" w:hAnsi="Calibri" w:cs="Times New Roman"/>
          <w:szCs w:val="24"/>
          <w:vertAlign w:val="superscript"/>
        </w:rPr>
        <w:t>75,140</w:t>
      </w:r>
      <w:r w:rsidRPr="000F7E56">
        <w:rPr>
          <w:color w:val="4472C4" w:themeColor="accent1"/>
        </w:rPr>
        <w:fldChar w:fldCharType="end"/>
      </w:r>
    </w:p>
    <w:p w14:paraId="5949F6E3" w14:textId="77777777" w:rsidR="000F7E56" w:rsidRPr="000F7E56" w:rsidRDefault="000F7E56" w:rsidP="000F7E56">
      <w:pPr>
        <w:spacing w:after="120" w:line="360" w:lineRule="auto"/>
        <w:contextualSpacing/>
        <w:rPr>
          <w:color w:val="4472C4" w:themeColor="accent1"/>
        </w:rPr>
      </w:pPr>
    </w:p>
    <w:p w14:paraId="0591430D" w14:textId="77777777" w:rsidR="000F7E56" w:rsidRPr="000F7E56" w:rsidRDefault="000F7E56" w:rsidP="000F7E56">
      <w:pPr>
        <w:spacing w:after="120" w:line="360" w:lineRule="auto"/>
        <w:contextualSpacing/>
      </w:pPr>
      <w:r w:rsidRPr="000F7E56">
        <w:t xml:space="preserve">Patients’ desire to reduce the burden their illness and death imposed on their significant others was a recurring theme, and one reason for the very specific focus on making preparatory arrangements for after their death especially the funeral). Thus, some patients expressed a preference to move from home to hospice once the demands of home care had become excessive, and to withhold information about their illness in order to protect individuals from distress. Just as HCPs search for a window of opportunity and assess the ‘readiness’ of patients to discuss end-of-life care planning, patients and FCGs also exercise judgement and caution about what information about their future they wish to share and discuss with others – including HCPs. This prioritising of the interests of others can be viewed as a manifestation of agency and is also a reciprocation of the love, care and support bestowed by others on the patient. </w:t>
      </w:r>
    </w:p>
    <w:p w14:paraId="30C6025F" w14:textId="77777777" w:rsidR="000F7E56" w:rsidRPr="000F7E56" w:rsidRDefault="000F7E56" w:rsidP="000F7E56">
      <w:pPr>
        <w:spacing w:after="120" w:line="360" w:lineRule="auto"/>
        <w:contextualSpacing/>
      </w:pPr>
    </w:p>
    <w:p w14:paraId="3755B647" w14:textId="77777777" w:rsidR="000F7E56" w:rsidRPr="000F7E56" w:rsidRDefault="000F7E56" w:rsidP="000F7E56">
      <w:pPr>
        <w:spacing w:after="120" w:line="360" w:lineRule="auto"/>
        <w:contextualSpacing/>
      </w:pPr>
      <w:r w:rsidRPr="000F7E56">
        <w:t xml:space="preserve">Who to talk to about illness and when was influenced by perceptions of an individual’s situation. Information might be deliberately not shared with people who were themselves ill, had suffered bereavement or who were thought to be in some way vulnerable. Patients’ awareness of the family suffering as a result of their illness was itself a source of suffering to the self. The selection and management of information could be a means of patients asserting personal agency through protecting others from the distress and anxiety caused by terminal illness. Within informal networks it could be considered a form of reciprocal gift exchange, cementing ties of affect, obligation and responsibility. It could also be a source of conflict and tension, where individuals disagreed in their views about what information should be shared, especially with and by the patient. </w:t>
      </w:r>
    </w:p>
    <w:p w14:paraId="6E3E8B5F" w14:textId="77777777" w:rsidR="000F7E56" w:rsidRPr="000F7E56" w:rsidRDefault="000F7E56" w:rsidP="000F7E56">
      <w:pPr>
        <w:spacing w:after="120" w:line="360" w:lineRule="auto"/>
        <w:contextualSpacing/>
      </w:pPr>
    </w:p>
    <w:p w14:paraId="7075A396" w14:textId="685C5F1D" w:rsidR="000F7E56" w:rsidRPr="000F7E56" w:rsidRDefault="000F7E56" w:rsidP="000F7E56">
      <w:pPr>
        <w:spacing w:after="120" w:line="360" w:lineRule="auto"/>
        <w:contextualSpacing/>
      </w:pPr>
      <w:r w:rsidRPr="000F7E56">
        <w:t>In some families, EOLCP may not be something that members wish to discuss with HCPs. The family, or specific individuals within the family, may be considered the natural locus of discussion and decision-making in such matters. Thus, it is important for HCPs to be aware, and take account of, the nexus of relationships within which the patient is embedded, and to involve family members as well as the patient, in planning and undertaking end-of-life care discussions.</w:t>
      </w:r>
      <w:r w:rsidRPr="000F7E56">
        <w:fldChar w:fldCharType="begin"/>
      </w:r>
      <w:r w:rsidR="000D5597">
        <w:instrText xml:space="preserve"> ADDIN ZOTERO_ITEM CSL_CITATION {"citationID":"tKpH0sxO","properties":{"formattedCitation":"\\super 168\\nosupersub{}","plainCitation":"168","noteIndex":0},"citationItems":[{"id":1827,"uris":["http://zotero.org/users/8748280/items/B3HYNCNC"],"itemData":{"id":1827,"type":"article-journal","abstract":"Introduction Person-centred care has become internationally recognised as a critical attribute of high-quality healthcare. However, the concept has been criticised for being poorly theorised and operationalised. Serious illness is especially aligned with the need for person-centredness, usually necessitating involvement of significant others, management of clinical uncertainty, high-quality communication and joint decision-making to deliver care concordant with patient preferences. This review aimed to identify and appraise the empirical evidence underpinning conceptualisations of ‘person-centredness’ for serious illness.\nMethods Search strategy conducted in May 2020. Databases: CINAHL, Embase, PubMed, Ovid Global Health, MEDLINE and PsycINFO. Free text search terms related to (1) person-centredness, (2) serious illness and (3) concept/practice. Tabulation, textual description and narrative synthesis were performed, and quality appraisal conducted using QualSyst tools. Santana et al’s person-centred care model (2018) was used to structure analysis.\nResults PRISMA (Preferred Reporting Items for Systematic Reviews and Meta-Analyses) flow data: n=12,446 studies screened by title/abstract, n=144 full articles assessed for eligibility, n=18 studies retained. All studies (n=18) are from high-income countries, and are largely of high quality (median score 0.82). The findings suggest that person-centred care encompasses the patient and family being respected, given complete information, involved in decision-making and supported in their physical, psychological, social and existential needs. The studies highlight the importance of involving and supporting family/friends, promoting continuation of normality and self-identity, and structuring service organisation to enable care continuity.\nConclusion Person-centred healthcare must value the social network of patients, promote quality of life and reform structurally to improve patients’ experience interacting with the healthcare system. Staff must be supported to flexibly adapt skills, communication, routines or environments for individual patients. There remains a need for primary data investigating the meaning and practice of PCC in a greater diversity of diagnostic groups and settings, and a need to ground potential components of PCC within broader universal values and ethical theory.","container-title":"BMJ Global Health","DOI":"10.1136/bmjgh-2020-003330","ISSN":"2059-7908","issue":"12","language":"en","note":"publisher: BMJ Specialist Journals\nsection: Original research\nPMID: 33303515","page":"e003330","source":"gh.bmj.com","title":"The empirical evidence underpinning the concept and practice of person-centred care for serious illness: a systematic review","title-short":"The empirical evidence underpinning the concept and practice of person-centred care for serious illness","volume":"5","author":[{"family":"Giusti","given":"Alessandra"},{"family":"Nkhoma","given":"Kennedy"},{"family":"Petrus","given":"Ruwayda"},{"family":"Petersen","given":"Inge"},{"family":"Gwyther","given":"Liz"},{"family":"Farrant","given":"Lindsay"},{"family":"Venkatapuram","given":"Sridhar"},{"family":"Harding","given":"Richard"}],"issued":{"date-parts":[["2020",12,1]]}}}],"schema":"https://github.com/citation-style-language/schema/raw/master/csl-citation.json"} </w:instrText>
      </w:r>
      <w:r w:rsidRPr="000F7E56">
        <w:fldChar w:fldCharType="separate"/>
      </w:r>
      <w:r w:rsidR="000D5597" w:rsidRPr="000D5597">
        <w:rPr>
          <w:rFonts w:ascii="Calibri" w:hAnsi="Calibri" w:cs="Times New Roman"/>
          <w:szCs w:val="24"/>
          <w:vertAlign w:val="superscript"/>
        </w:rPr>
        <w:t>168</w:t>
      </w:r>
      <w:r w:rsidRPr="000F7E56">
        <w:fldChar w:fldCharType="end"/>
      </w:r>
      <w:r w:rsidRPr="000F7E56">
        <w:t xml:space="preserve"> In tension with this preference for fostering of optimism present in the majority of our case studies is the testimony of some bereaved FCGs participants, who in retrospect, expressed regret that they had missed the significance of the final days or weeks of the patient’s life and perhaps even the chance to say goodbye.  Regardless of what they had been told or </w:t>
      </w:r>
      <w:r w:rsidRPr="000F7E56">
        <w:lastRenderedPageBreak/>
        <w:t xml:space="preserve">understood, participants often seemed to have been taken by surprise by the speed with which the patient’s final decline and death occurred.   </w:t>
      </w:r>
    </w:p>
    <w:p w14:paraId="6C1196DE" w14:textId="77777777" w:rsidR="000F7E56" w:rsidRPr="000F7E56" w:rsidRDefault="000F7E56" w:rsidP="000F7E56">
      <w:pPr>
        <w:spacing w:after="120" w:line="360" w:lineRule="auto"/>
        <w:contextualSpacing/>
      </w:pPr>
    </w:p>
    <w:p w14:paraId="79D5B9B5" w14:textId="64593EB4" w:rsidR="000F7E56" w:rsidRDefault="000F7E56" w:rsidP="000F7E56">
      <w:pPr>
        <w:keepNext/>
        <w:keepLines/>
        <w:spacing w:before="40" w:after="0" w:line="360" w:lineRule="auto"/>
        <w:outlineLvl w:val="1"/>
        <w:rPr>
          <w:rFonts w:asciiTheme="majorHAnsi" w:eastAsiaTheme="majorEastAsia" w:hAnsiTheme="majorHAnsi" w:cstheme="majorBidi"/>
          <w:color w:val="2F5496" w:themeColor="accent1" w:themeShade="BF"/>
          <w:sz w:val="24"/>
          <w:szCs w:val="24"/>
        </w:rPr>
      </w:pPr>
      <w:bookmarkStart w:id="418" w:name="_Toc106697855"/>
      <w:r w:rsidRPr="000F7E56">
        <w:rPr>
          <w:rFonts w:asciiTheme="majorHAnsi" w:eastAsiaTheme="majorEastAsia" w:hAnsiTheme="majorHAnsi" w:cstheme="majorBidi"/>
          <w:color w:val="2F5496" w:themeColor="accent1" w:themeShade="BF"/>
          <w:sz w:val="24"/>
          <w:szCs w:val="24"/>
        </w:rPr>
        <w:t>Prognosis, awareness of dying and reluctance to think ahead</w:t>
      </w:r>
      <w:bookmarkEnd w:id="418"/>
    </w:p>
    <w:p w14:paraId="4EC75BDA" w14:textId="77777777" w:rsidR="00DA32BF" w:rsidRPr="000F7E56" w:rsidRDefault="00DA32BF" w:rsidP="000F7E56">
      <w:pPr>
        <w:keepNext/>
        <w:keepLines/>
        <w:spacing w:before="40" w:after="0" w:line="360" w:lineRule="auto"/>
        <w:outlineLvl w:val="1"/>
        <w:rPr>
          <w:rFonts w:asciiTheme="majorHAnsi" w:eastAsiaTheme="majorEastAsia" w:hAnsiTheme="majorHAnsi" w:cstheme="majorBidi"/>
          <w:color w:val="2F5496" w:themeColor="accent1" w:themeShade="BF"/>
          <w:sz w:val="24"/>
          <w:szCs w:val="24"/>
        </w:rPr>
      </w:pPr>
    </w:p>
    <w:p w14:paraId="174246B9" w14:textId="6054C12A" w:rsidR="000F7E56" w:rsidRPr="000F7E56" w:rsidRDefault="000F7E56" w:rsidP="000F7E56">
      <w:pPr>
        <w:spacing w:line="360" w:lineRule="auto"/>
      </w:pPr>
      <w:r w:rsidRPr="000F7E56">
        <w:t>Staff from disease specialist services such as oncology and cardiology largely expected colleagues from district nursing and palliative care services to initiate discussion of EOLCP with patients once they had exhausted all active treatment options and been referred to community services for ongoing care. However, prognostication, especially in relation to patients affected by conditions other than cancer, is notoriously difficult and prone to error.</w:t>
      </w:r>
      <w:r w:rsidRPr="000F7E56">
        <w:fldChar w:fldCharType="begin"/>
      </w:r>
      <w:r w:rsidR="000D5597">
        <w:instrText xml:space="preserve"> ADDIN ZOTERO_ITEM CSL_CITATION {"citationID":"0oET7vyH","properties":{"formattedCitation":"\\super 169\\uc0\\u8211{}172\\nosupersub{}","plainCitation":"169–172","noteIndex":0},"citationItems":[{"id":1831,"uris":["http://zotero.org/users/8748280/items/6PW8MNNX"],"itemData":{"id":1831,"type":"book","abstract":"This groundbreaking book explains prognosis from the perspective of doctors, examining why physicians are reluctant to predict the future, how doctors use prognosis, the symbolism it contains, and the emotional difficulties it involves. Drawing on his experiences as a doctor and sociologist, Nicholas Christakis interviewed scores of physicians and searched dozens of medical textbooks and medical school curricula for discussions of prognosis in an attempt to get to the core of this nebulous medical issue that, despite its importance, is only partially understood and rarely discussed.\"Highly recommended for everyone from patients wrestling with their personal prognosis to any medical practitioner touched by this bioethical dilemma.\"—Library Journal, starred review\"[T]he first full general discussion of prognosis ever written. . . . [A] manifesto for a form of prognosis that’s equal parts prediction-an assessment of likely outcomes based on statistical averages-and prophecy, an intuition of what lies ahead.\"—Jeff Sharlet, Chicago Reader\"[S]ophisticated, extraordinarily well supported, and compelling. . . . [Christakis] argues forcefully that the profession must take responsibility for the current widespread avoidance of prognosis and change the present culture. This prophet is one whose advice we would do well to heed.\"—James Tulsky, M.D., New England Journal of Medicine","event-place":"Chicago, IL","ISBN":"978-0-226-10471-3","language":"en","number-of-pages":"374","publisher":"University of Chicago Press","publisher-place":"Chicago, IL","source":"University of Chicago Press","title":"Death Foretold: Prophecy and Prognosis in Medical Care","title-short":"Death Foretold","URL":"https://press.uchicago.edu/ucp/books/book/chicago/D/bo3641373.html","author":[{"family":"Christakis","given":"Nicholas A."}],"accessed":{"date-parts":[["2021",12,8]]},"issued":{"date-parts":[["2001",4]]}}},{"id":1833,"uris":["http://zotero.org/users/8748280/items/GKMVVH5A"],"itemData":{"id":1833,"type":"article-journal","abstract":"When people with life threatening illnesses and their carers ask about prognosis (“How long have I got?”), they are often doing more than simply inquiring about life expectancy. Within this question is another, often unspoken, question about likely patterns of decline (“What will happen?”). One aid to answering both questions may be through the use of typical illness trajectories. Thinking in terms of these trajectories provides a broad timeframe and patterns of probable needs and interactions with health and social services that can, conceptually at least, be mapped out towards death.\n\nSuch frameworks may help clinicians plan and deliver appropriate care that integrates active and palliative management. If patients and their carers gain a better understanding by considering illness trajectories this may help them feel in greater control of their situation and empower them to cope with its demands. An important implication for service planners is that different models of care will be appropriate for people with different illness trajectories. We review the main currently described illness trajectories at the end of life and draw out key clinical implications.\n\nWe searched our own database of papers, conducted a Medline search, and approached experts for additional published references (further details available from SAM). We also re-examined primary data relating to illness trajectories from our previous studies investigating the palliative care needs of people with advanced lung cancer and heart failure.1\n\n### Different trajectories for different diseases\n\nA century ago, death was typically quite sudden, and the leading causes were infections, accidents, and childbirth. Today sudden death is less common, particularly in Western, economically developed, societies. Towards the end of life, most people acquire a serious progressive illness—cardiovascular disease, cancer, and respiratory disorders are the three leading causes—that increasingly interferes with their usual activities until death.\n\nThree distinct illness trajectories have been described so far for people …","container-title":"BMJ","DOI":"10.1136/bmj.330.7498.1007","ISSN":"0959-8138, 1468-5833","issue":"7498","journalAbbreviation":"BMJ","language":"en","note":"publisher: British Medical Journal Publishing Group\nsection: Clinical Review\nPMID: 15860828","page":"1007-1011","source":"www.bmj.com","title":"Illness trajectories and palliative care","volume":"330","author":[{"family":"Murray","given":"Scott A."},{"family":"Kendall","given":"Marilyn"},{"family":"Boyd","given":"Kirsty"},{"family":"Sheikh","given":"Aziz"}],"issued":{"date-parts":[["2005",4,28]]}}},{"id":1837,"uris":["http://zotero.org/users/8748280/items/E7VDU4FD"],"itemData":{"id":1837,"type":"article-journal","abstract":"BACKGROUND: The surprise question - \"Would I be surprised if this patient died in the next 12 months?\" - has been used to identify patients at high risk of death who might benefit from palliative care services. Our objective was to systematically review the performance characteristics of the surprise question in predicting death.\nMETHODS: We searched multiple electronic databases from inception to 2016 to identify studies that prospectively screened patients with the surprise question and reported on death at 6 to 18 months. We constructed models of hierarchical summary receiver operating characteristics (sROCs) to determine prognostic performance.\nRESULTS: Sixteen studies (17 cohorts, 11 621 patients) met the selection criteria. For the outcome of death at 6 to 18 months, the pooled prognostic characteristics were sensitivity 67.0% (95% confidence interval [CI] 55.7%-76.7%), specificity 80.2% (73.3%-85.6%), positive likelihood ratio 3.4 (95% CI 2.8-4.1), negative likelihood ratio 0.41 (95% CI 0.32-0.54), positive predictive value 37.1% (95% CI 30.2%-44.6%) and negative predictive value 93.1% (95% CI 91.0%-94.8%). The surprise question had worse discrimination in patients with noncancer illness (area under sROC curve 0.77 [95% CI 0.73-0.81]) than in patients with cancer (area under sROC curve 0.83 [95% CI 0.79-0.87; p = 0.02 for difference]). Most studies had a moderate to high risk of bias, often because they had a low or unknown participation rate or had missing data.\nINTERPRETATION: The surprise question performs poorly to modestly as a predictive tool for death, with worse performance in noncancer illness. Further studies are needed to develop accurate tools to identify patients with palliative care needs and to assess the surprise question for this purpose.","container-title":"CMAJ: Canadian Medical Association journal = journal de l'Association medicale canadienne","DOI":"10.1503/cmaj.160775","ISSN":"1488-2329","issue":"13","journalAbbreviation":"CMAJ","language":"eng","note":"PMID: 28385893\nPMCID: PMC5378508","page":"E484-E493","source":"PubMed","title":"The \"surprise question\" for predicting death in seriously ill patients: a systematic review and meta-analysis","title-short":"The \"surprise question\" for predicting death in seriously ill patients","volume":"189","author":[{"family":"Downar","given":"James"},{"family":"Goldman","given":"Russell"},{"family":"Pinto","given":"Ruxandra"},{"family":"Englesakis","given":"Marina"},{"family":"Adhikari","given":"Neill K. J."}],"issued":{"date-parts":[["2017",4,3]]}}},{"id":1840,"uris":["http://zotero.org/users/8748280/items/XSUMDWV9"],"itemData":{"id":1840,"type":"article-journal","abstract":"Clinicians are inaccurate at predicting survival. The ‘Surprise Question’ (SQ) is a screening tool that aims to identify people nearing the end of life. Potentially, its routine use could help identify patients who might benefit from palliative care services. The objective was to assess the accuracy of the SQ by time scale, clinician, and speciality.","container-title":"BMC Medicine","DOI":"10.1186/s12916-017-0907-4","ISSN":"1741-7015","issue":"1","journalAbbreviation":"BMC Medicine","page":"139","source":"BioMed Central","title":"How accurate is the ‘Surprise Question’ at identifying patients at the end of life? A systematic review and meta-analysis","title-short":"How accurate is the ‘Surprise Question’ at identifying patients at the end of life?","volume":"15","author":[{"family":"White","given":"Nicola"},{"family":"Kupeli","given":"Nuriye"},{"family":"Vickerstaff","given":"Victoria"},{"family":"Stone","given":"Patrick"}],"issued":{"date-parts":[["2017",8,2]]}}}],"schema":"https://github.com/citation-style-language/schema/raw/master/csl-citation.json"} </w:instrText>
      </w:r>
      <w:r w:rsidRPr="000F7E56">
        <w:fldChar w:fldCharType="separate"/>
      </w:r>
      <w:r w:rsidR="000D5597" w:rsidRPr="000D5597">
        <w:rPr>
          <w:rFonts w:ascii="Calibri" w:hAnsi="Calibri" w:cs="Times New Roman"/>
          <w:szCs w:val="24"/>
          <w:vertAlign w:val="superscript"/>
        </w:rPr>
        <w:t>169–172</w:t>
      </w:r>
      <w:r w:rsidRPr="000F7E56">
        <w:fldChar w:fldCharType="end"/>
      </w:r>
      <w:r w:rsidRPr="000F7E56">
        <w:t xml:space="preserve"> The positive recovery orientation encouraged patients and families to maintain hope in the possibility of an extended future and to distance themselves from the imminence of death.</w:t>
      </w:r>
      <w:r w:rsidRPr="000F7E56">
        <w:fldChar w:fldCharType="begin"/>
      </w:r>
      <w:r w:rsidR="000D5597">
        <w:instrText xml:space="preserve"> ADDIN ZOTERO_ITEM CSL_CITATION {"citationID":"gAtJ0JMM","properties":{"formattedCitation":"\\super 156,161,173\\uc0\\u8211{}175\\nosupersub{}","plainCitation":"156,161,173–175","noteIndex":0},"citationItems":[{"id":1801,"uris":["http://zotero.org/users/8748280/items/XPI3RQS6"],"itemData":{"id":1801,"type":"article-journal","abstract":"AIMS: To explore if and how information about a transition to a palliative care approach was communicated to patients recently discharged from hospital and who fulfilled standardized criteria for palliative care need.\nBACKGROUND: Palliative care philosophy and, more recently, UK palliative care policy, endorse a context of 'open' awareness, where all parties openly acknowledge that the patient's death is approaching. The perceived benefits of making the patient aware of their prognosis encompass a variety of planning activities, which mean that death, when it occurs, is arguably more in keeping with the wishes of the patient.\nDESIGN: A qualitative inductive interview study conducted in 2010-2011.\nMETHODS: Fifteen semi-structured interviews were conducted with 15 patients and 3 family carers. All patients were identified as having palliative care needs according to standardized criteria, 3-6 months after discharge from hospital. A thematic analysis was undertaken.\nFINDINGS: Contrary to the professed ideal of 'open' awareness, some participants were only partially aware and others wholly unaware that they were likely to be approaching the end-of-life. Those identified as unaware were over 85. Participants displayed a reluctance to acquire knowledge which would require them to face the imminence of death.\nCONCLUSION: Philosophy and policy aside, people do not always conform to the autonomy paradigm of a self-directed life followed by a self-directed death.","container-title":"Journal of Advanced Nursing","DOI":"10.1111/jan.12151","ISSN":"1365-2648","issue":"12","journalAbbreviation":"J Adv Nurs","language":"eng","note":"PMID: 23600793","page":"2654-2664","source":"PubMed","title":"Awareness contexts revisited: indeterminacy in initiating discussions at the end-of-life","title-short":"Awareness contexts revisited","volume":"69","author":[{"family":"Richards","given":"Naomi"},{"family":"Ingleton","given":"Christine"},{"family":"Gardiner","given":"Clare"},{"family":"Gott","given":"Merryn"}],"issued":{"date-parts":[["2013",12]]}}},{"id":198,"uris":["http://zotero.org/users/8748280/items/I3A6IUFT"],"itemData":{"id":198,"type":"article-journal","abstract":"Transitions to palliative care can involve a shift in philosophy from life-prolonging to life-enhancing care. People living with a life-limiting illness will often receive palliative care through specialist outpatient clinics, while also being cared for by another medical specialty. Experiences of this point of care have been described as being liminal in character, that is, somewhere between living and dying. Drawing on experiences of illness and care taken from semistructured interviews with 30 palliative care outpatients in Australia, we found that this phase was frequently understood as concurrently living and dying. We suggest that this is a “parallax experience” involving narratives of a coherent linear self that is able to understand both realities, in a way that acknowledges the benefits of being multiple. These findings have significant implications for the ways in which palliative care is understood and how the self and subjectivity might be conceptualized at the end of life.","container-title":"Qualitative Health Research","DOI":"10.1177/1049732315618938","ISSN":"1049-7323","issue":"5","journalAbbreviation":"Qual Health Res","language":"en","page":"623-633","source":"SAGE Journals","title":"The Liminal and the Parallax: Living and Dying at the End of Life","title-short":"The Liminal and the Parallax","volume":"27","author":[{"family":"MacArtney","given":"John I."},{"family":"Broom","given":"Alex"},{"family":"Kirby","given":"Emma"},{"family":"Good","given":"Phillip"},{"family":"Wootton","given":"Julia"}],"issued":{"date-parts":[["2017",4,1]]}}},{"id":1843,"uris":["http://zotero.org/users/8748280/items/CHHVTPLS"],"itemData":{"id":1843,"type":"article-journal","abstract":"Literature suggests that it is possible to live well with advanced cancer but little is known about the process. In this article, we present a secondary analysis of experiences of living with advanced cancer (n = 22) that refines the theory of “Living Well with Chronic Illness” for a different context and population. The refined theory explains the experience of living well with advanced cancer illuminating a five-phase iterative process: struggling, accepting, living with advanced cancer, sharing the illness experience, and reconstructing life. These five phases revolve around the core concept of Awareness of Dying, which varied from awareness of the possibility of dying, to accepting the possibility of dying, to acceptance that “I am dying.” Awareness of Dying led to a focus on living well with advanced cancer and movement towards living a life rather than living an illness.","container-title":"Qualitative Health Research","DOI":"10.1177/1049732318816298","ISSN":"1049-7323","issue":"8","journalAbbreviation":"Qual Health Res","language":"en","note":"publisher: SAGE Publications Inc","page":"1143-1155","source":"SAGE Journals","title":"People With Advanced Cancer: The Process of Living Well With Awareness of Dying","title-short":"People With Advanced Cancer","volume":"30","author":[{"family":"Arantzamendi","given":"Maria"},{"family":"García-Rueda","given":"Noelia"},{"family":"Carvajal","given":"Ana"},{"family":"Robinson","given":"Carole A."}],"issued":{"date-parts":[["2020",7,1]]}}},{"id":1846,"uris":["http://zotero.org/users/8748280/items/SBATIPIB"],"itemData":{"id":1846,"type":"article-journal","abstract":"OBJECTIVE: Advance care planning (ACP) provides patients with an opportunity to consider, discuss, and plan their future care with health professionals. Numerous policy documents recommend that ACP should be available to all with life-limiting illness.\nMETHOD: Forty patients with recurrent progressive cancer completed one or more ACP discussions with a trained planning mediator using a standardized topic guide. Fifty-two interviews were transcribed verbatim and analyzed for qualitative thematic content.\nRESULTS: Most patients had not spoken extensively to health professionals or close persons about the future. Their concerns related to experiencing distressing symptoms or worrying how family members would cope. Some patients wished for more accurate information and were unaware of their options for care. Many felt it was doctors' responsibility to initiate such discussions, but perceived that their doctors were reluctant to do so. However, some patients felt that the time was not yet right for these conversations.\nSIGNIFICANCE OF RESULTS: This article reports on the recorded content of ACP discussions. The extent to which patients want to engage in ACP is variable, and support and training are needed for health professionals to initiate such discussions. Our findings do not fully support the current United Kingdom policy of introducing ACP early in life-threatening disease.","container-title":"Palliative &amp; Supportive Care","DOI":"10.1017/S1478951510000568","ISSN":"1478-9523","issue":"1","journalAbbreviation":"Palliat Support Care","language":"eng","note":"PMID: 21352620","page":"73-79","source":"PubMed","title":"Advance care planning discussions in advanced cancer: analysis of dialogues between patients and care planning mediators","title-short":"Advance care planning discussions in advanced cancer","volume":"9","author":[{"family":"Barnes","given":"Kelly A."},{"family":"Barlow","given":"Cate A."},{"family":"Harrington","given":"Jane"},{"family":"Ornadel","given":"Karon"},{"family":"Tookman","given":"Adrian"},{"family":"King","given":"Michael"},{"family":"Jones","given":"Louise"}],"issued":{"date-parts":[["2011",3]]}}},{"id":1848,"uris":["http://zotero.org/users/8748280/items/RT568YVD"],"itemData":{"id":1848,"type":"article-journal","abstract":"Patients who engage in Advance Care Planning (ACP) are more likely to get care consistent with their values. We sought to determine the barriers and facilitators to ACP engagement after discharge from hospital.","container-title":"BMC Palliative Care","DOI":"10.1186/s12904-018-0379-0","ISSN":"1472-684X","issue":"1","journalAbbreviation":"BMC Palliative Care","page":"127","source":"BioMed Central","title":"Advance care planning after hospital discharge: qualitative analysis of facilitators and barriers from patient interviews","title-short":"Advance care planning after hospital discharge","volume":"17","author":[{"family":"Peck","given":"Vanessa"},{"family":"Valiani","given":"Sabira"},{"family":"Tanuseputro","given":"Peter"},{"family":"Mulpuru","given":"Sunita"},{"family":"Kyeremanteng","given":"Kwadwo"},{"family":"Fitzgibbon","given":"Edward"},{"family":"Forster","given":"Alan"},{"family":"Kobewka","given":"Daniel"}],"issued":{"date-parts":[["2018",12,5]]}}}],"schema":"https://github.com/citation-style-language/schema/raw/master/csl-citation.json"} </w:instrText>
      </w:r>
      <w:r w:rsidRPr="000F7E56">
        <w:fldChar w:fldCharType="separate"/>
      </w:r>
      <w:r w:rsidR="000D5597" w:rsidRPr="000D5597">
        <w:rPr>
          <w:rFonts w:ascii="Calibri" w:hAnsi="Calibri" w:cs="Times New Roman"/>
          <w:szCs w:val="24"/>
          <w:vertAlign w:val="superscript"/>
        </w:rPr>
        <w:t>156,161,173–175</w:t>
      </w:r>
      <w:r w:rsidRPr="000F7E56">
        <w:fldChar w:fldCharType="end"/>
      </w:r>
      <w:r w:rsidRPr="000F7E56">
        <w:t xml:space="preserve">  Having pulled through against the odds, on past occasions, FCGs proposed that the patient was likely to do so again – or at least they should be treated as if this was likely to be the case. There could be a lot of ambivalence about prognosis and how much people wanted to know about this and their future options. Moreover, preferences were not necessarily linear or stable</w:t>
      </w:r>
      <w:r w:rsidRPr="000F7E56">
        <w:rPr>
          <w:color w:val="4472C4" w:themeColor="accent1"/>
        </w:rPr>
        <w:t>.</w:t>
      </w:r>
      <w:r w:rsidRPr="000F7E56">
        <w:rPr>
          <w:color w:val="4472C4" w:themeColor="accent1"/>
        </w:rPr>
        <w:fldChar w:fldCharType="begin"/>
      </w:r>
      <w:r w:rsidR="000D5597">
        <w:rPr>
          <w:color w:val="4472C4" w:themeColor="accent1"/>
        </w:rPr>
        <w:instrText xml:space="preserve"> ADDIN ZOTERO_ITEM CSL_CITATION {"citationID":"3cJjqG5x","properties":{"formattedCitation":"\\super 140,164\\nosupersub{}","plainCitation":"140,164","noteIndex":0},"citationItems":[{"id":1769,"uris":["http://zotero.org/users/8748280/items/QPP6JD6N"],"itemData":{"id":1769,"type":"webpage","abstract":"**Shortlisted for the BSA Sociology of Health and Illness Book Prize 2010**What is good care? In this innovative and compelling book, Annemarie Mol argues that good care has little to do with 'patient choice' and, therefore, creating more opportunities for patient choice will not improve health care.\n\nAlthough it is possible to treat people who seek professional help as customers or citizens, Mol argues that this undermines ways of thinking and acting crucial to health care. Illustrating the dis","container-title":"Routledge &amp; CRC Press","language":"en","title":"The Logic of Care: Health and the Problem of Patient Choice","title-short":"The Logic of Care","URL":"https://www.routledge.com/The-Logic-of-Care-Health-and-the-Problem-of-Patient-Choice/Mol/p/book/9780415453431","author":[{"family":"Moll, Annemarie","given":""}],"accessed":{"date-parts":[["2021",12,8]]}}},{"id":1816,"uris":["http://zotero.org/users/8748280/items/WARF8AD4"],"itemData":{"id":1816,"type":"article-journal","abstract":"BACKGROUND: It is often suggested that terminally ill patients favour end-of-life care at home. Yet, it is unclear how these preferences are formed, if the process is similar for patients and family caregivers, and if there are discrepancies between preferences for place of care and place of death. Understanding these nuances is essential to support people in their decision-making and ultimately provide better care at the end-of-life.\nAIM: To gain an in-depth understanding of how terminally ill patients and their family caregivers make decisions about preferred place of care and place of death.\nDESIGN: Semi-structured interviews with patients and family caregivers, which were analysed thematically using qualitative description.\nSETTING/PARTICIPANTS: A total of 17 participants (8 patients and 9 caregivers) recruited from an acute palliative care hospital ward, a sub-acute hospice unit, and a palliative homecare organisation in Melbourne, Australia.\nRESULTS: The process of forming location preferences was shaped by uncertainty relating to the illness, the caregiver and the services. Patients and caregivers dealt with this uncertainty on a level of thoughts, emotions, and actions. At the end of this process, patients and caregivers expressed their choices as contextual, personal, relational, conditional and flexible preferences.\nCONCLUSIONS: These findings suggest that in many cases end-of-life decision-making does not conclude with a clear and stable choice. Understanding the reasons for the malleability of preferences and the process of how they are formed has implications for both clinicians and researchers.","container-title":"Palliative Medicine","DOI":"10.1177/0269216319845794","ISSN":"1477-030X","issue":"7","journalAbbreviation":"Palliat Med","language":"eng","note":"PMID: 31046580","page":"802-811","source":"PubMed","title":"'It all depends!': A qualitative study of preferences for place of care and place of death in terminally ill patients and their family caregivers","title-short":"'It all depends!'","volume":"33","author":[{"family":"Gerber","given":"Katrin"},{"family":"Hayes","given":"Barbara"},{"family":"Bryant","given":"Christina"}],"issued":{"date-parts":[["2019",7]]}}}],"schema":"https://github.com/citation-style-language/schema/raw/master/csl-citation.json"} </w:instrText>
      </w:r>
      <w:r w:rsidRPr="000F7E56">
        <w:rPr>
          <w:color w:val="4472C4" w:themeColor="accent1"/>
        </w:rPr>
        <w:fldChar w:fldCharType="separate"/>
      </w:r>
      <w:r w:rsidR="000D5597" w:rsidRPr="000D5597">
        <w:rPr>
          <w:rFonts w:ascii="Calibri" w:hAnsi="Calibri" w:cs="Times New Roman"/>
          <w:szCs w:val="24"/>
          <w:vertAlign w:val="superscript"/>
        </w:rPr>
        <w:t>140,164</w:t>
      </w:r>
      <w:r w:rsidRPr="000F7E56">
        <w:rPr>
          <w:color w:val="4472C4" w:themeColor="accent1"/>
        </w:rPr>
        <w:fldChar w:fldCharType="end"/>
      </w:r>
      <w:r w:rsidRPr="000F7E56">
        <w:rPr>
          <w:color w:val="4472C4" w:themeColor="accent1"/>
        </w:rPr>
        <w:t xml:space="preserve"> </w:t>
      </w:r>
      <w:r w:rsidRPr="000F7E56">
        <w:t>Many participants preferred to maintain an overtly positive stance and to focus on making the most of the present rather than an uncertain and likely unpleasant future.</w:t>
      </w:r>
      <w:r w:rsidRPr="000F7E56">
        <w:fldChar w:fldCharType="begin"/>
      </w:r>
      <w:r w:rsidR="000D5597">
        <w:instrText xml:space="preserve"> ADDIN ZOTERO_ITEM CSL_CITATION {"citationID":"7UzoVwyk","properties":{"formattedCitation":"\\super 75,166\\nosupersub{}","plainCitation":"75,166","noteIndex":0},"citationItems":[{"id":"aZbwIlcN/ixzzP0d4","uris":["http://zotero.org/users/6587080/items/FMPAAJBE"],"itemData":{"id":"StNojVUY/z50hz84o","type":"article-journal","abstract":"Background: Advance care planning (ACP) enables patients to consider, discuss and, if they wish, document their wishes and preferences for future care, including decisions to refuse treatment, in the event that they lose capacity to make decisions for themselves. ACP is a key component of UK health policy to improve the experience of death and dying for patients and their families. There is limited evidence about how patients and health professionals understand ACP, or when and how this is initiated. It is evident that many people find discussion of and planning for end of life care difficult, and tend to avoid the topic. Aim: To investigate how patients, their relatives and health professionals initiate and experience discussion of ACP and the outcomes of advance discussions in shaping care at the end of life. Design and data collection: Qualitative study with two workstreams: (1) interviews with 37 health professionals (general practitioners, specialist nurses and community nurses) about their experiences of ACP; and (2) longitudinal case studies of 21 patients with 6-month follow-up. Cases included a patient and, where possible, a nominated key relative and/or health professional as well as a review of medical records. Complete case triads were obtained for 11 patients. Four cases comprised the patient alone, where respondents were unable or unwilling to nominate either a family member or a professional carer they wished to include in the study. Patients were identified as likely to be within the last 6 months of life. Ninety-seven interviews were completed in total. Setting: General practices and community care settings in the East Midlands of England. Findings: The study found ACP to be uncommon and focused primarily on specific documented tasks involving decisions about preferred place of death and cardiopulmonary resuscitation, supporting earlier research. There was no evidence of ACP in nearly half (9 of 21) of patient cases. Professionals reported ACP discussions to be challenging. It was difficult to recognise when patients had entered the last year of life, or to identify their readiness to consider future planning. Patients often did not wish to do so before they had become gravely ill. Consequently, ACP discussions tended to be reactive, rather than pre-emptive, occurring in response to critical events or evidence of marked deterioration. ACP discussions intersected two parallel strands of planning: professional organisation and co-ordination of care; and the practical and emotional preparatory work that patients and families undertook to prepare themselves for death. Reference to ACP as a means of guiding decisions for patients who had lost capacity was rare. Conclusions: Advance care planning remains uncommon, is often limited to documentation of a few key decisions, is reported to be challenging by many health professionals, is not welcomed by a substantial number of patients and tends to be postponed until death is clearly imminent. Current implementation largely ignores the purpose of ACP as a means of extending personal autonomy in the event of lost capacity. Future work: Attention should be paid to public attitudes to death and dying (including those of culturally diverse and ethnic minority groups), place of death, resuscitation and the value of anticipatory planning. In addition the experiences and needs of two under-researched groups should be explored: the frail elderly, including those who manage complex comorbid conditions, unrecognised as vulnerable cases; and those patients affected by stigmatised conditions, such as substance abuse or serious mental illness who fail to engage constructively with services and are not recognised as suitable referrals for palliative and end of life care. Funding: The National Institute for Health Research Health Services and Delivery Research programme.","container-title":"Health Services and Delivery Research","DOI":"10.3310/hsdr03310","ISSN":"2050-4349","issue":"31","language":"eng","page":"1-138","source":"librarysearch.le.ac.uk","title":"Care and communication between health professionals and patients affected by severe or chronic illness in community care settings: a qualitative study of care at the end of life","title-short":"Care and communication between health professionals and patients affected by severe or chronic illness in community care settings","volume":"3","author":[{"family":"Pollock","given":"Kristian"},{"family":"Wilson","given":"Eleanor"}],"issued":{"date-parts":[["2015"]]}}},{"id":1823,"uris":["http://zotero.org/users/8748280/items/V9VGF3SI"],"itemData":{"id":1823,"type":"article-journal","abstract":"Palliative care in the UK has been developed to meet the needs of predominantly middle aged and younger old people with cancer. Few data are available regarding the extent to which services respond to the specific needs of an older group of people with other illnesses. This paper draws on in-depth interviews conducted with 40 people (median age 77) with advanced heart failure and poor prognosis to explore the extent to which older people's views and concerns about dying are consistent with the prevalent model of the 'good death' underpinning palliative care delivery. That prevalent model is identified as the \"revivalist\" good death. Our findings indicate that older people's views of a 'good death' often conflict with the values upon which palliative care is predicated. For example, in line with previous research, many participants did not want an open awareness of death preceded by acknowledgement of the potential imminence of dying. Similarly, concepts of autonomy and individuality appeared alien to most. Indeed, whilst there was evidence that palliative care could help improve the end of life experiences of older people, for example in initiating discussions around death and dying, the translation of other aspects of specialist palliative care philosophy appear more problematic. Ultimately, the study identified that improving the end of life experiences of older people must involve addressing the problematised nature of ageing and old age within contemporary society, whilst recognising the cohort and cultural effects that influence attitudes to death and dying.","container-title":"Social Science &amp; Medicine (1982)","DOI":"10.1016/j.socscimed.2008.05.024","ISSN":"0277-9536","issue":"7","journalAbbreviation":"Soc Sci Med","language":"eng","note":"PMID: 18585838","page":"1113-1121","source":"PubMed","title":"Older people's views of a good death in heart failure: implications for palliative care provision","title-short":"Older people's views of a good death in heart failure","volume":"67","author":[{"family":"Gott","given":"M."},{"family":"Small","given":"Neil"},{"family":"Barnes","given":"Sarah"},{"family":"Payne","given":"Sheila"},{"family":"Seamark","given":"David"}],"issued":{"date-parts":[["2008",10]]}}}],"schema":"https://github.com/citation-style-language/schema/raw/master/csl-citation.json"} </w:instrText>
      </w:r>
      <w:r w:rsidRPr="000F7E56">
        <w:fldChar w:fldCharType="separate"/>
      </w:r>
      <w:r w:rsidR="000D5597" w:rsidRPr="000D5597">
        <w:rPr>
          <w:rFonts w:ascii="Calibri" w:hAnsi="Calibri" w:cs="Times New Roman"/>
          <w:szCs w:val="24"/>
          <w:vertAlign w:val="superscript"/>
        </w:rPr>
        <w:t>75,166</w:t>
      </w:r>
      <w:r w:rsidRPr="000F7E56">
        <w:fldChar w:fldCharType="end"/>
      </w:r>
      <w:r w:rsidRPr="000F7E56">
        <w:rPr>
          <w:color w:val="4472C4" w:themeColor="accent1"/>
        </w:rPr>
        <w:t xml:space="preserve"> </w:t>
      </w:r>
      <w:r w:rsidRPr="000F7E56">
        <w:t xml:space="preserve">Patients, FCGs and HCPs in many of our case studies converged in their view that there was no benefit, and could be a risk, in thinking too far ahead until the patient had become so gravely ill that death was clearly imminent. </w:t>
      </w:r>
    </w:p>
    <w:p w14:paraId="649FE552" w14:textId="77777777" w:rsidR="000F7E56" w:rsidRPr="000F7E56" w:rsidRDefault="000F7E56" w:rsidP="000F7E56">
      <w:pPr>
        <w:spacing w:line="360" w:lineRule="auto"/>
      </w:pPr>
      <w:r w:rsidRPr="000F7E56">
        <w:t xml:space="preserve">HCPs rarely expressed any awareness, or curiosity, about patients’ religious or other beliefs, their significance for EOLCP, how they should be factored into the discussion or how they might influence decisions about treatment and future goals of care. Patients and FCGs who held strong religious convictions about divine intervention regarded EOLCP as irrelevant and inappropriate. Indeed, where all matters of life and death were believed to be determined by God, future planning could be considered presumptuous and indicative of insufficient faith. However, there was considerable variation and individuality in attitudes towards EOLCP and how participants positioned themselves in relation to religious or cultural affiliation. Preferences for resuscitation and continuation of active treatment, for example, could not be reliably predicted from knowledge of an individual’s religion or ethnic identity. Some families rejected DNACPR as being incompatible with religious faith, specifically the belief that life and death are subject to divine determination. Others had a purely secular desire to continue living for as long as possible, and because of a hopefulness about the future and what this might deliver in terms of natural recovery of advances in treatment.  </w:t>
      </w:r>
    </w:p>
    <w:p w14:paraId="652D6AE1" w14:textId="60D808D9" w:rsidR="000F7E56" w:rsidRDefault="000F7E56" w:rsidP="000F7E56">
      <w:pPr>
        <w:keepNext/>
        <w:keepLines/>
        <w:spacing w:before="40" w:after="0" w:line="360" w:lineRule="auto"/>
        <w:outlineLvl w:val="1"/>
        <w:rPr>
          <w:rFonts w:asciiTheme="majorHAnsi" w:eastAsiaTheme="majorEastAsia" w:hAnsiTheme="majorHAnsi" w:cstheme="majorBidi"/>
          <w:color w:val="2F5496" w:themeColor="accent1" w:themeShade="BF"/>
          <w:sz w:val="24"/>
          <w:szCs w:val="24"/>
        </w:rPr>
      </w:pPr>
      <w:bookmarkStart w:id="419" w:name="_Toc106697856"/>
      <w:r w:rsidRPr="000F7E56">
        <w:rPr>
          <w:rFonts w:asciiTheme="majorHAnsi" w:eastAsiaTheme="majorEastAsia" w:hAnsiTheme="majorHAnsi" w:cstheme="majorBidi"/>
          <w:color w:val="2F5496" w:themeColor="accent1" w:themeShade="BF"/>
          <w:sz w:val="24"/>
          <w:szCs w:val="24"/>
        </w:rPr>
        <w:lastRenderedPageBreak/>
        <w:t>Language, communication, and decision-making</w:t>
      </w:r>
      <w:bookmarkEnd w:id="419"/>
    </w:p>
    <w:p w14:paraId="5AD856C8" w14:textId="77777777" w:rsidR="00DA32BF" w:rsidRPr="000F7E56" w:rsidRDefault="00DA32BF" w:rsidP="000F7E56">
      <w:pPr>
        <w:keepNext/>
        <w:keepLines/>
        <w:spacing w:before="40" w:after="0" w:line="360" w:lineRule="auto"/>
        <w:outlineLvl w:val="1"/>
        <w:rPr>
          <w:rFonts w:asciiTheme="majorHAnsi" w:eastAsiaTheme="majorEastAsia" w:hAnsiTheme="majorHAnsi" w:cstheme="majorBidi"/>
          <w:color w:val="2F5496" w:themeColor="accent1" w:themeShade="BF"/>
          <w:sz w:val="24"/>
          <w:szCs w:val="24"/>
        </w:rPr>
      </w:pPr>
    </w:p>
    <w:p w14:paraId="1A6A2FC1" w14:textId="55EBEDA7" w:rsidR="000F7E56" w:rsidRPr="000F7E56" w:rsidRDefault="000F7E56" w:rsidP="000F7E56">
      <w:pPr>
        <w:spacing w:line="360" w:lineRule="auto"/>
      </w:pPr>
      <w:r w:rsidRPr="000F7E56">
        <w:t>Above we have suggested that the optimistic recovery orientation often involved a degree of collusion between patients, FCGs and HCPs. This was an important mechanism for protecting others from damaging revelations and confrontation with unpleasant alternative truths but it could also result in misunderstanding and false optimism among patients and family members who failed to realise how seriously ill the patient was and how close to the end-of-life. While this approach suited many participants, at least for a time, this vagueness and indeterminacy was regarded as highly unsatisfactory and intensified anxiety among patients and families who wished for clear and specific information about their illness and prognosis. Faced with very uncertain patient futures HCPs were unable and possibly reluctant to pin down exactly when treatment might fail or deterioration might occur. However, HCPs had considerable power to frame information to influence patient awareness of the illness and the ‘choices’ with which they were confronted.</w:t>
      </w:r>
      <w:r w:rsidRPr="000F7E56">
        <w:fldChar w:fldCharType="begin"/>
      </w:r>
      <w:r w:rsidR="000D5597">
        <w:instrText xml:space="preserve"> ADDIN ZOTERO_ITEM CSL_CITATION {"citationID":"gc4REfWr","properties":{"formattedCitation":"\\super 75,162,176\\nosupersub{}","plainCitation":"75,162,176","noteIndex":0},"citationItems":[{"id":"aZbwIlcN/ixzzP0d4","uris":["http://zotero.org/users/6587080/items/FMPAAJBE"],"itemData":{"id":"StNojVUY/z50hz84o","type":"article-journal","abstract":"Background: Advance care planning (ACP) enables patients to consider, discuss and, if they wish, document their wishes and preferences for future care, including decisions to refuse treatment, in the event that they lose capacity to make decisions for themselves. ACP is a key component of UK health policy to improve the experience of death and dying for patients and their families. There is limited evidence about how patients and health professionals understand ACP, or when and how this is initiated. It is evident that many people find discussion of and planning for end of life care difficult, and tend to avoid the topic. Aim: To investigate how patients, their relatives and health professionals initiate and experience discussion of ACP and the outcomes of advance discussions in shaping care at the end of life. Design and data collection: Qualitative study with two workstreams: (1) interviews with 37 health professionals (general practitioners, specialist nurses and community nurses) about their experiences of ACP; and (2) longitudinal case studies of 21 patients with 6-month follow-up. Cases included a patient and, where possible, a nominated key relative and/or health professional as well as a review of medical records. Complete case triads were obtained for 11 patients. Four cases comprised the patient alone, where respondents were unable or unwilling to nominate either a family member or a professional carer they wished to include in the study. Patients were identified as likely to be within the last 6 months of life. Ninety-seven interviews were completed in total. Setting: General practices and community care settings in the East Midlands of England. Findings: The study found ACP to be uncommon and focused primarily on specific documented tasks involving decisions about preferred place of death and cardiopulmonary resuscitation, supporting earlier research. There was no evidence of ACP in nearly half (9 of 21) of patient cases. Professionals reported ACP discussions to be challenging. It was difficult to recognise when patients had entered the last year of life, or to identify their readiness to consider future planning. Patients often did not wish to do so before they had become gravely ill. Consequently, ACP discussions tended to be reactive, rather than pre-emptive, occurring in response to critical events or evidence of marked deterioration. ACP discussions intersected two parallel strands of planning: professional organisation and co-ordination of care; and the practical and emotional preparatory work that patients and families undertook to prepare themselves for death. Reference to ACP as a means of guiding decisions for patients who had lost capacity was rare. Conclusions: Advance care planning remains uncommon, is often limited to documentation of a few key decisions, is reported to be challenging by many health professionals, is not welcomed by a substantial number of patients and tends to be postponed until death is clearly imminent. Current implementation largely ignores the purpose of ACP as a means of extending personal autonomy in the event of lost capacity. Future work: Attention should be paid to public attitudes to death and dying (including those of culturally diverse and ethnic minority groups), place of death, resuscitation and the value of anticipatory planning. In addition the experiences and needs of two under-researched groups should be explored: the frail elderly, including those who manage complex comorbid conditions, unrecognised as vulnerable cases; and those patients affected by stigmatised conditions, such as substance abuse or serious mental illness who fail to engage constructively with services and are not recognised as suitable referrals for palliative and end of life care. Funding: The National Institute for Health Research Health Services and Delivery Research programme.","container-title":"Health Services and Delivery Research","DOI":"10.3310/hsdr03310","ISSN":"2050-4349","issue":"31","language":"eng","page":"1-138","source":"librarysearch.le.ac.uk","title":"Care and communication between health professionals and patients affected by severe or chronic illness in community care settings: a qualitative study of care at the end of life","title-short":"Care and communication between health professionals and patients affected by severe or chronic illness in community care settings","volume":"3","author":[{"family":"Pollock","given":"Kristian"},{"family":"Wilson","given":"Eleanor"}],"issued":{"date-parts":[["2015"]]}}},{"id":1811,"uris":["http://zotero.org/users/8748280/items/9NUECY75"],"itemData":{"id":1811,"type":"article-journal","abstract":"The participation of patients in making decisions about their care is especially important towards the end of life because palliative care decisions involve extensive uncertainty and are heavily influenced by personal values. Yet, there is a scarcity of studies directly observing clinical interactions between palliative patients and their health care providers. In this study, we aimed to understand how patient participation in palliative care decisions is constructed through discourse in a community hospital-based palliative care team. This qualitative study combined ethnographic observations of a palliative care team with discourse analysis. Eighteen palliative care patients with cancer diagnoses, six family physicians, and two nurses were involved in the study. Multiple interactions were observed between each patient and health care providers over the course of 1 year, for a total of 101 consultations, 24 of which were audio-recorded. The analysis consisted in looking for the interpretive repertoires (i.e., familiar lines of argument used to justify actions) that were used to justify patient participation in decision-making during clinical interactions, as well as exploring their implications for decision roles and end-of-life care. Patients and their health care providers seldom addressed their decision-making roles explicitly. Rather, they constructed patient participation in palliative care decisions in a covert manner. Four interpretive repertoires were used to justify patient participation: (1) exposing uncertainty, (2) co-constructing patient preferences, (3) affirming patient autonomy, and finally (4) upholding the authority of health care providers. The results demonstrate how patients and health care providers used these arguments to negotiate their respective roles in decision-making. In conclusion, patients and health care providers used a variety of interpretive repertoires to covertly negotiate their roles in decision-making, and to legitimize decisions that shaped patients' dying trajectories. Discourse analysis encourages awareness of the role of language in either promoting or hindering patient participation in decision-making.","container-title":"International Journal of Qualitative Studies on Health and Well-Being","DOI":"10.3402/qhw.v11.32438","ISSN":"1748-2631","journalAbbreviation":"Int J Qual Stud Health Well-being","language":"eng","note":"PMID: 27882864\nPMCID: PMC5122231","page":"32438","source":"PubMed","title":"Patient participation in palliative care decisions: An ethnographic discourse analysis","title-short":"Patient participation in palliative care decisions","volume":"11","author":[{"family":"Bélanger","given":"Emmanuelle"},{"family":"Rodríguez","given":"Charo"},{"family":"Groleau","given":"Danielle"},{"family":"Légaré","given":"France"},{"family":"MacDonald","given":"Mary Ellen"},{"family":"Marchand","given":"Robert"}],"issued":{"date-parts":[["2016"]]}}},{"id":1853,"uris":["http://zotero.org/users/8748280/items/4EY87FKC"],"itemData":{"id":1853,"type":"book","abstract":"Once defiant of death—or even in denial—many American families and health care professionals are embracing the notion that a life consumed by suffering may not be worth living. Sociologist Roi Livne documents the rise and effectiveness of hospice and palliative care, and the growing acceptance that less treatment may be better near the end of life.","ISBN":"978-0-674-23986-9","language":"en","note":"DOI: 10.4159/9780674239869\ncontainer-title: Values at the End of Life","publisher":"Harvard University Press","source":"www.degruyter.com","title":"Values at the End of Life: The Logic of Palliative Care","title-short":"Values at the End of Life","URL":"https://www.degruyter.com/document/doi/10.4159/9780674239869/html","author":[{"family":"Livne","given":"Roi"}],"accessed":{"date-parts":[["2021",12,8]]},"issued":{"date-parts":[["2019",6,10]]}}}],"schema":"https://github.com/citation-style-language/schema/raw/master/csl-citation.json"} </w:instrText>
      </w:r>
      <w:r w:rsidRPr="000F7E56">
        <w:fldChar w:fldCharType="separate"/>
      </w:r>
      <w:r w:rsidR="000D5597" w:rsidRPr="000D5597">
        <w:rPr>
          <w:rFonts w:ascii="Calibri" w:hAnsi="Calibri" w:cs="Times New Roman"/>
          <w:szCs w:val="24"/>
          <w:vertAlign w:val="superscript"/>
        </w:rPr>
        <w:t>75,162,176</w:t>
      </w:r>
      <w:r w:rsidRPr="000F7E56">
        <w:fldChar w:fldCharType="end"/>
      </w:r>
      <w:r w:rsidRPr="000F7E56">
        <w:t xml:space="preserve"> This was a much more general phenomenon than the blunt imperative for decisions to be made during acute hospital admissions, as described above.  </w:t>
      </w:r>
    </w:p>
    <w:p w14:paraId="76B6B5CF" w14:textId="77777777" w:rsidR="000F7E56" w:rsidRPr="000F7E56" w:rsidRDefault="000F7E56" w:rsidP="000F7E56">
      <w:pPr>
        <w:spacing w:line="360" w:lineRule="auto"/>
      </w:pPr>
      <w:r w:rsidRPr="000F7E56">
        <w:t xml:space="preserve">Regardless of the setting, HCPs raising the topic of resuscitation was a powerful signifier of the gravity of the patient’s illness and anticipated mortality: after discussion of DNACPR, the future abruptly felt shorter. It was clear that participants often did not have a clear or accurate idea of what resuscitation involved, the circumstances under which it would be attempted, or that it did not mean that treatment would be withheld for treatable or reversible conditions. However, several FCGs described situations where they felt hospital staff had indicated that no further treatment of any kind would be given to their relative. </w:t>
      </w:r>
    </w:p>
    <w:p w14:paraId="5A69B6F7" w14:textId="77777777" w:rsidR="000F7E56" w:rsidRPr="000F7E56" w:rsidRDefault="000F7E56" w:rsidP="000F7E56">
      <w:pPr>
        <w:spacing w:line="360" w:lineRule="auto"/>
      </w:pPr>
      <w:r w:rsidRPr="000F7E56">
        <w:t xml:space="preserve">In discussions of resuscitation, professional input can be critical: in giving information, time and space and repeated opportunities for patients and family members to reflect and discuss. Accounts of participants in this study identified their confusion and inconsistency in professional judgement and advice that had been distressing and, they felt, had resulted in poor care. It was evident, also, that some families disputed professional judgements about the patient’s quality of life being necessarily unacceptable following a resuscitation attempt as well as their capacity to predict prognosis. Others found the decision about resuscitation to be extremely difficult and one they were reluctant to accept. </w:t>
      </w:r>
    </w:p>
    <w:p w14:paraId="249D09CF" w14:textId="77777777" w:rsidR="000F7E56" w:rsidRPr="000F7E56" w:rsidRDefault="000F7E56" w:rsidP="000F7E56">
      <w:pPr>
        <w:spacing w:line="360" w:lineRule="auto"/>
      </w:pPr>
      <w:r w:rsidRPr="000F7E56">
        <w:t xml:space="preserve">Several participants described feeling under pressure from HCPs to agree to DNACPR orders and both lay and professional participants gave accounts of patients and FCGs changing their minds. It was not clear whether this was following the chance for reflection and to obtain greater information and understanding, or the extent to which patients may have come under professional, family or other pressures to accept or make specific decisions. Especially when translators were required it was not clear how much patients understood about future planning and decisions. Accounts of patient involvement in decision-making </w:t>
      </w:r>
      <w:r w:rsidRPr="000F7E56">
        <w:lastRenderedPageBreak/>
        <w:t xml:space="preserve">varied widely, from being actively in charge, through shared discussion to family members taking full responsibility.  </w:t>
      </w:r>
    </w:p>
    <w:p w14:paraId="378E0924" w14:textId="77777777" w:rsidR="000F7E56" w:rsidRPr="000F7E56" w:rsidRDefault="000F7E56" w:rsidP="000F7E56">
      <w:pPr>
        <w:spacing w:line="360" w:lineRule="auto"/>
      </w:pPr>
      <w:r w:rsidRPr="000F7E56">
        <w:t xml:space="preserve">Some patients, especially those who lacked fluency in English, were reported never to see an HCP on their own, but were always accompanied by at least one relative. Patients valued being able to communicate with HCPs directly in the patient’s first language. There were a few accounts of consultations in secondary care involving an HCP who could converse in the patient’s first language. These were off-chance encounters, following which it was unlikely that the same HCP would be seen again. If they cannot communicate directly with the patient, there is the potential that professionals may wrongly assume the locus of decision-making to be the family, especially in cases of older patients who rely on family members as translators and advocates. </w:t>
      </w:r>
    </w:p>
    <w:p w14:paraId="5F0173BB" w14:textId="0815D74C" w:rsidR="000F7E56" w:rsidRPr="000F7E56" w:rsidRDefault="000F7E56" w:rsidP="000F7E56">
      <w:pPr>
        <w:spacing w:line="360" w:lineRule="auto"/>
      </w:pPr>
      <w:r w:rsidRPr="000F7E56">
        <w:t>Translators may act as gate keepers, whether these are family members or professionals, framing and shaping patient understanding and choice.</w:t>
      </w:r>
      <w:r w:rsidRPr="000F7E56">
        <w:fldChar w:fldCharType="begin"/>
      </w:r>
      <w:r w:rsidR="000D5597">
        <w:instrText xml:space="preserve"> ADDIN ZOTERO_ITEM CSL_CITATION {"citationID":"G8nU2e0m","properties":{"formattedCitation":"\\super 59\\uc0\\u8211{}61\\nosupersub{}","plainCitation":"59–61","noteIndex":0},"citationItems":[{"id":"aZbwIlcN/oxq8jULq","uris":["http://zotero.org/users/6587080/items/48RXLF9C"],"itemData":{"id":"StNojVUY/TKTptIaQ","type":"article-journal","abstract":"Background: Ethnic minority patients have unique challenges in accessing health services. These include language difficulties, unfamiliarity with the health sys...","archive_location":"Sage UK: London, England","container-title":"Palliative Medicine","DOI":"10.1177/0269216318776850","language":"en","note":"publisher: SAGE PublicationsSage UK: London, England","source":"journals.sagepub.com","title":"‘Death is difficult in any language’: A qualitative study of palliative care professionals’ experiences when providing end-of-life care to patients from culturally and linguistically diverse backgrounds:","title-short":"‘Death is difficult in any language’","URL":"https://journals.sagepub.com/doi/abs/10.1177/0269216318776850","author":[{"family":"Green","given":"Anna"},{"family":"Jerzmanowska","given":"Natalia"},{"family":"Green","given":"Marguerite"},{"family":"Lobb","given":"Elizabeth A."}],"accessed":{"date-parts":[["2021",3,4]]},"issued":{"date-parts":[["2018",5,16]]}}},{"id":"aZbwIlcN/9H6wnwJW","uris":["http://zotero.org/users/6587080/items/UMJTI3V8"],"itemData":{"id":"StNojVUY/zhcxkEj8","type":"webpage","title":"Palliative care: the experience of informal carers within the Bangladeshi community | International Journal of Palliative Nursing","URL":"https://www.magonlinelibrary.com/doi/abs/10.12968/ijpn.2001.7.5.15893","author":[{"family":"Somerville","given":"Jacqueline"}],"accessed":{"date-parts":[["2021",2,21]]},"issued":{"date-parts":[["2001"]]}}},{"id":"aZbwIlcN/k7UW2NRj","uris":["http://zotero.org/users/6587080/items/8K6MCWH6"],"itemData":{"id":"StNojVUY/aYNhVD3m","type":"article-journal","abstract":"Background:\nEvidence concerning the influence of ethnic diversity on clinical encounters in cancer care is sparse. We explored health providers' experiences in this context.\n\nMethods:\nFocus groups were conducted with a purposeful sample of 106 health professionals of differing disciplines, in 18 UK primary and secondary care settings. Qualitative data were analysed using constant comparison and processes for validation.\n\nResults:\nCommunication and the quality of information exchanged with patients about cancer and their treatment was commonly frustrated within interpreter-mediated consultations, particularly those involving a family member. Relatives' approach to ownership of information and decision making could hinder assessment, informed consent and discussion of care with patients. This magnified the complexity of disclosing information sensitively and appropriately at the end of life. Professionals' concern to be patient-centred, and regard for patient choice and autonomy, were tested in these circumstances.\n\nConclusion:\nHealth professionals require better preparation to work effectively not only with trained interpreters, but also with the common reality of patients' families interpreting for patients, to improve quality of cancer care. Greater understanding of cultural and individual variations in concepts of disclosure, patient autonomy and patient-centredness is needed. The extent to which these concepts may be ethnocentric and lack universality deserves wider consideration.","container-title":"British Journal of Cancer","DOI":"10.1038/bjc.2011.318","ISSN":"0007-0920","issue":"7","journalAbbreviation":"Br J Cancer","page":"918-924","source":"PubMed Central","title":"Challenges of mediated communication, disclosure and patient autonomy in cross-cultural cancer care","volume":"105","author":[{"family":"Kai","given":"J."},{"family":"Beavan","given":"J."},{"family":"Faull","given":"C."}],"issued":{"date-parts":[["2011",9,27]]}}}],"schema":"https://github.com/citation-style-language/schema/raw/master/csl-citation.json"} </w:instrText>
      </w:r>
      <w:r w:rsidRPr="000F7E56">
        <w:fldChar w:fldCharType="separate"/>
      </w:r>
      <w:r w:rsidR="00496C3B" w:rsidRPr="00496C3B">
        <w:rPr>
          <w:rFonts w:ascii="Calibri" w:hAnsi="Calibri" w:cs="Calibri"/>
          <w:szCs w:val="24"/>
          <w:vertAlign w:val="superscript"/>
        </w:rPr>
        <w:t>59–61</w:t>
      </w:r>
      <w:r w:rsidRPr="000F7E56">
        <w:fldChar w:fldCharType="end"/>
      </w:r>
      <w:r w:rsidRPr="000F7E56">
        <w:t xml:space="preserve"> Thus, patients requiring translation may struggle to have their voice heard and HCPs may feel uneasy about a decision being in keeping with the patient’s wishes and best interests. Disclosing bad news for skilled, empathetic communication which is particularly difficult to achieve through third party translation. Some relatives felt HCPs had put upon them in translating on behalf of their parents and recoiled from the decision-making responsibility, particularly about difficult decisions such as resuscitation, which they felt amounted to ‘signing a death warrant’ for their loved one. Thus, for some FCGs, being asked to act as interpreters added to their emotional distress and burden of care. </w:t>
      </w:r>
    </w:p>
    <w:p w14:paraId="55C1BBFA" w14:textId="2EC3CFB3" w:rsidR="000F7E56" w:rsidRPr="000F7E56" w:rsidRDefault="000F7E56" w:rsidP="000F7E56">
      <w:pPr>
        <w:spacing w:line="360" w:lineRule="auto"/>
      </w:pPr>
      <w:r w:rsidRPr="000F7E56">
        <w:t xml:space="preserve">Previous studies have reported HCPs to be dissatisfied with family members acting as translators because they suspect they may be selective in filtering information given to the patient, and also will find it difficult to explain technical details of illness and treatment options about which they lack knowledge and understanding. However, relatives are often reluctant to use translation services, from a desire to control information being conveyed to the patient, and also a concern about disclosing confidential information to strangers. It is evident that the need for translation continues to constitute a barrier to skilled and sensitive end-of-life care, particularly in a context of complex, challenging and difficult experiences relating to end-of-life where, effectively, communication </w:t>
      </w:r>
      <w:r w:rsidRPr="000F7E56">
        <w:rPr>
          <w:i/>
          <w:iCs/>
        </w:rPr>
        <w:t>is</w:t>
      </w:r>
      <w:r w:rsidRPr="000F7E56">
        <w:t xml:space="preserve"> care.</w:t>
      </w:r>
      <w:r w:rsidRPr="000F7E56">
        <w:fldChar w:fldCharType="begin"/>
      </w:r>
      <w:r w:rsidR="000D5597">
        <w:instrText xml:space="preserve"> ADDIN ZOTERO_ITEM CSL_CITATION {"citationID":"FLFcuPfX","properties":{"formattedCitation":"\\super 177\\nosupersub{}","plainCitation":"177","noteIndex":0},"citationItems":[{"id":1655,"uris":["http://zotero.org/users/8748280/items/JETH7M4M"],"itemData":{"id":1655,"type":"article-journal","container-title":"Journal of Renal Care","DOI":"10.1111/jorc.12084","ISSN":"17556678","issue":"S1","journalAbbreviation":"Journal of Renal Care","language":"en","page":"23-29","source":"DOI.org (Crossref)","title":"Communication as Care: An emerging issue from an exploratory action research study of renal end of life care for ethnic minorities in the UK :","title-short":"COMMUNICATION AS CARE AT END OF LIFE","volume":"40","author":[{"family":"Wilkinson","given":"Emma"},{"family":"Randhawa","given":"Gurch"},{"family":"Brown","given":"Edwina A."},{"family":"Da Silva Gane","given":"Maria"},{"family":"Stoves","given":"John"},{"family":"Warwick","given":"Graham"},{"family":"Akhtar","given":"Tahira"},{"family":"Magee","given":"Regina"},{"family":"Sharman","given":"Sue"},{"family":"Farrington","given":"Ken"}],"issued":{"date-parts":[["2014",9]]}}}],"schema":"https://github.com/citation-style-language/schema/raw/master/csl-citation.json"} </w:instrText>
      </w:r>
      <w:r w:rsidRPr="000F7E56">
        <w:fldChar w:fldCharType="separate"/>
      </w:r>
      <w:r w:rsidR="000D5597" w:rsidRPr="000D5597">
        <w:rPr>
          <w:rFonts w:ascii="Calibri" w:hAnsi="Calibri" w:cs="Times New Roman"/>
          <w:szCs w:val="24"/>
          <w:vertAlign w:val="superscript"/>
        </w:rPr>
        <w:t>177</w:t>
      </w:r>
      <w:r w:rsidRPr="000F7E56">
        <w:fldChar w:fldCharType="end"/>
      </w:r>
      <w:r w:rsidRPr="000F7E56">
        <w:t xml:space="preserve"> Wilkinson et al </w:t>
      </w:r>
      <w:r w:rsidRPr="000F7E56">
        <w:fldChar w:fldCharType="begin"/>
      </w:r>
      <w:r w:rsidRPr="000F7E56">
        <w:instrText xml:space="preserve"> ADDIN EN.CITE &lt;EndNote&gt;&lt;Cite ExcludeAuth="1"&gt;&lt;Author&gt;Wilkinson&lt;/Author&gt;&lt;Year&gt;2014&lt;/Year&gt;&lt;RecNum&gt;2737&lt;/RecNum&gt;&lt;DisplayText&gt;(2014)&lt;/DisplayText&gt;&lt;record&gt;&lt;rec-number&gt;2737&lt;/rec-number&gt;&lt;foreign-keys&gt;&lt;key app="EN" db-id="292dt9p5fzaw0texz93x2e5rtxvzt0er5p9x" timestamp="1620511801" guid="1de6ff69-04a1-4423-ab86-07db4cbc2746"&gt;2737&lt;/key&gt;&lt;/foreign-keys&gt;&lt;ref-type name="Journal Article"&gt;17&lt;/ref-type&gt;&lt;contributors&gt;&lt;authors&gt;&lt;author&gt;Wilkinson, Emma&lt;/author&gt;&lt;author&gt;Randhawa, Gurch&lt;/author&gt;&lt;author&gt;Brown, Edwina &lt;/author&gt;&lt;author&gt;Da Silva Gane, Maria &lt;/author&gt;&lt;author&gt;Stoves, John&lt;/author&gt;&lt;author&gt;Warwick, Graham&lt;/author&gt;&lt;author&gt;Akhtar, Tahira&lt;/author&gt;&lt;author&gt;Magee, Regina&lt;/author&gt;&lt;author&gt;Sharman, Sue&lt;/author&gt;&lt;author&gt;Farrington, Ken&lt;/author&gt;&lt;/authors&gt;&lt;/contributors&gt;&lt;titles&gt;&lt;title&gt;Communication as care at end of life: An emerging issue from an exploratory action research study of renal end-of-life care for ethnic minorities in the UK&lt;/title&gt;&lt;secondary-title&gt;Journal of Renal Care&lt;/secondary-title&gt;&lt;/titles&gt;&lt;periodical&gt;&lt;full-title&gt;Journal of Renal Care&lt;/full-title&gt;&lt;/periodical&gt;&lt;pages&gt;23-29&lt;/pages&gt;&lt;volume&gt;40&lt;/volume&gt;&lt;number&gt;Supplement 1&lt;/number&gt;&lt;keywords&gt;&lt;keyword&gt;ethnicity&lt;/keyword&gt;&lt;/keywords&gt;&lt;dates&gt;&lt;year&gt;2014&lt;/year&gt;&lt;/dates&gt;&lt;urls&gt;&lt;/urls&gt;&lt;/record&gt;&lt;/Cite&gt;&lt;/EndNote&gt;</w:instrText>
      </w:r>
      <w:r w:rsidRPr="000F7E56">
        <w:fldChar w:fldCharType="separate"/>
      </w:r>
      <w:r w:rsidRPr="000F7E56">
        <w:rPr>
          <w:noProof/>
        </w:rPr>
        <w:t>(2014)</w:t>
      </w:r>
      <w:r w:rsidRPr="000F7E56">
        <w:fldChar w:fldCharType="end"/>
      </w:r>
      <w:r w:rsidRPr="000F7E56">
        <w:t xml:space="preserve"> reported that understanding and effective communication was enabled by the availability of staff who could converse in the patient’s first language.</w:t>
      </w:r>
      <w:r w:rsidRPr="000F7E56">
        <w:fldChar w:fldCharType="begin"/>
      </w:r>
      <w:r w:rsidR="000D5597">
        <w:instrText xml:space="preserve"> ADDIN ZOTERO_ITEM CSL_CITATION {"citationID":"toDvumRt","properties":{"formattedCitation":"\\super 177\\nosupersub{}","plainCitation":"177","noteIndex":0},"citationItems":[{"id":1655,"uris":["http://zotero.org/users/8748280/items/JETH7M4M"],"itemData":{"id":1655,"type":"article-journal","container-title":"Journal of Renal Care","DOI":"10.1111/jorc.12084","ISSN":"17556678","issue":"S1","journalAbbreviation":"Journal of Renal Care","language":"en","page":"23-29","source":"DOI.org (Crossref)","title":"Communication as Care: An emerging issue from an exploratory action research study of renal end of life care for ethnic minorities in the UK :","title-short":"COMMUNICATION AS CARE AT END OF LIFE","volume":"40","author":[{"family":"Wilkinson","given":"Emma"},{"family":"Randhawa","given":"Gurch"},{"family":"Brown","given":"Edwina A."},{"family":"Da Silva Gane","given":"Maria"},{"family":"Stoves","given":"John"},{"family":"Warwick","given":"Graham"},{"family":"Akhtar","given":"Tahira"},{"family":"Magee","given":"Regina"},{"family":"Sharman","given":"Sue"},{"family":"Farrington","given":"Ken"}],"issued":{"date-parts":[["2014",9]]}}}],"schema":"https://github.com/citation-style-language/schema/raw/master/csl-citation.json"} </w:instrText>
      </w:r>
      <w:r w:rsidRPr="000F7E56">
        <w:fldChar w:fldCharType="separate"/>
      </w:r>
      <w:r w:rsidR="000D5597" w:rsidRPr="000D5597">
        <w:rPr>
          <w:rFonts w:ascii="Calibri" w:hAnsi="Calibri" w:cs="Times New Roman"/>
          <w:szCs w:val="24"/>
          <w:vertAlign w:val="superscript"/>
        </w:rPr>
        <w:t>177</w:t>
      </w:r>
      <w:r w:rsidRPr="000F7E56">
        <w:fldChar w:fldCharType="end"/>
      </w:r>
      <w:r w:rsidRPr="000F7E56">
        <w:t xml:space="preserve"> The use of bilingual healthcare professionals should be sought whenever possible</w:t>
      </w:r>
      <w:r w:rsidRPr="000F7E56">
        <w:rPr>
          <w:highlight w:val="yellow"/>
        </w:rPr>
        <w:fldChar w:fldCharType="begin"/>
      </w:r>
      <w:r w:rsidR="000D5597">
        <w:rPr>
          <w:highlight w:val="yellow"/>
        </w:rPr>
        <w:instrText xml:space="preserve"> ADDIN ZOTERO_ITEM CSL_CITATION {"citationID":"H6pH51Y0","properties":{"formattedCitation":"\\super 59\\uc0\\u8211{}61\\nosupersub{}","plainCitation":"59–61","noteIndex":0},"citationItems":[{"id":"aZbwIlcN/oxq8jULq","uris":["http://zotero.org/users/6587080/items/48RXLF9C"],"itemData":{"id":"StNojVUY/TKTptIaQ","type":"article-journal","abstract":"Background: Ethnic minority patients have unique challenges in accessing health services. These include language difficulties, unfamiliarity with the health sys...","archive_location":"Sage UK: London, England","container-title":"Palliative Medicine","DOI":"10.1177/0269216318776850","language":"en","note":"publisher: SAGE PublicationsSage UK: London, England","source":"journals.sagepub.com","title":"‘Death is difficult in any language’: A qualitative study of palliative care professionals’ experiences when providing end-of-life care to patients from culturally and linguistically diverse backgrounds:","title-short":"‘Death is difficult in any language’","URL":"https://journals.sagepub.com/doi/abs/10.1177/0269216318776850","author":[{"family":"Green","given":"Anna"},{"family":"Jerzmanowska","given":"Natalia"},{"family":"Green","given":"Marguerite"},{"family":"Lobb","given":"Elizabeth A."}],"accessed":{"date-parts":[["2021",3,4]]},"issued":{"date-parts":[["2018",5,16]]}}},{"id":"aZbwIlcN/9H6wnwJW","uris":["http://zotero.org/users/6587080/items/UMJTI3V8"],"itemData":{"id":"StNojVUY/zhcxkEj8","type":"webpage","title":"Palliative care: the experience of informal carers within the Bangladeshi community | International Journal of Palliative Nursing","URL":"https://www.magonlinelibrary.com/doi/abs/10.12968/ijpn.2001.7.5.15893","author":[{"family":"Somerville","given":"Jacqueline"}],"accessed":{"date-parts":[["2021",2,21]]},"issued":{"date-parts":[["2001"]]}}},{"id":"aZbwIlcN/k7UW2NRj","uris":["http://zotero.org/users/6587080/items/8K6MCWH6"],"itemData":{"id":"StNojVUY/aYNhVD3m","type":"article-journal","abstract":"Background:\nEvidence concerning the influence of ethnic diversity on clinical encounters in cancer care is sparse. We explored health providers' experiences in this context.\n\nMethods:\nFocus groups were conducted with a purposeful sample of 106 health professionals of differing disciplines, in 18 UK primary and secondary care settings. Qualitative data were analysed using constant comparison and processes for validation.\n\nResults:\nCommunication and the quality of information exchanged with patients about cancer and their treatment was commonly frustrated within interpreter-mediated consultations, particularly those involving a family member. Relatives' approach to ownership of information and decision making could hinder assessment, informed consent and discussion of care with patients. This magnified the complexity of disclosing information sensitively and appropriately at the end of life. Professionals' concern to be patient-centred, and regard for patient choice and autonomy, were tested in these circumstances.\n\nConclusion:\nHealth professionals require better preparation to work effectively not only with trained interpreters, but also with the common reality of patients' families interpreting for patients, to improve quality of cancer care. Greater understanding of cultural and individual variations in concepts of disclosure, patient autonomy and patient-centredness is needed. The extent to which these concepts may be ethnocentric and lack universality deserves wider consideration.","container-title":"British Journal of Cancer","DOI":"10.1038/bjc.2011.318","ISSN":"0007-0920","issue":"7","journalAbbreviation":"Br J Cancer","page":"918-924","source":"PubMed Central","title":"Challenges of mediated communication, disclosure and patient autonomy in cross-cultural cancer care","volume":"105","author":[{"family":"Kai","given":"J."},{"family":"Beavan","given":"J."},{"family":"Faull","given":"C."}],"issued":{"date-parts":[["2011",9,27]]}}}],"schema":"https://github.com/citation-style-language/schema/raw/master/csl-citation.json"} </w:instrText>
      </w:r>
      <w:r w:rsidRPr="000F7E56">
        <w:rPr>
          <w:highlight w:val="yellow"/>
        </w:rPr>
        <w:fldChar w:fldCharType="separate"/>
      </w:r>
      <w:r w:rsidR="00496C3B" w:rsidRPr="00496C3B">
        <w:rPr>
          <w:rFonts w:ascii="Calibri" w:hAnsi="Calibri" w:cs="Calibri"/>
          <w:szCs w:val="24"/>
          <w:vertAlign w:val="superscript"/>
        </w:rPr>
        <w:t>59–61</w:t>
      </w:r>
      <w:r w:rsidRPr="000F7E56">
        <w:rPr>
          <w:highlight w:val="yellow"/>
        </w:rPr>
        <w:fldChar w:fldCharType="end"/>
      </w:r>
      <w:r w:rsidRPr="000F7E56">
        <w:t xml:space="preserve">.  </w:t>
      </w:r>
    </w:p>
    <w:p w14:paraId="04554702" w14:textId="034B4A02" w:rsidR="000F7E56" w:rsidRPr="000F7E56" w:rsidRDefault="000F7E56" w:rsidP="000F7E56">
      <w:pPr>
        <w:spacing w:line="360" w:lineRule="auto"/>
      </w:pPr>
      <w:r w:rsidRPr="000F7E56">
        <w:t xml:space="preserve">However, even when consultations are conducted in English, it may be that patients and FCGs may lack the fluency or cultural acclimatisation required to understand technical terms or pick up on the nuances of professional communication. In consultations involving participants from ED communities it is particularly important that professionals exhibit curiosity about patient and FCG understanding of the situation and interpretation of what they have been told, elicit their concerns and expectations of illness progression and </w:t>
      </w:r>
      <w:r w:rsidRPr="000F7E56">
        <w:lastRenderedPageBreak/>
        <w:t>options for future care. This information must be placed within the context of the wider ecology of professional and informal care within which the patient is embedded and within which care is enacted.</w:t>
      </w:r>
      <w:r w:rsidRPr="000F7E56">
        <w:fldChar w:fldCharType="begin"/>
      </w:r>
      <w:r w:rsidR="000D5597">
        <w:instrText xml:space="preserve"> ADDIN ZOTERO_ITEM CSL_CITATION {"citationID":"2aCZkdCa","properties":{"formattedCitation":"\\super 168,178\\nosupersub{}","plainCitation":"168,178","noteIndex":0},"citationItems":[{"id":1827,"uris":["http://zotero.org/users/8748280/items/B3HYNCNC"],"itemData":{"id":1827,"type":"article-journal","abstract":"Introduction Person-centred care has become internationally recognised as a critical attribute of high-quality healthcare. However, the concept has been criticised for being poorly theorised and operationalised. Serious illness is especially aligned with the need for person-centredness, usually necessitating involvement of significant others, management of clinical uncertainty, high-quality communication and joint decision-making to deliver care concordant with patient preferences. This review aimed to identify and appraise the empirical evidence underpinning conceptualisations of ‘person-centredness’ for serious illness.\nMethods Search strategy conducted in May 2020. Databases: CINAHL, Embase, PubMed, Ovid Global Health, MEDLINE and PsycINFO. Free text search terms related to (1) person-centredness, (2) serious illness and (3) concept/practice. Tabulation, textual description and narrative synthesis were performed, and quality appraisal conducted using QualSyst tools. Santana et al’s person-centred care model (2018) was used to structure analysis.\nResults PRISMA (Preferred Reporting Items for Systematic Reviews and Meta-Analyses) flow data: n=12,446 studies screened by title/abstract, n=144 full articles assessed for eligibility, n=18 studies retained. All studies (n=18) are from high-income countries, and are largely of high quality (median score 0.82). The findings suggest that person-centred care encompasses the patient and family being respected, given complete information, involved in decision-making and supported in their physical, psychological, social and existential needs. The studies highlight the importance of involving and supporting family/friends, promoting continuation of normality and self-identity, and structuring service organisation to enable care continuity.\nConclusion Person-centred healthcare must value the social network of patients, promote quality of life and reform structurally to improve patients’ experience interacting with the healthcare system. Staff must be supported to flexibly adapt skills, communication, routines or environments for individual patients. There remains a need for primary data investigating the meaning and practice of PCC in a greater diversity of diagnostic groups and settings, and a need to ground potential components of PCC within broader universal values and ethical theory.","container-title":"BMJ Global Health","DOI":"10.1136/bmjgh-2020-003330","ISSN":"2059-7908","issue":"12","language":"en","note":"publisher: BMJ Specialist Journals\nsection: Original research\nPMID: 33303515","page":"e003330","source":"gh.bmj.com","title":"The empirical evidence underpinning the concept and practice of person-centred care for serious illness: a systematic review","title-short":"The empirical evidence underpinning the concept and practice of person-centred care for serious illness","volume":"5","author":[{"family":"Giusti","given":"Alessandra"},{"family":"Nkhoma","given":"Kennedy"},{"family":"Petrus","given":"Ruwayda"},{"family":"Petersen","given":"Inge"},{"family":"Gwyther","given":"Liz"},{"family":"Farrant","given":"Lindsay"},{"family":"Venkatapuram","given":"Sridhar"},{"family":"Harding","given":"Richard"}],"issued":{"date-parts":[["2020",12,1]]}}},{"id":1855,"uris":["http://zotero.org/users/8748280/items/D6BSRF86"],"itemData":{"id":1855,"type":"article-journal","abstract":"Objectives\nFor shared decision making, it is crucial to identify patients’ priorities regarding health outcomes. Our aim was to study whether healthcare professionals know these priorities.\nMethods\nIn this cross-sectional study we included older patients who had to make a treatment decision, their general practitioners (GPs) and their medical specialists. Agreement between the patients’ main health outcome as prioritised by using the Outcome Prioritization Tool (OPT) and the perception of the same outcome by their healthcare professionals.\nResults\nEighty-seven patients were included. Median age was 76 years, 87.4% of patients presented with malignant disease. The majority prioritised maintaining independence (51.7%), followed by extending life (27.6%). The agreement between patients and healthcare professionals was low (GPs 41.7%, kappa 0.067, p = 0.39), medical specialists 40.3%, kappa 0.074, p = 0.33). Positively related to agreement was patient’s age &gt; 75, and a longer relation with their patients (for GPs), and the patient having no partner (for medical specialist). Having a malignant disease, dependent living and functional deficits were negatively related to agreement.\nConclusions\nHealthcare professionals have poor perceptions of their patients’ priorities.\nPractice implications\nTo realise patient-centered care, it is crucial to discuss priorities explicitly with all patients.","container-title":"Patient Education and Counseling","DOI":"10.1016/j.pec.2021.02.044","ISSN":"0738-3991","issue":"9","journalAbbreviation":"Patient Education and Counseling","language":"en","page":"2358-2363","source":"ScienceDirect","title":"How well do healthcare professionals know of the priorities of their older patients regarding treatment outcomes?","volume":"104","author":[{"family":"Festen","given":"Suzanne"},{"family":"Stegmann","given":"Mariken E."},{"family":"Prins","given":"Annemiek"},{"family":"Munster","given":"Barbara C.","non-dropping-particle":"van"},{"family":"Leeuwen","given":"Barbara L.","non-dropping-particle":"van"},{"family":"Halmos","given":"Gyorgy B."},{"family":"Graeff","given":"Pauline","non-dropping-particle":"de"},{"family":"Brandenbarg","given":"Daan"}],"issued":{"date-parts":[["2021",9,1]]}}}],"schema":"https://github.com/citation-style-language/schema/raw/master/csl-citation.json"} </w:instrText>
      </w:r>
      <w:r w:rsidRPr="000F7E56">
        <w:fldChar w:fldCharType="separate"/>
      </w:r>
      <w:r w:rsidR="000D5597" w:rsidRPr="000D5597">
        <w:rPr>
          <w:rFonts w:ascii="Calibri" w:hAnsi="Calibri" w:cs="Times New Roman"/>
          <w:szCs w:val="24"/>
          <w:vertAlign w:val="superscript"/>
        </w:rPr>
        <w:t>168,178</w:t>
      </w:r>
      <w:r w:rsidRPr="000F7E56">
        <w:fldChar w:fldCharType="end"/>
      </w:r>
    </w:p>
    <w:p w14:paraId="5691BB64" w14:textId="672BE4D2" w:rsidR="000F7E56" w:rsidRPr="000F7E56" w:rsidRDefault="000F7E56" w:rsidP="000F7E56">
      <w:pPr>
        <w:spacing w:line="360" w:lineRule="auto"/>
      </w:pPr>
      <w:r w:rsidRPr="000F7E56">
        <w:t>Uncertainty is intrinsic to the experience and treatment of serious illness, and a fundamental existential issue for patients and their family members.</w:t>
      </w:r>
      <w:r w:rsidRPr="000F7E56">
        <w:fldChar w:fldCharType="begin"/>
      </w:r>
      <w:r w:rsidR="000D5597">
        <w:instrText xml:space="preserve"> ADDIN ZOTERO_ITEM CSL_CITATION {"citationID":"a281jsvae5r","properties":{"formattedCitation":"\\super 140,152,164,179\\nosupersub{}","plainCitation":"140,152,164,179","noteIndex":0},"citationItems":[{"id":1793,"uris":["http://zotero.org/users/8748280/items/MBMVUG9P"],"itemData":{"id":1793,"type":"article-journal","abstract":"Background: Uncertainty is common in advanced illness but is infrequently studied in this context. If poorly addressed, uncertainty can lead to adverse patient ...","archive_location":"Sage UK: London, England","container-title":"Palliative Medicine","DOI":"10.1177/0269216316647610","language":"en","note":"publisher: SAGE PublicationsSage UK: London, England","source":"journals.sagepub.com","title":"How does uncertainty shape patient experience in advanced illness? A secondary analysis of qualitative data:","title-short":"How does uncertainty shape patient experience in advanced illness?","URL":"https://journals.sagepub.com/doi/full/10.1177/0269216316647610","author":[{"family":"Etkind","given":"Simon Noah"},{"family":"Bristowe","given":"Katherine"},{"family":"Bailey","given":"Katharine"},{"family":"Selman","given":"Lucy Ellen"},{"family":"Murtagh","given":"Fliss EM"}],"accessed":{"date-parts":[["2021",12,8]]},"issued":{"date-parts":[["2016",4,29]]}}},{"id":1888,"uris":["http://zotero.org/users/8748280/items/FH4JJ8XC"],"itemData":{"id":1888,"type":"article-journal","abstract":"Inequities in the provision of palliative care for people with cardiac disease have been well documented in the literature. Despite experiencing significant palliative care needs, those with cardiac disease are less likely to be referred to specialist palliative care services and more likely to die in a hospital when compared to those with cancer. The unpredictable trajectory of heart failure has been identified as a key barrier to providing palliative care with many people experiencing a long period of stability with appropriate medical treatment. However, as the disease progresses and cardiac function deteriorates, exacerbations of acute decompensation can lead to what is often perceived to be ‘sudden’ death. The aim of this study is to explore the impact of uncertainty on how death is remembered by bereaved family members of people with heart disease.","container-title":"BMC Palliative Care","DOI":"10.1186/s12904-021-00748-9","ISSN":"1472-684X","issue":"1","journalAbbreviation":"BMC Palliative Care","page":"60","source":"BioMed Central","title":"The impact of uncertainty on bereaved family’s experiences of care at the end of life: a thematic analysis of free text survey data","title-short":"The impact of uncertainty on bereaved family’s experiences of care at the end of life","volume":"20","author":[{"family":"Robinson","given":"Jackie"},{"family":"Pilbeam","given":"Caitlin"},{"family":"Goodwin","given":"Hetty"},{"family":"Raphael","given":"Deborah"},{"family":"Waterworth","given":"Susan"},{"family":"Gott","given":"Merryn"}],"issued":{"date-parts":[["2021",4,13]]}}},{"id":1816,"uris":["http://zotero.org/users/8748280/items/WARF8AD4"],"itemData":{"id":1816,"type":"article-journal","abstract":"BACKGROUND: It is often suggested that terminally ill patients favour end-of-life care at home. Yet, it is unclear how these preferences are formed, if the process is similar for patients and family caregivers, and if there are discrepancies between preferences for place of care and place of death. Understanding these nuances is essential to support people in their decision-making and ultimately provide better care at the end-of-life.\nAIM: To gain an in-depth understanding of how terminally ill patients and their family caregivers make decisions about preferred place of care and place of death.\nDESIGN: Semi-structured interviews with patients and family caregivers, which were analysed thematically using qualitative description.\nSETTING/PARTICIPANTS: A total of 17 participants (8 patients and 9 caregivers) recruited from an acute palliative care hospital ward, a sub-acute hospice unit, and a palliative homecare organisation in Melbourne, Australia.\nRESULTS: The process of forming location preferences was shaped by uncertainty relating to the illness, the caregiver and the services. Patients and caregivers dealt with this uncertainty on a level of thoughts, emotions, and actions. At the end of this process, patients and caregivers expressed their choices as contextual, personal, relational, conditional and flexible preferences.\nCONCLUSIONS: These findings suggest that in many cases end-of-life decision-making does not conclude with a clear and stable choice. Understanding the reasons for the malleability of preferences and the process of how they are formed has implications for both clinicians and researchers.","container-title":"Palliative Medicine","DOI":"10.1177/0269216319845794","ISSN":"1477-030X","issue":"7","journalAbbreviation":"Palliat Med","language":"eng","note":"PMID: 31046580","page":"802-811","source":"PubMed","title":"'It all depends!': A qualitative study of preferences for place of care and place of death in terminally ill patients and their family caregivers","title-short":"'It all depends!'","volume":"33","author":[{"family":"Gerber","given":"Katrin"},{"family":"Hayes","given":"Barbara"},{"family":"Bryant","given":"Christina"}],"issued":{"date-parts":[["2019",7]]}}},{"id":1769,"uris":["http://zotero.org/users/8748280/items/QPP6JD6N"],"itemData":{"id":1769,"type":"webpage","abstract":"**Shortlisted for the BSA Sociology of Health and Illness Book Prize 2010**What is good care? In this innovative and compelling book, Annemarie Mol argues that good care has little to do with 'patient choice' and, therefore, creating more opportunities for patient choice will not improve health care.\n\nAlthough it is possible to treat people who seek professional help as customers or citizens, Mol argues that this undermines ways of thinking and acting crucial to health care. Illustrating the dis","container-title":"Routledge &amp; CRC Press","language":"en","title":"The Logic of Care: Health and the Problem of Patient Choice","title-short":"The Logic of Care","URL":"https://www.routledge.com/The-Logic-of-Care-Health-and-the-Problem-of-Patient-Choice/Mol/p/book/9780415453431","author":[{"family":"Moll, Annemarie","given":""}],"accessed":{"date-parts":[["2021",12,8]]}}}],"schema":"https://github.com/citation-style-language/schema/raw/master/csl-citation.json"} </w:instrText>
      </w:r>
      <w:r w:rsidRPr="000F7E56">
        <w:fldChar w:fldCharType="separate"/>
      </w:r>
      <w:r w:rsidR="000D5597" w:rsidRPr="000D5597">
        <w:rPr>
          <w:rFonts w:ascii="Calibri" w:hAnsi="Calibri" w:cs="Times New Roman"/>
          <w:szCs w:val="24"/>
          <w:vertAlign w:val="superscript"/>
        </w:rPr>
        <w:t>140,152,164,179</w:t>
      </w:r>
      <w:r w:rsidRPr="000F7E56">
        <w:fldChar w:fldCharType="end"/>
      </w:r>
      <w:r w:rsidRPr="000F7E56">
        <w:t xml:space="preserve"> Communication and decision-making occur against a backdrop of uncertainty through evolving prognosis linked to trial of treatments and progression of illness over time.</w:t>
      </w:r>
      <w:r w:rsidRPr="000F7E56">
        <w:fldChar w:fldCharType="begin"/>
      </w:r>
      <w:r w:rsidR="000D5597">
        <w:instrText xml:space="preserve"> ADDIN ZOTERO_ITEM CSL_CITATION {"citationID":"a1i6jpemgrp","properties":{"formattedCitation":"\\super 140\\nosupersub{}","plainCitation":"140","noteIndex":0},"citationItems":[{"id":1769,"uris":["http://zotero.org/users/8748280/items/QPP6JD6N"],"itemData":{"id":1769,"type":"webpage","abstract":"**Shortlisted for the BSA Sociology of Health and Illness Book Prize 2010**What is good care? In this innovative and compelling book, Annemarie Mol argues that good care has little to do with 'patient choice' and, therefore, creating more opportunities for patient choice will not improve health care.\n\nAlthough it is possible to treat people who seek professional help as customers or citizens, Mol argues that this undermines ways of thinking and acting crucial to health care. Illustrating the dis","container-title":"Routledge &amp; CRC Press","language":"en","title":"The Logic of Care: Health and the Problem of Patient Choice","title-short":"The Logic of Care","URL":"https://www.routledge.com/The-Logic-of-Care-Health-and-the-Problem-of-Patient-Choice/Mol/p/book/9780415453431","author":[{"family":"Moll, Annemarie","given":""}],"accessed":{"date-parts":[["2021",12,8]]}}}],"schema":"https://github.com/citation-style-language/schema/raw/master/csl-citation.json"} </w:instrText>
      </w:r>
      <w:r w:rsidRPr="000F7E56">
        <w:fldChar w:fldCharType="separate"/>
      </w:r>
      <w:r w:rsidR="000D5597" w:rsidRPr="000D5597">
        <w:rPr>
          <w:rFonts w:ascii="Calibri" w:hAnsi="Calibri" w:cs="Times New Roman"/>
          <w:szCs w:val="24"/>
          <w:vertAlign w:val="superscript"/>
        </w:rPr>
        <w:t>140</w:t>
      </w:r>
      <w:r w:rsidRPr="000F7E56">
        <w:fldChar w:fldCharType="end"/>
      </w:r>
      <w:r w:rsidRPr="000F7E56">
        <w:t xml:space="preserve"> The centrality of uncertainty needs to be factored into all contacts and communication in health service consultations. The management of uncertainty has a powerful impact on patient and FCGs’ experience of illness and orientation to planning future care. For some patients, uncertainty can provide a justification for optimism and they can embrace the positive recovery orientation. For others, however, uncertainty can be profoundly unsettling.</w:t>
      </w:r>
      <w:r w:rsidRPr="000F7E56">
        <w:fldChar w:fldCharType="begin"/>
      </w:r>
      <w:r w:rsidR="000D5597">
        <w:instrText xml:space="preserve"> ADDIN ZOTERO_ITEM CSL_CITATION {"citationID":"a1lerq8a0aa","properties":{"formattedCitation":"\\super 152\\nosupersub{}","plainCitation":"152","noteIndex":0},"citationItems":[{"id":1793,"uris":["http://zotero.org/users/8748280/items/MBMVUG9P"],"itemData":{"id":1793,"type":"article-journal","abstract":"Background: Uncertainty is common in advanced illness but is infrequently studied in this context. If poorly addressed, uncertainty can lead to adverse patient ...","archive_location":"Sage UK: London, England","container-title":"Palliative Medicine","DOI":"10.1177/0269216316647610","language":"en","note":"publisher: SAGE PublicationsSage UK: London, England","source":"journals.sagepub.com","title":"How does uncertainty shape patient experience in advanced illness? A secondary analysis of qualitative data:","title-short":"How does uncertainty shape patient experience in advanced illness?","URL":"https://journals.sagepub.com/doi/full/10.1177/0269216316647610","author":[{"family":"Etkind","given":"Simon Noah"},{"family":"Bristowe","given":"Katherine"},{"family":"Bailey","given":"Katharine"},{"family":"Selman","given":"Lucy Ellen"},{"family":"Murtagh","given":"Fliss EM"}],"accessed":{"date-parts":[["2021",12,8]]},"issued":{"date-parts":[["2016",4,29]]}}}],"schema":"https://github.com/citation-style-language/schema/raw/master/csl-citation.json"} </w:instrText>
      </w:r>
      <w:r w:rsidRPr="000F7E56">
        <w:fldChar w:fldCharType="separate"/>
      </w:r>
      <w:r w:rsidR="000D5597" w:rsidRPr="000D5597">
        <w:rPr>
          <w:rFonts w:ascii="Calibri" w:hAnsi="Calibri" w:cs="Times New Roman"/>
          <w:szCs w:val="24"/>
          <w:vertAlign w:val="superscript"/>
        </w:rPr>
        <w:t>152</w:t>
      </w:r>
      <w:r w:rsidRPr="000F7E56">
        <w:fldChar w:fldCharType="end"/>
      </w:r>
      <w:r w:rsidRPr="000F7E56">
        <w:t xml:space="preserve"> The complex relationship between hope and uncertainty is dynamic and shifting.</w:t>
      </w:r>
      <w:r w:rsidRPr="000F7E56">
        <w:fldChar w:fldCharType="begin"/>
      </w:r>
      <w:r w:rsidR="000D5597">
        <w:instrText xml:space="preserve"> ADDIN ZOTERO_ITEM CSL_CITATION {"citationID":"a28r5ndjqpi","properties":{"formattedCitation":"\\super 130,164,180\\nosupersub{}","plainCitation":"130,164,180","noteIndex":0},"citationItems":[{"id":1816,"uris":["http://zotero.org/users/8748280/items/WARF8AD4"],"itemData":{"id":1816,"type":"article-journal","abstract":"BACKGROUND: It is often suggested that terminally ill patients favour end-of-life care at home. Yet, it is unclear how these preferences are formed, if the process is similar for patients and family caregivers, and if there are discrepancies between preferences for place of care and place of death. Understanding these nuances is essential to support people in their decision-making and ultimately provide better care at the end-of-life.\nAIM: To gain an in-depth understanding of how terminally ill patients and their family caregivers make decisions about preferred place of care and place of death.\nDESIGN: Semi-structured interviews with patients and family caregivers, which were analysed thematically using qualitative description.\nSETTING/PARTICIPANTS: A total of 17 participants (8 patients and 9 caregivers) recruited from an acute palliative care hospital ward, a sub-acute hospice unit, and a palliative homecare organisation in Melbourne, Australia.\nRESULTS: The process of forming location preferences was shaped by uncertainty relating to the illness, the caregiver and the services. Patients and caregivers dealt with this uncertainty on a level of thoughts, emotions, and actions. At the end of this process, patients and caregivers expressed their choices as contextual, personal, relational, conditional and flexible preferences.\nCONCLUSIONS: These findings suggest that in many cases end-of-life decision-making does not conclude with a clear and stable choice. Understanding the reasons for the malleability of preferences and the process of how they are formed has implications for both clinicians and researchers.","container-title":"Palliative Medicine","DOI":"10.1177/0269216319845794","ISSN":"1477-030X","issue":"7","journalAbbreviation":"Palliat Med","language":"eng","note":"PMID: 31046580","page":"802-811","source":"PubMed","title":"'It all depends!': A qualitative study of preferences for place of care and place of death in terminally ill patients and their family caregivers","title-short":"'It all depends!'","volume":"33","author":[{"family":"Gerber","given":"Katrin"},{"family":"Hayes","given":"Barbara"},{"family":"Bryant","given":"Christina"}],"issued":{"date-parts":[["2019",7]]}}},{"id":1891,"uris":["http://zotero.org/users/8748280/items/KVV5U6ZP"],"itemData":{"id":1891,"type":"article-journal","abstract":"Hope is important for individuals with cancer in palliative care. Health professionals' perspective on hope affects the communication with palliative patients. The aim of this study was to explore how Dutch health professionals deal with palliative patients with cancer who hope for prolongation of life. Focus group discussions (FGD) were conducted. An interpretive description approach was used to understand the interpretation of and reaction to hopefulness in palliative patients with cancer by health professionals. Three FGDs were held, each consisting of five to ten health professionals working with palliative patients recruited in a general Dutch hospital and homecare organisation. The ways in which the participating health professionals interpret hope in palliative individuals with cancer and their behaviour towards these hopeful palliative patients are shaped by their reliance on their own normative ideas. Patients' hopefulness generally violates these norms and is, therefore, considered a problem that requires intervention. Hope that does not correspond with the medical facts is experienced as problematic by Dutch health professionals who therefore believe they should intervene and do something about it. Health professionals are challenged to face and address patients' and families' perceptions of hope, especially when those perceptions might differ from their own as professionals.","container-title":"European Journal of Cancer Care","DOI":"10.1111/ecc.12889","ISSN":"1365-2354","issue":"1","journalAbbreviation":"Eur J Cancer Care (Engl)","language":"eng","note":"PMID: 30019789","page":"e12889","source":"PubMed","title":"Health professionals' dealing with hope in palliative patients with cancer, an explorative qualitative research","volume":"28","author":[{"family":"Nierop-van Baalen","given":"Corine"},{"family":"Grypdonck","given":"Mieke"},{"family":"Hecke","given":"Ann","non-dropping-particle":"van"},{"family":"Verhaeghe","given":"Sofie"}],"issued":{"date-parts":[["2019",1]]}}},{"id":"aZbwIlcN/DZJTePu5","uris":["http://zotero.org/users/6587080/items/948SXUNX"],"itemData":{"id":"6w8TFr6W/zuRuJzVW","type":"article-journal","abstract":"\"BCT taxonomy v1,\" an extensive taxonomy of 93 consensually agreed, distinct BCTs, offers a step change as a method for specifying interventions, but we anticipate further development and evaluation based on international, interdisciplinary consensus.","container-title":"Annals of behavioral medicine : a publication of the Society of Behavioral Medicine","DOI":"10.1007/s12160-013-9486-6","ISSN":"1532-4796","issue":"1","language":"en","note":"publisher: Ann Behav Med\nPMID: 23512568","source":"pubmed.ncbi.nlm.nih.gov","title":"The behavior change technique taxonomy (v1) of 93 hierarchically clustered techniques: building an international consensus for the reporting of behavior change interventions","title-short":"The behavior change technique taxonomy (v1) of 93 hierarchically clustered techniques","URL":"https://pubmed.ncbi.nlm.nih.gov/23512568/","volume":"46","author":[{"family":"Michie","given":"Susan"},{"family":"M","given":"Richardson"},{"family":"M","given":"Johnston"},{"family":"C","given":"Abraham"},{"family":"J","given":"Francis"},{"family":"W","given":"Hardeman"},{"family":"Mp","given":"Eccles"},{"family":"J","given":"Cane"},{"family":"Ce","given":"Wood"}],"accessed":{"date-parts":[["2021",7,24]]},"issued":{"date-parts":[["2013",8]]}}}],"schema":"https://github.com/citation-style-language/schema/raw/master/csl-citation.json"} </w:instrText>
      </w:r>
      <w:r w:rsidRPr="000F7E56">
        <w:fldChar w:fldCharType="separate"/>
      </w:r>
      <w:r w:rsidR="000D5597" w:rsidRPr="000D5597">
        <w:rPr>
          <w:rFonts w:ascii="Calibri" w:hAnsi="Calibri" w:cs="Times New Roman"/>
          <w:szCs w:val="24"/>
          <w:vertAlign w:val="superscript"/>
        </w:rPr>
        <w:t>130,164,180</w:t>
      </w:r>
      <w:r w:rsidRPr="000F7E56">
        <w:fldChar w:fldCharType="end"/>
      </w:r>
      <w:r w:rsidRPr="000F7E56">
        <w:t xml:space="preserve"> </w:t>
      </w:r>
    </w:p>
    <w:p w14:paraId="2FCED6DA" w14:textId="5045648E" w:rsidR="000F7E56" w:rsidRDefault="000F7E56" w:rsidP="000F7E56">
      <w:pPr>
        <w:spacing w:line="360" w:lineRule="auto"/>
      </w:pPr>
      <w:r w:rsidRPr="000F7E56">
        <w:t>A key message of the study findings is for staff to be aware of and responsive to the patient and family experience of uncertainty and to use this awareness as the basis for engaging in discussion of patient goals and values rather than to evade the issue or to seek to impose a formulaic agenda relating to A</w:t>
      </w:r>
      <w:r w:rsidR="005B416F">
        <w:t xml:space="preserve">CP </w:t>
      </w:r>
      <w:r w:rsidRPr="000F7E56">
        <w:t xml:space="preserve">which derives from a narrow stratum of Western values centring on personal autonomy and decision-making. The findings also point to the importance of professional understanding of the patient’s informal network of support and awareness of the relational nature of decision-making. </w:t>
      </w:r>
    </w:p>
    <w:p w14:paraId="2EF6E0DE" w14:textId="54D4FC8C" w:rsidR="009B54E5" w:rsidRDefault="009B54E5" w:rsidP="000F7E56">
      <w:pPr>
        <w:spacing w:line="360" w:lineRule="auto"/>
      </w:pPr>
      <w:r>
        <w:t xml:space="preserve">Effective communication is pivotal to good care and its centrality is reflected in the summary of our findings ‘Being Known’ (termed with the Zulu word </w:t>
      </w:r>
      <w:proofErr w:type="spellStart"/>
      <w:r>
        <w:t>Saw</w:t>
      </w:r>
      <w:r w:rsidR="00E62AE7">
        <w:t>u</w:t>
      </w:r>
      <w:r>
        <w:t>bona</w:t>
      </w:r>
      <w:proofErr w:type="spellEnd"/>
      <w:r>
        <w:t xml:space="preserve"> in our key study outputs)  in the figure/model presented below (figure 5).  There is much evidence about what constitutes effective communication </w:t>
      </w:r>
      <w:r w:rsidR="00802C61">
        <w:t xml:space="preserve">with patients about future illness progress and end of life </w:t>
      </w:r>
      <w:r>
        <w:t>and specifically in engaging people in ‘end-of-life talk’</w:t>
      </w:r>
      <w:r w:rsidR="00802C61">
        <w:t>.</w:t>
      </w:r>
      <w:r w:rsidR="00EC3C44">
        <w:fldChar w:fldCharType="begin"/>
      </w:r>
      <w:r w:rsidR="008C4C05">
        <w:instrText xml:space="preserve"> ADDIN ZOTERO_ITEM CSL_CITATION {"citationID":"a1mkaci4m8q","properties":{"formattedCitation":"\\super 181,182\\nosupersub{}","plainCitation":"181,182","noteIndex":0},"citationItems":[{"id":2285,"uris":["http://zotero.org/users/8748280/items/74ZMB3ZN"],"itemData":{"id":2285,"type":"article-journal","abstract":"&lt;h3&gt;Background&lt;/h3&gt; &lt;p&gt;Conversation and discourse analytic research has yielded important evidence about skills needed for effective, sensitive communication with patients about illness progression and end of life.&lt;/p&gt;&lt;h3&gt;Objectives&lt;/h3&gt; &lt;p&gt;To: </w:instrText>
      </w:r>
      <w:r w:rsidR="008C4C05">
        <w:rPr>
          <w:rFonts w:ascii="Cambria Math" w:hAnsi="Cambria Math" w:cs="Cambria Math"/>
        </w:rPr>
        <w:instrText>▸</w:instrText>
      </w:r>
      <w:r w:rsidR="008C4C05">
        <w:instrText xml:space="preserve"> Locate and synthesise observational evidence about how people communicate about sensitive future matters;&lt;/p&gt;&lt;p&gt;</w:instrText>
      </w:r>
      <w:r w:rsidR="008C4C05">
        <w:rPr>
          <w:rFonts w:ascii="Cambria Math" w:hAnsi="Cambria Math" w:cs="Cambria Math"/>
        </w:rPr>
        <w:instrText>▸</w:instrText>
      </w:r>
      <w:r w:rsidR="008C4C05">
        <w:instrText xml:space="preserve"> Inform practice and policy on how to provide opportunities for talk about these matters;&lt;/p&gt;&lt;p&gt;</w:instrText>
      </w:r>
      <w:r w:rsidR="008C4C05">
        <w:rPr>
          <w:rFonts w:ascii="Cambria Math" w:hAnsi="Cambria Math" w:cs="Cambria Math"/>
        </w:rPr>
        <w:instrText>▸</w:instrText>
      </w:r>
      <w:r w:rsidR="008C4C05">
        <w:instrText xml:space="preserve"> Identify evidence gaps.&lt;/p&gt;&lt;h3&gt;Design&lt;/h3&gt; &lt;p&gt;Systematic review of conversation/discourse analytic studies of recorded interactions in English, using a bespoke appraisal approach and aggregative synthesis.&lt;/p&gt;&lt;h3&gt;Results&lt;/h3&gt; &lt;p&gt;19 publications met the inclusion criteria. We summarised findings in terms of eight practices: ‘fishing questions’—open questions seeking patients’ perspectives (5/19); indirect references to difficult topics (6/19); linking to what a patient has already said—or noticeably not said (7/19); hypothetical questions (12/19); framing difficult matters as universal or general (4/19); conveying sensitivity via means other than words, for example, hesitancy, touch (4/19); encouraging further talk using means other than words, for example, long silences (2/19); and steering talk from difficult/negative to more optimistic aspects (3/19).&lt;/p&gt;&lt;h3&gt;Conclusions&lt;/h3&gt; &lt;p&gt;Practices vary in how strongly they encourage patients to engage in talk about matters such as illness progression and dying. Fishing questions and indirect talk make it particularly easy to avoid engaging—this may be appropriate in some circumstances. Hypothetical questions are more effective in encouraging on-topic talk, as is linking questions to patients’ cues. Shifting towards more ‘optimistic’ aspects helps maintain hope but closes off further talk about difficulties: practitioners may want to delay doing so. There are substantial gaps in evidence.&lt;/p&gt;","container-title":"BMJ Supportive &amp; Palliative Care","DOI":"10.1136/bmjspcare-2014-000649","ISSN":"2045-435X, 2045-4368","issue":"4","language":"en","note":"publisher: British Medical Journal Publishing Group\nsection: Review\nPMID: 25344494","page":"331-341","source":"spcare.bmj.com","title":"How to communicate with patients about future illness progression and end of life: a systematic review","title-short":"How to communicate with patients about future illness progression and end of life","volume":"4","author":[{"family":"Parry","given":"Ruth"},{"family":"Land","given":"Victoria"},{"family":"Seymour","given":"Jane"}],"issued":{"date-parts":[["2014",12,1]]}}},{"id":130,"uris":["http://zotero.org/users/8748280/items/6K3ZQDSC"],"itemData":{"id":130,"type":"article-journal","abstract":"Objective To examine how palliative medicine doctors engage patients in end-of-life (hereon, EoL) talk. To examine whether the practice of “eliciting and responding to cues”, which has been widely advocated in the EoL care literature, promotes EoL talk. Design Conversation analysis of video- and audio-recorded consultations. Participants Unselected terminally ill patients and their companions in consultation with experienced palliative medicine doctors. Setting Outpatient clinic, day therapy clinic, and inpatient unit of a single English hospice. Results Doctors most commonly promoted EoL talk through open elaboration solicitations; these created opportunities for patients to introduce–then later further articulate–EoL considerations in such a way that doctors did not overtly ask about EoL matters. Importantly, the wording of elaboration solicitations avoided assuming that patients had EoL concerns. If a patient responded to open elaboration solicitations without introducing EoL considerations, doctors sometimes pursued EoL talk by switching to a less participatory and more presumptive type of solicitation, which suggested the patient might have EoL concerns. These more overt solicitations were used only later in consultations, which indicates that doctors give precedence to patients volunteering EoL considerations, and offer them opportunities to take the lead in initiating EoL talk. There is evidence that doctors treat elaboration of patients’ talk as a resource for engaging them in EoL conversations. However, there are limitations associated with labelling that talk as “cues” as is common in EoL communication contexts. We examine these limitations and propose “possible EoL considerations” as a descriptively more accurate term. Conclusions Through communicating–via open elaboration solicitations–in ways that create opportunities for patients to volunteer EoL considerations, doctors navigate a core dilemma in promoting EoL talk: giving patients opportunities to choose whether to engage in conversations about EoL whilst being sensitive to their communication needs, preferences and state of readiness for such dialogue.","container-title":"PLOS ONE","DOI":"10.1371/journal.pone.0156174","ISSN":"1932-6203","issue":"5","journalAbbreviation":"PLOS ONE","language":"en","page":"e0156174","source":"PLoS Journals","title":"Engaging Terminally Ill Patients in End of Life Talk: How Experienced Palliative Medicine Doctors Navigate the Dilemma of Promoting Discussions about Dying","title-short":"Engaging Terminally Ill Patients in End of Life Talk","volume":"11","author":[{"family":"Pino","given":"Marco"},{"family":"Parry","given":"Ruth"},{"family":"Land","given":"Victoria"},{"family":"Faull","given":"Christina"},{"family":"Feathers","given":"Luke"},{"family":"Seymour","given":"Jane"}],"issued":{"date-parts":[["2016",5,31]]}}}],"schema":"https://github.com/citation-style-language/schema/raw/master/csl-citation.json"} </w:instrText>
      </w:r>
      <w:r w:rsidR="00EC3C44">
        <w:fldChar w:fldCharType="separate"/>
      </w:r>
      <w:r w:rsidR="008C4C05" w:rsidRPr="008C4C05">
        <w:rPr>
          <w:rFonts w:ascii="Calibri" w:hAnsi="Calibri" w:cs="Times New Roman"/>
          <w:szCs w:val="24"/>
          <w:vertAlign w:val="superscript"/>
        </w:rPr>
        <w:t>181,182</w:t>
      </w:r>
      <w:r w:rsidR="00EC3C44">
        <w:fldChar w:fldCharType="end"/>
      </w:r>
      <w:r w:rsidR="00802C61">
        <w:t>However there is scant literature on the additional attributes of such conversations with people where English is not the</w:t>
      </w:r>
      <w:r w:rsidR="007F2E60">
        <w:t>ir</w:t>
      </w:r>
      <w:r w:rsidR="00802C61">
        <w:t xml:space="preserve"> first language, where translation is required and where there may be disparities in conceptual understanding of health, illness and care provision.  This study has </w:t>
      </w:r>
      <w:r w:rsidR="00B75213">
        <w:t xml:space="preserve"> highlighted  the</w:t>
      </w:r>
      <w:r w:rsidR="00802C61">
        <w:t xml:space="preserve"> importan</w:t>
      </w:r>
      <w:r w:rsidR="00B75213">
        <w:t>ce</w:t>
      </w:r>
      <w:r w:rsidR="00802C61">
        <w:t xml:space="preserve"> </w:t>
      </w:r>
      <w:r w:rsidR="00B75213">
        <w:t xml:space="preserve">of professional awareness of </w:t>
      </w:r>
      <w:r w:rsidR="00802C61">
        <w:t xml:space="preserve">these elements </w:t>
      </w:r>
      <w:r w:rsidR="00E62AE7">
        <w:t xml:space="preserve">as an area </w:t>
      </w:r>
      <w:r w:rsidR="00B75213">
        <w:t xml:space="preserve"> for further </w:t>
      </w:r>
      <w:r w:rsidR="00802C61">
        <w:t xml:space="preserve"> research.</w:t>
      </w:r>
    </w:p>
    <w:p w14:paraId="63682E50" w14:textId="77777777" w:rsidR="009B54E5" w:rsidRPr="000F7E56" w:rsidRDefault="009B54E5" w:rsidP="000F7E56">
      <w:pPr>
        <w:spacing w:line="360" w:lineRule="auto"/>
      </w:pPr>
    </w:p>
    <w:p w14:paraId="21BCB8D6" w14:textId="38860A5A" w:rsidR="000F7E56" w:rsidRDefault="000F7E56" w:rsidP="000F7E56">
      <w:pPr>
        <w:keepNext/>
        <w:keepLines/>
        <w:spacing w:before="40" w:after="0" w:line="360" w:lineRule="auto"/>
        <w:outlineLvl w:val="1"/>
        <w:rPr>
          <w:rFonts w:asciiTheme="majorHAnsi" w:eastAsiaTheme="majorEastAsia" w:hAnsiTheme="majorHAnsi" w:cstheme="majorBidi"/>
          <w:color w:val="2F5496" w:themeColor="accent1" w:themeShade="BF"/>
          <w:sz w:val="24"/>
          <w:szCs w:val="24"/>
        </w:rPr>
      </w:pPr>
      <w:bookmarkStart w:id="420" w:name="_Toc106697857"/>
      <w:r w:rsidRPr="000F7E56">
        <w:rPr>
          <w:rFonts w:asciiTheme="majorHAnsi" w:eastAsiaTheme="majorEastAsia" w:hAnsiTheme="majorHAnsi" w:cstheme="majorBidi"/>
          <w:color w:val="2F5496" w:themeColor="accent1" w:themeShade="BF"/>
          <w:sz w:val="24"/>
          <w:szCs w:val="24"/>
        </w:rPr>
        <w:t>Models of care</w:t>
      </w:r>
      <w:bookmarkEnd w:id="420"/>
      <w:r w:rsidRPr="000F7E56">
        <w:rPr>
          <w:rFonts w:asciiTheme="majorHAnsi" w:eastAsiaTheme="majorEastAsia" w:hAnsiTheme="majorHAnsi" w:cstheme="majorBidi"/>
          <w:color w:val="2F5496" w:themeColor="accent1" w:themeShade="BF"/>
          <w:sz w:val="24"/>
          <w:szCs w:val="24"/>
        </w:rPr>
        <w:t xml:space="preserve"> </w:t>
      </w:r>
    </w:p>
    <w:p w14:paraId="0947F46B" w14:textId="77777777" w:rsidR="00DA32BF" w:rsidRPr="000F7E56" w:rsidRDefault="00DA32BF" w:rsidP="000F7E56">
      <w:pPr>
        <w:keepNext/>
        <w:keepLines/>
        <w:spacing w:before="40" w:after="0" w:line="360" w:lineRule="auto"/>
        <w:outlineLvl w:val="1"/>
        <w:rPr>
          <w:rFonts w:asciiTheme="majorHAnsi" w:eastAsiaTheme="majorEastAsia" w:hAnsiTheme="majorHAnsi" w:cstheme="majorBidi"/>
          <w:color w:val="2F5496" w:themeColor="accent1" w:themeShade="BF"/>
          <w:sz w:val="24"/>
          <w:szCs w:val="24"/>
        </w:rPr>
      </w:pPr>
    </w:p>
    <w:p w14:paraId="600B9D4B" w14:textId="28071D15" w:rsidR="000F7E56" w:rsidRPr="000F7E56" w:rsidRDefault="000F7E56" w:rsidP="000F7E56">
      <w:pPr>
        <w:spacing w:line="360" w:lineRule="auto"/>
        <w:rPr>
          <w:color w:val="4472C4" w:themeColor="accent1"/>
        </w:rPr>
      </w:pPr>
      <w:r w:rsidRPr="000F7E56">
        <w:t>UK health policy is based on the idea of the patient as an autonomous decision maker. The realisation of individual choice in end-of-life care, especially regarding place of death and preferences for or against treatment, is regarded as a marker of quality care.</w:t>
      </w:r>
      <w:r w:rsidRPr="000F7E56">
        <w:fldChar w:fldCharType="begin"/>
      </w:r>
      <w:r w:rsidR="000D5597">
        <w:instrText xml:space="preserve"> ADDIN ZOTERO_ITEM CSL_CITATION {"citationID":"moPlkCXR","properties":{"formattedCitation":"\\super 10,160,163,183\\nosupersub{}","plainCitation":"10,160,163,183","noteIndex":0},"citationItems":[{"id":"aZbwIlcN/0RqsH1vL","uris":["http://zotero.org/users/6587080/items/QJZPPMQE"],"itemData":{"id":"StNojVUY/dePq5Beq","type":"article-journal","title":"What’s important to me. A Review of Choice in End of Life Care","URL":"https://assets.publishing.service.gov.uk/government/uploads/system/uploads/attachment_data/file/407244/CHOICE_REVIEW_FINAL_for_web.pdf","author":[{"literal":"The Choice in End of Life Care"},{"literal":"Programme Board"}],"issued":{"date-parts":[["2015"]]}}},{"id":311,"uris":["http://zotero.org/users/8748280/items/PN8IDEYQ"],"itemData":{"id":311,"type":"article-journal","abstract":"&lt;p&gt;Historic migration and the ever–increasing current migration into Western countries have greatly changed the ethnic and cultural patterns of patient populations. Because health care beliefs of minority groups may follow their religion and country of origin, inevitable conflict can arise with decision making at the end of life. The principles of truth telling and patient autonomy are embedded in the framework of Anglo–American medical ethics. In contrast, in many parts of the world, the cultural norm is protection of the patient from the truth, decision making by the family, and a tradition of familial piety, where it is dishonorable not to do as much as possible for parents. The challenge for health care professionals is to understand how culture has enormous potential to influence patients’ responses to medical issues, such as healing and suffering, as well as the physician-patient relationship. Our paper provides a framework of communication strategies that enhance crosscultural competency within nephrology teams. Shared decision making also enables clinicians to be culturally competent communicators by providing a model where clinicians and patients jointly consider best clinical evidence in light of a patient’s specific health characteristics and values when choosing health care. The development of decision aids to include cultural awareness could avoid conflict proactively, more productively address it when it occurs, and enable decision making within the framework of the patient and family cultural beliefs.&lt;/p&gt;","container-title":"Clinical Journal of the American Society of Nephrology","DOI":"10.2215/CJN.13661215","ISSN":"1555-9041, 1555-905X","issue":"10","journalAbbreviation":"CJASN","language":"en","page":"1902-1908","source":"cjasn.asnjournals.org","title":"Supportive Care: Communication Strategies to Improve Cultural Competence in Shared Decision Making","title-short":"Supportive Care","volume":"11","author":[{"family":"Brown","given":"Edwina A."},{"family":"Bekker","given":"Hilary L."},{"family":"Davison","given":"Sara N."},{"family":"Koffman","given":"Jonathan"},{"family":"Schell","given":"Jane O."}],"issued":{"date-parts":[["2016",10,7]]}}},{"id":1814,"uris":["http://zotero.org/users/8748280/items/U3VCRMN4"],"itemData":{"id":1814,"type":"article-journal","abstract":"Neoliberal policies are shaping the healthcare landscape by emphasizing individual choice. End-of-life care is a case in point as patient choice, through advance care planning, is a key conceptual framework for motivating service development and provision. Based on qualitative ethnographic research in England, this article describes what choice is and how it is enacted in the context of end-of-life care. Within policy, choice represents individual autonomy and is a goal to strive towards. In order to enable choice, healthcare professionals are to openly discuss dying with patients and in turn, patients are expected to express their preferences. However, by focusing on two case studies, the article demonstrates how people struggle to articulate choice in these ways and the preferences expressed represent the complex contexts in which care is performed. Although death is certain, the possibility of control alluded to by choice rhetoric is not realized in practice.","container-title":"Current Sociology","DOI":"10.1177/0011392115590084","ISSN":"0011-3921","issue":"5","journalAbbreviation":"Current Sociology","language":"en","note":"publisher: SAGE Publications Ltd","page":"700-713","source":"SAGE Journals","title":"Planning for an (un)certain future: Choice within English end-of-life care","title-short":"Planning for an (un)certain future","volume":"63","author":[{"family":"Borgstrom","given":"Erica"}],"issued":{"date-parts":[["2015",9,1]]}}},{"id":1857,"uris":["http://zotero.org/users/8748280/items/83EGSWT6"],"itemData":{"id":1857,"type":"article-journal","abstract":"AbstractIntroduction. This paper presents a thematic review of the assumptions underlying patient choice in the NHS to examine who is meant to be making choices","container-title":"British Medical Bulletin","DOI":"10.1093/bmb/ldm024","ISSN":"0007-1420","issue":"1","journalAbbreviation":"Br Med Bull","language":"en","note":"publisher: Oxford Academic","page":"249-258","source":"academic.oup.com","title":"Are the assumptions underlying patients choice realistic?: a review of the evidence","title-short":"Are the assumptions underlying patients choice realistic?","volume":"83","author":[{"family":"Greener","given":"Ian"}],"issued":{"date-parts":[["2007",9,1]]}}}],"schema":"https://github.com/citation-style-language/schema/raw/master/csl-citation.json"} </w:instrText>
      </w:r>
      <w:r w:rsidRPr="000F7E56">
        <w:fldChar w:fldCharType="separate"/>
      </w:r>
      <w:r w:rsidR="000D5597" w:rsidRPr="000D5597">
        <w:rPr>
          <w:rFonts w:ascii="Calibri" w:hAnsi="Calibri" w:cs="Times New Roman"/>
          <w:szCs w:val="24"/>
          <w:vertAlign w:val="superscript"/>
        </w:rPr>
        <w:t>10,160,163,183</w:t>
      </w:r>
      <w:r w:rsidRPr="000F7E56">
        <w:fldChar w:fldCharType="end"/>
      </w:r>
      <w:r w:rsidRPr="000F7E56">
        <w:t xml:space="preserve"> However, recent research and associated </w:t>
      </w:r>
      <w:r w:rsidRPr="000F7E56">
        <w:lastRenderedPageBreak/>
        <w:t>critiques have cast doubt on the extent to which these policy assumptions represent the lived experience and concerns of many patients in the general population.</w:t>
      </w:r>
      <w:r w:rsidRPr="000F7E56">
        <w:fldChar w:fldCharType="begin"/>
      </w:r>
      <w:r w:rsidR="000D5597">
        <w:instrText xml:space="preserve"> ADDIN ZOTERO_ITEM CSL_CITATION {"citationID":"me7PXx7R","properties":{"formattedCitation":"\\super 184\\uc0\\u8211{}186\\nosupersub{}","plainCitation":"184–186","noteIndex":0},"citationItems":[{"id":1863,"uris":["http://zotero.org/users/8748280/items/68QFLGAI"],"itemData":{"id":1863,"type":"chapter","abstract":"Examines the real world of women's health status and health-care delivery in different countries, and the assumptions behind the dominant medical model of solving problems without regard to social conditions. This book asks what feminist health-care ethics looks like if we start with women's experiences and concerns.","container-title":"A Relational Approach to Autonomy in Health Care","ISBN":"978-1-56639-633-2","language":"en","page":"19-47","publisher":"Temple University Press","source":"Google Books","editor":[{"literal":"Susan Sherwin"}],"author":[{"literal":"Susan Sherwin"}],"issued":{"date-parts":[["1998"]]}}},{"id":1869,"uris":["http://zotero.org/users/8748280/items/N8973KG7"],"itemData":{"id":1869,"type":"article-journal","abstract":"BACKGROUND: Advance care planning (ACP) is defined in a variety of ways, although it is widely understood as a process undertaken by patients, when they have capacity, to define and communicate their treatment preferences for future care. Few studies have explored the meaning and importance patients place on their ability to participate in directing their medical care.\nAIM: This study aimed to explore how cancer patients and their family members value autonomy at the end of life (EoL) and understand how this may impact on the way they develop and act on EoL decisions and planning.\nMETHODS: Data were collected through in-depth semi-structured interviews with patients and family members of people with cancer. Participants were recruited from metropolitan cancer centres in Sydney, Australia. Interviews were analysed using thematic analysis.\nFINDINGS: Findings from 11 participant interviews (five patients with cancer and six family members) were organised into four themes: 'the threat of death and cancer'; 'patients seek trust and safety at the end of life'; 'doctors are human and the healthcare system has limitations'; and 'the role of ACP'. Participants experienced cancer and death as a 'threat', to self and others and as something 'uncontrollable'. ACP was seen to have the potential to enhance EoL care by contributing to decreasing uncertainty, enhancing comfort, helping to achieve 'the small things', and in helping the family 'know what to do'. However, participants were, in general, distrustful of documentation and cognisant of uncertainty around medical outcomes and the legal limitations of their capacity to influence care.\nCONCLUSIONS: These findings suggest that models of ACP which are constructed around patients' 'rights' to determine what happens to their bodies may do little to enhance the quality of EoL care, as patients value veracity, trust and comfort at the EoL more than autonomy. Quality EoL care should focus on paying increased attention to the relational and social aspects of care.","container-title":"International Journal of Palliative Nursing","DOI":"10.12968/ijpn.2017.23.12.596","ISSN":"1357-6321","issue":"12","journalAbbreviation":"Int J Palliat Nurs","language":"eng","note":"PMID: 29272197","page":"596-604","source":"PubMed","title":"What do patients with cancer and their families value most at the end of life? A critical analysis of advance care planning","title-short":"What do patients with cancer and their families value most at the end of life?","volume":"23","author":[{"family":"Johnson","given":"Stephanie B."},{"family":"Butow","given":"Phyllis N."},{"family":"Kerridge","given":"Ian"},{"family":"Tattersall","given":"Martin Hn"}],"issued":{"date-parts":[["2017",12,2]]}}},{"id":1867,"uris":["http://zotero.org/users/8748280/items/FTY36FFK"],"itemData":{"id":1867,"type":"article-journal","abstract":"IMPORTANCE: Patients' are encouraged to participate in advance care planning (ACP) in order to enhance their autonomy. However, controversy exists as to what it means to be autonomous and there is limited understanding of how social and structural factors may influence cancer patients' ability to exercise their autonomy.\nOBJECTIVE: The objective of this study is to explore oncologists' and palliative care physicians' understanding of patient autonomy, how this influences reported enactment of decision-making at the end of life (EOL), and the role of ACP in EOL care.\nDESIGN AND SETTING: Qualitative semi-structured interviews were conducted with consultant oncologists (n = 11) and palliative medicine doctors (n = 7) working in oncology centres and palliative care units across Australia.\nRESULTS: We found that doctors generally conceptualized autonomy in terms of freedom from interference but that there was a profound disconnect between this understanding of autonomy and clinical practice in EOL decision-making. The clinicians in our study privileged care, relationships and a 'good death' above patient autonomy, and in practice were reluctant to 'abandon' their patients to total non-interference in decision-making. Patient autonomy in healthcare is bounded, as while patients were generally encouraged to express their preferences for care, medical norms about the quality and 'reasonableness' of care, the availability of services and the patients' family relationships act to enhance or limit patients' capacity to realize their preferences. While for many, this disconnect between theory and practice did not diminish the rhetorical appeal of ACP; for others, this undermined the integrity of ACP, as well as its relevance to care. For some, ACP had little to do with patient autonomy and served numerous other ethical, practical and political functions.\nCONCLUSION: The ethical assumptions regarding patient autonomy embedded in academic literature and policy documents relating to ACP are disconnected from the realities of clinical care. Medical norms and professional boundaries surrounding 'good deaths' have a greater influence on care than patient preference. ACP programs, therefore, may be rejected by healthcare professionals as irrelevant to care or may have the unintended consequence of limiting patient autonomy when used as a professional tool to encourage a 'right' way to die. A singular focus on bureaucratic ACP programs, which reduce patient autonomy to a 'tick box' exercise, may fail to enhance EOL care in any meaningful way.","container-title":"Supportive Care in Cancer: Official Journal of the Multinational Association of Supportive Care in Cancer","DOI":"10.1007/s00520-017-3867-5","ISSN":"1433-7339","issue":"2","journalAbbreviation":"Support Care Cancer","language":"eng","note":"PMID: 28849351","page":"565-574","source":"PubMed","title":"Patient autonomy and advance care planning: a qualitative study of oncologist and palliative care physicians' perspectives","title-short":"Patient autonomy and advance care planning","volume":"26","author":[{"family":"Johnson","given":"Stephanie B."},{"family":"Butow","given":"Phyllis N."},{"family":"Kerridge","given":"Ian"},{"family":"Tattersall","given":"Martin H. N."}],"issued":{"date-parts":[["2018",2]]}}}],"schema":"https://github.com/citation-style-language/schema/raw/master/csl-citation.json"} </w:instrText>
      </w:r>
      <w:r w:rsidRPr="000F7E56">
        <w:fldChar w:fldCharType="separate"/>
      </w:r>
      <w:r w:rsidR="00496C3B" w:rsidRPr="00496C3B">
        <w:rPr>
          <w:rFonts w:ascii="Calibri" w:hAnsi="Calibri" w:cs="Calibri"/>
          <w:szCs w:val="24"/>
          <w:vertAlign w:val="superscript"/>
        </w:rPr>
        <w:t>184–186</w:t>
      </w:r>
      <w:r w:rsidRPr="000F7E56">
        <w:fldChar w:fldCharType="end"/>
      </w:r>
      <w:r w:rsidRPr="000F7E56">
        <w:t xml:space="preserve"> Instead, patients are understood to operate within a field of relational autonomy, where the decisions and choices are made with reference to, and mindful of the effects, on significant others within a social network.</w:t>
      </w:r>
      <w:r w:rsidRPr="000F7E56">
        <w:fldChar w:fldCharType="begin"/>
      </w:r>
      <w:r w:rsidR="000D5597">
        <w:instrText xml:space="preserve"> ADDIN ZOTERO_ITEM CSL_CITATION {"citationID":"zPF4PUeq","properties":{"formattedCitation":"\\super 139,140,161,187\\uc0\\u8211{}189\\nosupersub{}","plainCitation":"139,140,161,187–189","noteIndex":0},"citationItems":[{"id":1766,"uris":["http://zotero.org/users/8748280/items/QXNKCGM8"],"itemData":{"id":1766,"type":"article-journal","abstract":"Abstract. Purpose: The contribution of bioethics to clinical care at the end of life (EOL) deserves critical scrutiny. We argue that researchers have rarely que","container-title":"The Gerontologist","DOI":"10.1093/geront/42.suppl_3.114","ISSN":"0016-9013","issue":"suppl_3","journalAbbreviation":"Gerontologist","language":"en","note":"publisher: Oxford Academic","page":"114-128","source":"academic.oup.com","title":"Choice in End-of-Life Decision MakingResearching Fact or Fiction?","volume":"42","author":[{"family":"Drought","given":"Theresa S."},{"family":"Koenig","given":"Barbara A."}],"issued":{"date-parts":[["2002",10,1]]}}},{"id":1769,"uris":["http://zotero.org/users/8748280/items/QPP6JD6N"],"itemData":{"id":1769,"type":"webpage","abstract":"**Shortlisted for the BSA Sociology of Health and Illness Book Prize 2010**What is good care? In this innovative and compelling book, Annemarie Mol argues that good care has little to do with 'patient choice' and, therefore, creating more opportunities for patient choice will not improve health care.\n\nAlthough it is possible to treat people who seek professional help as customers or citizens, Mol argues that this undermines ways of thinking and acting crucial to health care. Illustrating the dis","container-title":"Routledge &amp; CRC Press","language":"en","title":"The Logic of Care: Health and the Problem of Patient Choice","title-short":"The Logic of Care","URL":"https://www.routledge.com/The-Logic-of-Care-Health-and-the-Problem-of-Patient-Choice/Mol/p/book/9780415453431","author":[{"family":"Moll, Annemarie","given":""}],"accessed":{"date-parts":[["2021",12,8]]}}},{"id":198,"uris":["http://zotero.org/users/8748280/items/I3A6IUFT"],"itemData":{"id":198,"type":"article-journal","abstract":"Transitions to palliative care can involve a shift in philosophy from life-prolonging to life-enhancing care. People living with a life-limiting illness will often receive palliative care through specialist outpatient clinics, while also being cared for by another medical specialty. Experiences of this point of care have been described as being liminal in character, that is, somewhere between living and dying. Drawing on experiences of illness and care taken from semistructured interviews with 30 palliative care outpatients in Australia, we found that this phase was frequently understood as concurrently living and dying. We suggest that this is a “parallax experience” involving narratives of a coherent linear self that is able to understand both realities, in a way that acknowledges the benefits of being multiple. These findings have significant implications for the ways in which palliative care is understood and how the self and subjectivity might be conceptualized at the end of life.","container-title":"Qualitative Health Research","DOI":"10.1177/1049732315618938","ISSN":"1049-7323","issue":"5","journalAbbreviation":"Qual Health Res","language":"en","page":"623-633","source":"SAGE Journals","title":"The Liminal and the Parallax: Living and Dying at the End of Life","title-short":"The Liminal and the Parallax","volume":"27","author":[{"family":"MacArtney","given":"John I."},{"family":"Broom","given":"Alex"},{"family":"Kirby","given":"Emma"},{"family":"Good","given":"Phillip"},{"family":"Wootton","given":"Julia"}],"issued":{"date-parts":[["2017",4,1]]}}},{"id":1871,"uris":["http://zotero.org/users/8748280/items/PRZ9V8J6"],"itemData":{"id":1871,"type":"article-journal","abstract":"This qualitative study explored the applicability and usefulness of a promising advance care planning (ACP) intervention and examined the ACP process. Nine dyads (patients newly diagnosed with advanced lung cancer and a family member) participated in the ACP intervention, with evaluative interviews at 3 and 6 months after the intervention. All interviews were recorded, transcribed verbatim, and analyzed using constant comparison. The process was found not to be one of preparing a substitute decision-maker to speak for oneself and direct health care at a time when one is incapacitated; rather, the families engaged in a deeply relational process where meaning, values, and preferences were negotiated in conversation. ACP is theoretically rooted in a traditional notion of patient autonomy that is not aligned with the relational process that unfolded in this study. An approach that embraces relational autonomy is more congruent and provides a stronger foundation for meeting the needs of families.","container-title":"The Canadian Journal of Nursing Research = Revue Canadienne De Recherche En Sciences Infirmieres","ISSN":"0844-5621","issue":"2","journalAbbreviation":"Can J Nurs Res","language":"eng","note":"PMID: 21888004","page":"18-37","source":"PubMed","title":"Advance care planning: re-visioning our ethical approach","title-short":"Advance care planning","volume":"43","author":[{"family":"Robinson","given":"Carole A."}],"issued":{"date-parts":[["2011",6]]}}},{"id":1873,"uris":["http://zotero.org/users/8748280/items/49DGQUBN"],"itemData":{"id":1873,"type":"article-journal","abstract":"AIMS: This paper will examine understandings of autonomy and choice in relation to palliative and end-of-life care and identify implications for nursing practice.\nBACKGROUND: Autonomy in relation to patient-centred care and advocacy has been identified as a key component of palliative and end-of-life care provision internationally. Understandings of autonomy have emerged in an individualised framework, which may be inadequate in supporting palliative and end-of-life care.\nDESIGN: A critical discussion paper.\nDATA SOURCES: Seminal texts provide a backdrop to how autonomy is understood in the context of palliative care. An overview of literature from 2001 is examined to explore how autonomy and choice are presented in clinical practice.\nIMPLICATIONS FOR NURSING: A model of autonomy based on a 'decision ecology' model may be more applicable to palliative and end-of-life care. Decision ecology aims to situate the individual in a wider social context and acknowledges the relational dimensions involved in supporting choice and autonomy. Such a model recognizes autonomy around wider care decisions but may also highlight the everyday personal aspects of care, which can mean so much to an individual in terms of personal empowerment and dignity.\nCONCLUSION: A 'decision ecology' model that acknowledges the wider social context, individual narratives and emphasises trust between professionals and patients may support decision-making at end of life. Such a model must support autonomy not just at the level of wider decisions around care choice but also at the level of everyday care.","container-title":"Journal of Advanced Nursing","DOI":"10.1111/jan.12267","ISSN":"1365-2648","issue":"5","journalAbbreviation":"J Adv Nurs","language":"eng","note":"PMID: 24118083","page":"1020-1029","source":"PubMed","title":"Autonomy and choice in palliative care: time for a new model?","title-short":"Autonomy and choice in palliative care","volume":"70","author":[{"family":"Wilson","given":"Fiona"},{"family":"Ingleton","given":"Christine"},{"family":"Gott","given":"Merryn"},{"family":"Gardiner","given":"Clare"}],"issued":{"date-parts":[["2014",5]]}}},{"id":1864,"uris":["http://zotero.org/users/8748280/items/M7UXQCCL"],"itemData":{"id":1864,"type":"article-journal","abstract":"BACKGROUND: Patients with advanced cancer may benefit from end of life (EOL) planning, but there is evidence that their willingness and desire to engage in advance care planning (ACP) varies. The reasons for this remain poorly understood. Previous reviews on ACP most commonly report outcome measures related to medical interventions and type of care. Synthesis of the literature, which aims to illuminate the salient characteristics of ACP and investigates the psychological and social features of preparation for the EOL, is required.\nMETHODS: We searched Medline, EMBASE, PsychINFO, CINAHL, and the Cochrane Central Register of Controlled Trials for studies on perceptions or experiences regarding ACP of adults with cancer, family, friends, or professionals caring for this group. Databases were searched from earliest records to 19 November 2014. A thematic analysis of the literature generated conceptual themes.\nRESULTS: Of the 2483 studies identified, 40 were eligible for inclusion. Studies addressed the relational nature of ACP, fear surrounding ACP, the conceptual complexity of autonomy, and the influence of institutional culture and previous healthcare experiences on ACP.\nCONCLUSIONS: The complex social and emotional environments within which EOL planning is initiated and actioned are not sufficiently embedded within standardized ACP. The notion that ACP is concerned principally with the 'right' to self-determination through control over treatment choices at the EOL may misrepresent the way that ACP actually occurs in cancer care and ultimately conflict with the deeper concerns and needs of patients, who experience ACP as relational, emotional, and social.","container-title":"Psycho-Oncology","DOI":"10.1002/pon.3926","ISSN":"1099-1611","issue":"4","journalAbbreviation":"Psychooncology","language":"eng","note":"PMID: 26387480","page":"362-386","source":"PubMed","title":"Advance care planning for cancer patients: a systematic review of perceptions and experiences of patients, families, and healthcare providers","title-short":"Advance care planning for cancer patients","volume":"25","author":[{"family":"Johnson","given":"Stephanie"},{"family":"Butow","given":"Phyllis"},{"family":"Kerridge","given":"Ian"},{"family":"Tattersall","given":"Martin"}],"issued":{"date-parts":[["2016",4]]}}}],"schema":"https://github.com/citation-style-language/schema/raw/master/csl-citation.json"} </w:instrText>
      </w:r>
      <w:r w:rsidRPr="000F7E56">
        <w:fldChar w:fldCharType="separate"/>
      </w:r>
      <w:r w:rsidR="000D5597" w:rsidRPr="000D5597">
        <w:rPr>
          <w:rFonts w:ascii="Calibri" w:hAnsi="Calibri" w:cs="Times New Roman"/>
          <w:szCs w:val="24"/>
          <w:vertAlign w:val="superscript"/>
        </w:rPr>
        <w:t>139,140,161,187–189</w:t>
      </w:r>
      <w:r w:rsidRPr="000F7E56">
        <w:fldChar w:fldCharType="end"/>
      </w:r>
      <w:r w:rsidRPr="000F7E56">
        <w:t xml:space="preserve"> This collectivist model of decision-making is recognised to be particularly relevant to patients from culturally and ED backgrounds.</w:t>
      </w:r>
      <w:r w:rsidRPr="000F7E56">
        <w:fldChar w:fldCharType="begin"/>
      </w:r>
      <w:r w:rsidR="000D5597">
        <w:instrText xml:space="preserve"> ADDIN ZOTERO_ITEM CSL_CITATION {"citationID":"Kx4PmkK4","properties":{"formattedCitation":"\\super 63,134,138,158\\uc0\\u8211{}160,165\\nosupersub{}","plainCitation":"63,134,138,158–160,165","noteIndex":0},"citationItems":[{"id":1706,"uris":["http://zotero.org/users/8748280/items/YYIASRGU"],"itemData":{"id":1706,"type":"article-journal","abstract":"BACKGROUND: Advance care planning (ACP) is a process of reflection on and communication of a person's future health-care preferences. Evidence suggests visible minorities engage less in ACP. The South Asian ethnic group is the largest visible minority group in Canada, and information is needed to understand how ACP is perceived and how best to approach ACP within this diverse community.\nOBJECTIVE: To explore perspectives of South Asian community members towards ACP.\nDESIGN: Peer-to-peer inquiry. South Asian community members who graduated from the Patient and Community Engagement Research programme (PaCER) at the University of Calgary utilized the PaCER method (SET, COLLECT and REFLECT) to conduct a focus group, family interviews and a community forum.\nSETTING AND PARTICIPANTS: Fifty-seven community-dwelling men and women (22-86 years) who self-identified with the South Asian community in Calgary, Alberta, Canada.\nRESULTS: The concept of ACP was mostly foreign to this community and was often associated with other end-of-life issues such as organ donation and estate planning. Cultural aspects (e.g. trust in shared family decision making and taboos related to discussing death), religious beliefs (e.g. fatalism) and immigration challenges (e.g. essential priorities) emerged as barriers to participation in ACP. However, participants were eager to learn about ACP and recommended several engagement strategies (e.g. disseminate information through religious institutions and community centres, include families in ACP discussions, encourage family physicians to initiate discussions and translate materials).\nCONCLUSIONS: Use of a patient engagement research model proved highly successful in understanding South Asian community members' participation in ACP.","container-title":"Health Expectations: An International Journal of Public Participation in Health Care and Health Policy","DOI":"10.1111/hex.12531","ISSN":"1369-7625","issue":"5","journalAbbreviation":"Health Expect","language":"eng","note":"PMID: 28294479\nPMCID: PMC5600224","page":"911-919","source":"PubMed","title":"Understanding advance care planning within the South Asian community","volume":"20","author":[{"family":"Biondo","given":"Patricia D."},{"family":"Kalia","given":"Rashika"},{"family":"Khan","given":"Rooh-Afza"},{"family":"Asghar","given":"Nadia"},{"family":"Banerjee","given":"Cyrene"},{"family":"Boulton","given":"Debbie"},{"family":"Marlett","given":"Nancy"},{"family":"Shklarov","given":"Svetlana"},{"family":"Simon","given":"Jessica E."}],"issued":{"date-parts":[["2017",10]]}}},{"id":1760,"uris":["http://zotero.org/users/8748280/items/W9T2P4I2"],"itemData":{"id":1760,"type":"article-journal","abstract":"&lt;h3&gt;Background&lt;/h3&gt; &lt;p&gt;The unprecedented scale of contemporary migration across countries over the last decade means that ageing and dying occur in a more globalised, multicultural context. It is therefore essential to explore the end-of-life experiences of older people from migrant backgrounds.&lt;/p&gt;&lt;h3&gt;Methods&lt;/h3&gt; &lt;p&gt;A scoping review of peer-reviewed articles published in English from 2008 to 2018. Included studies addressed end-of-life preferences, attitudes, values and beliefs of first-generation international migrants who were at least 50 years of age.&lt;/p&gt;&lt;h3&gt;Results&lt;/h3&gt; &lt;p&gt;Fifteen studies met the inclusion criteria for this review, which addressed six key themes: (1) the reluctance among older migrants and their families to talk about death and dying; (2) difficult communication in patient-clinician relationships; (3) the contrast between collectivistic and individualistic norms and its associated end-of-life preferences; (4) limited health literacy in older adults from migrant backgrounds; (5) experiences with systemic barriers like time pressure, inflexibility of service provision and lack of cultural sensitivity and (6) the need for care providers to appreciate migrants’ ‘double home experience’ and what this means for end-of-life decision-making regarding place of care and place of death.&lt;/p&gt;&lt;h3&gt;Discussion&lt;/h3&gt; &lt;p&gt;To respond effectively to an increasingly culturally diverse population, healthcare staff, researchers and policymakers need to invest in the provision of culturally sensitive end-of-life care. Areas for improvement include: (a) increased awareness of cultural needs and the role of family members; (b) cultural training for healthcare staff; (c) access to interpreters and translated information and (d) involvement of older migrants in end-of-life discussions, research and policymaking.&lt;/p&gt;","container-title":"BMJ Supportive &amp; Palliative Care","DOI":"10.1136/bmjspcare-2020-002617","ISSN":"2045-435X, 2045-4368","language":"en","note":"publisher: British Medical Journal Publishing Group\nsection: Review\nPMID: 33298550","source":"spcare.bmj.com","title":"End-of-life care for older first-generation migrants: a scoping review","title-short":"End-of-life care for older first-generation migrants","URL":"https://spcare.bmj.com/content/early/2020/12/09/bmjspcare-2020-002617","author":[{"family":"Gerber","given":"Katrin"},{"family":"Maharaj","given":"Emma"},{"family":"Brijnath","given":"Bianca"},{"family":"Antoniades","given":"Josefine"}],"accessed":{"date-parts":[["2021",12,8]]},"issued":{"date-parts":[["2020",12,9]]}}},{"id":1764,"uris":["http://zotero.org/users/8748280/items/W5M9XVUV"],"itemData":{"id":1764,"type":"article-journal","abstract":"Advance care directives situate persons as rational and self-determining actors who can make anticipatory plans about their futures. This paper critically examines how people interpret individual and future-oriented approaches to medical decision-making with limited access to information and knowledge, and reduced opportunities to prepare and document their care preferences. Based on ethnographic research with Asian migrant families living in Adelaide, South Australia (August 2015–July 2018), it reveals a discord between planning for a finite future and the contingencies and continuities of social life. It unsettles the detached reasoning that is privileged in end-of-life decision-making and reveals limitations to “do-it-yourself” approaches to advance care directives which, it will be argued, not only forecasts potential futures but also forecloses them. Taking Derrida's critique of death and decision-making as a point of departure, it develops the concept of temporal dissonance as a theoretical framework to articulate the tensions that are constituted in advance care directives. The paper suggests that attention to temporal incongruities may help to shed light on the many complex interpretations of advance care directives and the difficulties of promoting them in diverse contexts.","container-title":"Social Science &amp; Medicine","DOI":"10.1016/j.socscimed.2018.08.035","ISSN":"0277-9536","journalAbbreviation":"Social Science &amp; Medicine","language":"en","page":"16-22","source":"ScienceDirect","title":"Forecasting and foreclosing futures: The temporal dissonance of advance care directives","title-short":"Forecasting and foreclosing futures","volume":"215","author":[{"family":"Zivkovic","given":"Tanya"}],"issued":{"date-parts":[["2018",10,1]]}}},{"id":1806,"uris":["http://zotero.org/users/8748280/items/9HPZVY33"],"itemData":{"id":1806,"type":"article-journal","abstract":"This paper explores the views of healthcare staff regarding the provision of culturally appropriate palliative care for Māori, Pacific Island and Chinese elders living in Auckland, New Zealand. The ageing population is culturally and ethnically diverse and, along with other developed countries experiencing high levels of migration, the challenge is balancing the rise in numbers of older people from different ethnic and cultural groups with end-of-life care, which reflects personal values and beliefs. Two joint interviews and ten focus groups were conducted with eighty staff across a range of primary, secondary and speciality care settings in 2010. The findings demonstrated that participants viewed the involvement of family as fundamental to the provision of palliative care for Māori, Pacific Island and Chinese elders. For Māori and Pacific Islanders, healthcare staff indicated the importance of enabling family members to provide 'hands-on' care. The role of family in decision-making was fundamental to the delivery of and satisfaction with care for older Chinese family members. Care staff highlighted the need to be cognisant of individual preferences both within and across cultures as a fundamental aspect of palliative care provision. The role of family in 'hands-on' palliative care and decision-making requires care staff to relinquish their role as 'expert provider'. Counter to the prioritisation of autonomy in Western health-care, collective decision-making was favoured by Chinese elders. Providing families with the requisite knowledge and skills to give care to older family members was important. Whilst assumptions are sometimes made about preferences for end-of-life care based on cultural values alone, these data suggest that care preferences need to be ascertained by working with family members on an individual basis and in a manner that respects their involvement in palliative care provision.","container-title":"Health &amp; Social Care in the Community","DOI":"10.1111/j.1365-2524.2012.01083.x","ISSN":"1365-2524","issue":"1","journalAbbreviation":"Health Soc Care Community","language":"eng","note":"PMID: 22812427","page":"26-34","source":"PubMed","title":"What are the priorities for developing culturally appropriate palliative and end-of-life care for older people? The views of healthcare staff working in New Zealand","title-short":"What are the priorities for developing culturally appropriate palliative and end-of-life care for older people?","volume":"21","author":[{"family":"Bellamy","given":"Gary"},{"family":"Gott","given":"Merryn"}],"issued":{"date-parts":[["2013",1]]}}},{"id":1808,"uris":["http://zotero.org/users/8748280/items/BZLC2KVX"],"itemData":{"id":1808,"type":"article-journal","abstract":"Our aim was to obtain a clearer picture of the relevant care experiences and care perceptions of incurably ill Turkish and Moroccan patients, their relatives and professional care providers, as well as of communication and decision-making patterns at the end of life. The ultimate objective is to improve palliative care for Turkish and Moroccan immigrants in the Netherlands, by taking account of socio-cultural factors in the guidelines for palliative care.","container-title":"BMC Palliative Care","DOI":"10.1186/1472-684X-11-17","ISSN":"1472-684X","issue":"1","journalAbbreviation":"BMC Palliative Care","page":"17","source":"BioMed Central","title":"Perspectives on care and communication involving incurably ill Turkish and Moroccan patients, relatives and professionals: a systematic literature review","title-short":"Perspectives on care and communication involving incurably ill Turkish and Moroccan patients, relatives and professionals","volume":"11","author":[{"family":"Graaff","given":"Fuusje M.","non-dropping-particle":"de"},{"family":"Mistiaen","given":"Patriek"},{"family":"Devillé","given":"Walter LJM"},{"family":"Francke","given":"Anneke L."}],"issued":{"date-parts":[["2012",9,18]]}}},{"id":311,"uris":["http://zotero.org/users/8748280/items/PN8IDEYQ"],"itemData":{"id":311,"type":"article-journal","abstract":"&lt;p&gt;Historic migration and the ever–increasing current migration into Western countries have greatly changed the ethnic and cultural patterns of patient populations. Because health care beliefs of minority groups may follow their religion and country of origin, inevitable conflict can arise with decision making at the end of life. The principles of truth telling and patient autonomy are embedded in the framework of Anglo–American medical ethics. In contrast, in many parts of the world, the cultural norm is protection of the patient from the truth, decision making by the family, and a tradition of familial piety, where it is dishonorable not to do as much as possible for parents. The challenge for health care professionals is to understand how culture has enormous potential to influence patients’ responses to medical issues, such as healing and suffering, as well as the physician-patient relationship. Our paper provides a framework of communication strategies that enhance crosscultural competency within nephrology teams. Shared decision making also enables clinicians to be culturally competent communicators by providing a model where clinicians and patients jointly consider best clinical evidence in light of a patient’s specific health characteristics and values when choosing health care. The development of decision aids to include cultural awareness could avoid conflict proactively, more productively address it when it occurs, and enable decision making within the framework of the patient and family cultural beliefs.&lt;/p&gt;","container-title":"Clinical Journal of the American Society of Nephrology","DOI":"10.2215/CJN.13661215","ISSN":"1555-9041, 1555-905X","issue":"10","journalAbbreviation":"CJASN","language":"en","page":"1902-1908","source":"cjasn.asnjournals.org","title":"Supportive Care: Communication Strategies to Improve Cultural Competence in Shared Decision Making","title-short":"Supportive Care","volume":"11","author":[{"family":"Brown","given":"Edwina A."},{"family":"Bekker","given":"Hilary L."},{"family":"Davison","given":"Sara N."},{"family":"Koffman","given":"Jonathan"},{"family":"Schell","given":"Jane O."}],"issued":{"date-parts":[["2016",10,7]]}}},{"id":1818,"uris":["http://zotero.org/users/8748280/items/UD7DW879"],"itemData":{"id":1818,"type":"article-journal","abstract":"Informed by values of autonomy and self-determination, advance care planning assumes that individuals should independently take control of their future health. In this article, we draw on research conducted with Vietnamese health and community workers to problematize individualized approaches to planning ahead, reframe notions of “cultural and linguistic barriers,” and expose how homogeneous messages about care at the end of life are not readily translatable within and across diverse groups. Anthropological and feminist critiques of inclusion and exclusion are used to reorientate Anglophone framings of the individual and of cultural and linguistic differences. In this article, we suggest that it is the narrow singularity of care for the self—rather than diverse relationalities of care—that should be overcome if aging and end-of-life care policy and practice is to be broadened and made relevant to migrant and non-English-speaking groups.","container-title":"Qualitative Health Research","DOI":"10.1177/10497323211023453","ISSN":"1049-7323","issue":"12","journalAbbreviation":"Qual Health Res","language":"en","note":"publisher: SAGE Publications Inc","page":"2304-2316","source":"SAGE Journals","title":"Problematizing “Planning Ahead”: A Cross-Cultural Analysis of Vietnamese Health and Community Workers’ Perspectives on Advance Care Directives","title-short":"Problematizing “Planning Ahead”","volume":"31","author":[{"family":"Nguyen","given":"Nga"},{"family":"Zivkovic","given":"Tanya"},{"family":"Haas","given":"Rachael","non-dropping-particle":"de"},{"family":"Faulkner","given":"Debbie"}],"issued":{"date-parts":[["2021",10,1]]}}}],"schema":"https://github.com/citation-style-language/schema/raw/master/csl-citation.json"} </w:instrText>
      </w:r>
      <w:r w:rsidRPr="000F7E56">
        <w:fldChar w:fldCharType="separate"/>
      </w:r>
      <w:r w:rsidR="000D5597" w:rsidRPr="000D5597">
        <w:rPr>
          <w:rFonts w:ascii="Calibri" w:hAnsi="Calibri" w:cs="Times New Roman"/>
          <w:szCs w:val="24"/>
          <w:vertAlign w:val="superscript"/>
        </w:rPr>
        <w:t>63,134,138,158–160,165</w:t>
      </w:r>
      <w:r w:rsidRPr="000F7E56">
        <w:fldChar w:fldCharType="end"/>
      </w:r>
      <w:r w:rsidRPr="000F7E56">
        <w:t xml:space="preserve"> In these contexts, the locus of decision-making is often a joint responsibility, vested in the family group, and sometimes requiring concurrence from elders or respected non-family community or faith leaders, rather than the individual.   </w:t>
      </w:r>
    </w:p>
    <w:p w14:paraId="389E1EE3" w14:textId="77777777" w:rsidR="000F7E56" w:rsidRPr="000F7E56" w:rsidRDefault="000F7E56" w:rsidP="000F7E56">
      <w:pPr>
        <w:spacing w:line="360" w:lineRule="auto"/>
      </w:pPr>
      <w:r w:rsidRPr="000F7E56">
        <w:t>Degrees of individual family commitment to patient care very much affect their attitude and receptivity to accepting support from sources outside the family. In the Thinking Ahead study, varying levels of commitment appeared to be driven by profound personal attachment and close family ties as well as by a sense of family, cultural and religious duty and responsibility. This may include for some individuals a desire to accrue religious merit in line with their faith beliefs and a desire to avoid censure from the wider family or community. In some cases, adult children expressed concern about being criticised by their wider family or community if they were seen to fall short of expected commitment to care for their parents. This consequential stigma appears to be an important determinant of the family’s willingness to seek out and accept external help– especially regarding personal care and social support or care in a hospice or care home.</w:t>
      </w:r>
    </w:p>
    <w:p w14:paraId="2513BFBC" w14:textId="44414D4E" w:rsidR="000F7E56" w:rsidRPr="000F7E56" w:rsidRDefault="000F7E56" w:rsidP="000F7E56">
      <w:pPr>
        <w:spacing w:before="100" w:beforeAutospacing="1" w:after="100" w:afterAutospacing="1" w:line="360" w:lineRule="auto"/>
      </w:pPr>
      <w:r w:rsidRPr="000F7E56">
        <w:t>There was considerable variation between individuals and families in relation to closed or open awareness of the patient’s illness and prognosis and the extent of discussion and sharing of information between the patient, FCG and other relatives.</w:t>
      </w:r>
      <w:r w:rsidRPr="000F7E56">
        <w:fldChar w:fldCharType="begin"/>
      </w:r>
      <w:r w:rsidR="000D5597">
        <w:instrText xml:space="preserve"> ADDIN ZOTERO_ITEM CSL_CITATION {"citationID":"gxc0DjQw","properties":{"formattedCitation":"\\super 150,156,190\\nosupersub{}","plainCitation":"150,156,190","noteIndex":0},"citationItems":[{"id":1801,"uris":["http://zotero.org/users/8748280/items/XPI3RQS6"],"itemData":{"id":1801,"type":"article-journal","abstract":"AIMS: To explore if and how information about a transition to a palliative care approach was communicated to patients recently discharged from hospital and who fulfilled standardized criteria for palliative care need.\nBACKGROUND: Palliative care philosophy and, more recently, UK palliative care policy, endorse a context of 'open' awareness, where all parties openly acknowledge that the patient's death is approaching. The perceived benefits of making the patient aware of their prognosis encompass a variety of planning activities, which mean that death, when it occurs, is arguably more in keeping with the wishes of the patient.\nDESIGN: A qualitative inductive interview study conducted in 2010-2011.\nMETHODS: Fifteen semi-structured interviews were conducted with 15 patients and 3 family carers. All patients were identified as having palliative care needs according to standardized criteria, 3-6 months after discharge from hospital. A thematic analysis was undertaken.\nFINDINGS: Contrary to the professed ideal of 'open' awareness, some participants were only partially aware and others wholly unaware that they were likely to be approaching the end-of-life. Those identified as unaware were over 85. Participants displayed a reluctance to acquire knowledge which would require them to face the imminence of death.\nCONCLUSION: Philosophy and policy aside, people do not always conform to the autonomy paradigm of a self-directed life followed by a self-directed death.","container-title":"Journal of Advanced Nursing","DOI":"10.1111/jan.12151","ISSN":"1365-2648","issue":"12","journalAbbreviation":"J Adv Nurs","language":"eng","note":"PMID: 23600793","page":"2654-2664","source":"PubMed","title":"Awareness contexts revisited: indeterminacy in initiating discussions at the end-of-life","title-short":"Awareness contexts revisited","volume":"69","author":[{"family":"Richards","given":"Naomi"},{"family":"Ingleton","given":"Christine"},{"family":"Gardiner","given":"Clare"},{"family":"Gott","given":"Merryn"}],"issued":{"date-parts":[["2013",12]]}}},{"id":1803,"uris":["http://zotero.org/users/8748280/items/7WT8QEV3"],"itemData":{"id":1803,"type":"article-journal","abstract":"In 1965, Glaser and Strauss (1965) offered the concept of \"awareness contexts\" to explain what patients in hospitals do or don't know about their death trajectories. Awareness ranges from closed (where patients are completely unaware and family and providers protect \"the secret\") to open (where all parties communicate openly and honestly). While closed awareness was the norm in 1960s, open awareness is now considered standard practice in US, a reflection of mounting evidence that patients, families, and providers benefit from clear and honest communication at end of life (Seale et al., 1997; Wright et al., 2008). Despite the known benefits of open awareness, many terminal patients remain unaware or confused about their prognoses (Chen et al., 2017). This paper asks why, in an era of open awareness, are patients and families uncertain about dying? To answer this question, we focus on an aspect of Glaser and Strauss's theory that remains relatively understudied by researchers, namely the role of institutional and organizational realities in shaping awareness contexts. Based on interviews with 43 family members of deceased patients who died at General Hospital in the Midwestern US, we argue that two related conditions in hospitals-the increased specialization of medical professionals and the fragmentation of patient care-serve as important context for the death awareness of patients and families.","container-title":"Social Science &amp; Medicine (1982)","DOI":"10.1016/j.socscimed.2018.10.028","ISSN":"1873-5347","journalAbbreviation":"Soc Sci Med","language":"eng","note":"PMID: 30458430","page":"212-218","source":"PubMed","title":"Revisiting 'awareness contexts' in the 21st century hospital: How fragmented and specialized care shape patients' Awareness of Dying","title-short":"Revisiting 'awareness contexts' in the 21st century hospital","volume":"220","author":[{"family":"Stacey","given":"Clare L."},{"family":"Pai","given":"Manacy"},{"family":"Novisky","given":"Meghan A."},{"family":"Radwany","given":"Steven M."}],"issued":{"date-parts":[["2019",1]]}}},{"id":1876,"uris":["http://zotero.org/users/8748280/items/RRF34WLX"],"itemData":{"id":1876,"type":"article-journal","abstract":"In this paper, I employ a grounded theory approach to extend an existing theory. My starting point is the theory of aware- ness contexts, first formulated in 1965 by Strauss and Glaser. Using introspective ethnography, I illustrate that the way patients and relatives emotionally cope with terminal informa- tion defines the kind of awareness context. I therefore suggest that the open awareness context should be split into three different contexts. In the suspended open awareness context, the patient or kin ignores or disbelieves the message communi- cated by the physician. In the uncertain open awareness context, the patient or family member dismisses the bad parts of the message and hopes for the best outcome. In the active open awareness context, the patient or relative accepts the impending death and prepares for it. This revision reclaims the emotional power of terminal illness from the viewpoint of patients and relatives and adapts the theory to changed structural conditions.","DOI":"10.1111/1467-9566.EP11348751","source":"Semantic Scholar","title":"Dying of awareness: the theory of awareness contexts revisited","title-short":"Dying of awareness","author":[{"family":"Timmermans","given":"S."}],"issued":{"date-parts":[["1994"]]}}}],"schema":"https://github.com/citation-style-language/schema/raw/master/csl-citation.json"} </w:instrText>
      </w:r>
      <w:r w:rsidRPr="000F7E56">
        <w:fldChar w:fldCharType="separate"/>
      </w:r>
      <w:r w:rsidR="000D5597" w:rsidRPr="000D5597">
        <w:rPr>
          <w:rFonts w:ascii="Calibri" w:hAnsi="Calibri" w:cs="Times New Roman"/>
          <w:szCs w:val="24"/>
          <w:vertAlign w:val="superscript"/>
        </w:rPr>
        <w:t>150,156,190</w:t>
      </w:r>
      <w:r w:rsidRPr="000F7E56">
        <w:fldChar w:fldCharType="end"/>
      </w:r>
      <w:r w:rsidRPr="000F7E56">
        <w:t xml:space="preserve"> Preferences varied widely regarding what individuals wanted to know about illness and prognosis, even within the same family, same generation and cultural or religious group.</w:t>
      </w:r>
      <w:r w:rsidRPr="000F7E56">
        <w:fldChar w:fldCharType="begin"/>
      </w:r>
      <w:r w:rsidR="000D5597">
        <w:instrText xml:space="preserve"> ADDIN ZOTERO_ITEM CSL_CITATION {"citationID":"Nyx1eMA4","properties":{"formattedCitation":"\\super 191\\nosupersub{}","plainCitation":"191","noteIndex":0},"citationItems":[{"id":1878,"uris":["http://zotero.org/users/8748280/items/QT7RERC5"],"itemData":{"id":1878,"type":"article-journal","abstract":"Background:No systematic meta-analysis is available on the prevalence of cancer patients? accurate prognostic awareness and differences in accurate prognostic awareness by publication year, region, assessment method, and service received.Aim:To examine the prevalence of advanced/terminal cancer patients? accurate prognostic awareness and differences in accurate prognostic awareness by publication year, region, assessment method, and service received.Design:Systematic review and meta-analysis.Methods:MEDLINE, Embase, The Cochrane Library, CINAHL, and PsycINFO were systematically searched on accurate prognostic awareness in adult patients with advanced/terminal cancer (1990?2014). Pooled prevalences were calculated for accurate prognostic awareness by a random-effects model. Differences in weighted estimates of accurate prognostic awareness were compared by meta-regression.Results:In total, 34 articles were retrieved for systematic review and meta-analysis. At best, only about half of advanced/terminal cancer patients accurately understood their prognosis (49.1%; 95% confidence interval: 42.7%?55.5%; range: 5.4%?85.7%). Accurate prognostic awareness was independent of service received and publication year, but highest in Australia, followed by East Asia, North America, and southern Europe and the United Kingdom (67.7%, 60.7%, 52.8%, and 36.0%, respectively; p?=?0.019). Accurate prognostic awareness was higher by clinician assessment than by patient report (63.2% vs 44.5%, p?","container-title":"Palliative Medicine","DOI":"10.1177/0269216316663976","ISSN":"0269-2163","issue":"5","journalAbbreviation":"Palliat Med","language":"en","note":"publisher: SAGE Publications Ltd STM","page":"406-418","source":"SAGE Journals","title":"Current status of accurate prognostic awareness in advanced/terminally ill cancer patients: Systematic review and meta-regression analysis","title-short":"Current status of accurate prognostic awareness in advanced/terminally ill cancer patients","volume":"31","author":[{"family":"Chen","given":"Chen Hsiu"},{"family":"Kuo","given":"Su Ching"},{"family":"Tang","given":"Siew Tzuh"}],"issued":{"date-parts":[["2017",5,1]]}}}],"schema":"https://github.com/citation-style-language/schema/raw/master/csl-citation.json"} </w:instrText>
      </w:r>
      <w:r w:rsidRPr="000F7E56">
        <w:fldChar w:fldCharType="separate"/>
      </w:r>
      <w:r w:rsidR="00496C3B" w:rsidRPr="00496C3B">
        <w:rPr>
          <w:rFonts w:ascii="Calibri" w:hAnsi="Calibri" w:cs="Calibri"/>
          <w:szCs w:val="24"/>
          <w:vertAlign w:val="superscript"/>
        </w:rPr>
        <w:t>191</w:t>
      </w:r>
      <w:r w:rsidRPr="000F7E56">
        <w:fldChar w:fldCharType="end"/>
      </w:r>
      <w:r w:rsidRPr="000F7E56">
        <w:t xml:space="preserve"> The extent and composition of individual family networks also shaped how and with whom information was shared. There was also uncertainty about what different family members as well as the patient knew about the illness prognosis, who had talked to different professionals about this, and whether and how information had been relayed to others, within professional and informal networks. Some decisions were prolonged and distributed, seeming to require consensus among patient and family members, but the locus of decision-making could be configured differently across cases. This was largely determined by individual circumstances – of family composition, location, personality, religion and cultural norms about family responsibility, engagement and authority. It was not the case that all patients had access to extended family support, and even when they did some families struggled to provide this. Small, dense networks, tended to be self-contained and seemed less likely to have established extensive contacts with health and social services.  </w:t>
      </w:r>
    </w:p>
    <w:p w14:paraId="01AF5DE7" w14:textId="51F06013" w:rsidR="000F7E56" w:rsidRPr="000F7E56" w:rsidRDefault="000F7E56" w:rsidP="000F7E56">
      <w:pPr>
        <w:spacing w:before="100" w:beforeAutospacing="1" w:after="100" w:afterAutospacing="1" w:line="360" w:lineRule="auto"/>
        <w:rPr>
          <w:rFonts w:ascii="Times New Roman" w:eastAsia="Times New Roman" w:hAnsi="Times New Roman" w:cs="Times New Roman"/>
          <w:sz w:val="24"/>
          <w:szCs w:val="24"/>
          <w:lang w:eastAsia="en-GB"/>
        </w:rPr>
      </w:pPr>
      <w:r w:rsidRPr="000F7E56">
        <w:lastRenderedPageBreak/>
        <w:t xml:space="preserve">This accords with </w:t>
      </w:r>
      <w:proofErr w:type="spellStart"/>
      <w:r w:rsidRPr="000F7E56">
        <w:t>Granovetter’s</w:t>
      </w:r>
      <w:proofErr w:type="spellEnd"/>
      <w:r w:rsidRPr="000F7E56">
        <w:t xml:space="preserve"> thesis that it is the existence of ‘weak’ ties connecting individuals within a network to external persons and agencies that are more likely to provide access to information and resources than a strongly embedded tie.</w:t>
      </w:r>
      <w:r w:rsidRPr="000F7E56">
        <w:fldChar w:fldCharType="begin"/>
      </w:r>
      <w:r w:rsidR="000D5597">
        <w:instrText xml:space="preserve"> ADDIN ZOTERO_ITEM CSL_CITATION {"citationID":"N7K2dNDm","properties":{"formattedCitation":"\\super 192,193\\nosupersub{}","plainCitation":"192,193","noteIndex":0},"citationItems":[{"id":1879,"uris":["http://zotero.org/users/8748280/items/L9PNCD38"],"itemData":{"id":1879,"type":"article-journal","abstract":"Analysis of social networks is suggested as a tool for linking micro and macro levels of sociological theory. The procedure is illustrated by elaboration of the macro implications of one aspect of small-scale interaction: the strength of dyadic ties. It is argued that the degree of overlap of two individuals' friendship networks varies directly with the strength of their tie to one another. The impact of this principle on diffusion of influence and information, mobility opportunity, and community organization is explored. Stress is laid on the cohesive power of weak ties. Most network models deal, implicitly, with strong ties, thus confining their applicability to small, well-defined groups. Emphasis on weak ties lends itself to discussion of relations between groups and to analysis of segments of social structure not easily defined in terms of primary groups.","container-title":"American Journal of Sociology","ISSN":"0002-9602","issue":"6","note":"publisher: University of Chicago Press","page":"1360-1380","source":"JSTOR","title":"The Strength of Weak Ties","volume":"78","author":[{"family":"Granovetter","given":"Mark S."}],"issued":{"date-parts":[["1973"]]}}},{"id":1880,"uris":["http://zotero.org/users/8748280/items/KWYETHSC"],"itemData":{"id":1880,"type":"article-journal","abstract":"One important theoretical focus in community informatics is based on the convergence of two established bodies of theory, social networks and social capital. First we summarize them both. Then we define community informatics and explore its origins. Finally, we review a group of community informatics studies which frame their analyses in either social capital or social network theory. How the frames are constructed focuses each study on either technological change or historical continuity. Taken together, the studies suggest that in fact both of these are necessary for local communities both to initiate and to sustain the use of information technologies.","container-title":"The Journal of Community Informatics","DOI":"10.15353/joci.v4i3.2946","ISSN":"1712-4441","issue":"3","language":"en","note":"number: 3","source":"openjournals.uwaterloo.ca","title":"Social Networks and Social Capital: Rethinking Theory in Community Informatics","title-short":"Social Networks and Social Capital","URL":"https://openjournals.uwaterloo.ca/index.php/JoCI/article/view/2946","volume":"4","author":[{"family":"Williams","given":"Kate"},{"family":"Durrance","given":"Joan C."}],"accessed":{"date-parts":[["2021",12,8]]},"issued":{"date-parts":[["2008",8,16]]}}}],"schema":"https://github.com/citation-style-language/schema/raw/master/csl-citation.json"} </w:instrText>
      </w:r>
      <w:r w:rsidRPr="000F7E56">
        <w:fldChar w:fldCharType="separate"/>
      </w:r>
      <w:r w:rsidR="00496C3B" w:rsidRPr="00496C3B">
        <w:rPr>
          <w:rFonts w:ascii="Calibri" w:hAnsi="Calibri" w:cs="Calibri"/>
          <w:szCs w:val="24"/>
          <w:vertAlign w:val="superscript"/>
        </w:rPr>
        <w:t>192,193</w:t>
      </w:r>
      <w:r w:rsidRPr="000F7E56">
        <w:fldChar w:fldCharType="end"/>
      </w:r>
      <w:r w:rsidRPr="000F7E56">
        <w:t xml:space="preserve"> Thus, although our data can only be suggestive, it may be that families that were insular, including those who had access to a GP who spoke their first language, and typically with elderly parents who did not want to accept outside help, are more likely to be disadvantaged in terms of the information and support they could effectively access. Conversely, families which included a strong advocate, typically an adult child, who took an active stance in relation to contacts with health and social services, and was willing and able to challenge these and follow through requests for support and information, e.g. through direct contact with different HCPs and services, who themselves were linked to wider points of contact and referral within the professional network, are agents for extending the network of care around the patient.</w:t>
      </w:r>
    </w:p>
    <w:p w14:paraId="3FB208C9" w14:textId="2878588E" w:rsidR="000F7E56" w:rsidRDefault="000F7E56" w:rsidP="000F7E56">
      <w:pPr>
        <w:keepNext/>
        <w:keepLines/>
        <w:spacing w:before="40" w:after="0" w:line="360" w:lineRule="auto"/>
        <w:outlineLvl w:val="1"/>
        <w:rPr>
          <w:rFonts w:asciiTheme="majorHAnsi" w:eastAsiaTheme="majorEastAsia" w:hAnsiTheme="majorHAnsi" w:cstheme="majorBidi"/>
          <w:color w:val="2F5496" w:themeColor="accent1" w:themeShade="BF"/>
          <w:sz w:val="24"/>
          <w:szCs w:val="24"/>
        </w:rPr>
      </w:pPr>
      <w:bookmarkStart w:id="421" w:name="_Toc106697858"/>
      <w:r w:rsidRPr="000F7E56">
        <w:rPr>
          <w:rFonts w:asciiTheme="majorHAnsi" w:eastAsiaTheme="majorEastAsia" w:hAnsiTheme="majorHAnsi" w:cstheme="majorBidi"/>
          <w:color w:val="2F5496" w:themeColor="accent1" w:themeShade="BF"/>
          <w:sz w:val="24"/>
          <w:szCs w:val="24"/>
        </w:rPr>
        <w:t>Navigating a complex system of health care</w:t>
      </w:r>
      <w:bookmarkEnd w:id="421"/>
      <w:r w:rsidRPr="000F7E56">
        <w:rPr>
          <w:rFonts w:asciiTheme="majorHAnsi" w:eastAsiaTheme="majorEastAsia" w:hAnsiTheme="majorHAnsi" w:cstheme="majorBidi"/>
          <w:color w:val="2F5496" w:themeColor="accent1" w:themeShade="BF"/>
          <w:sz w:val="24"/>
          <w:szCs w:val="24"/>
        </w:rPr>
        <w:t xml:space="preserve"> </w:t>
      </w:r>
    </w:p>
    <w:p w14:paraId="2BEA1575" w14:textId="77777777" w:rsidR="00DA32BF" w:rsidRPr="000F7E56" w:rsidRDefault="00DA32BF" w:rsidP="000F7E56">
      <w:pPr>
        <w:keepNext/>
        <w:keepLines/>
        <w:spacing w:before="40" w:after="0" w:line="360" w:lineRule="auto"/>
        <w:outlineLvl w:val="1"/>
        <w:rPr>
          <w:rFonts w:asciiTheme="majorHAnsi" w:eastAsiaTheme="majorEastAsia" w:hAnsiTheme="majorHAnsi" w:cstheme="majorBidi"/>
          <w:color w:val="2F5496" w:themeColor="accent1" w:themeShade="BF"/>
          <w:sz w:val="24"/>
          <w:szCs w:val="24"/>
        </w:rPr>
      </w:pPr>
    </w:p>
    <w:p w14:paraId="2C07E4C2" w14:textId="1676C36D" w:rsidR="000F7E56" w:rsidRPr="000F7E56" w:rsidRDefault="000F7E56" w:rsidP="000F7E56">
      <w:pPr>
        <w:spacing w:line="360" w:lineRule="auto"/>
      </w:pPr>
      <w:r w:rsidRPr="000F7E56">
        <w:t>Patients and families confronting the end-of-life enter an alien world, full of uncertainty and the need to engage with, usually, many different professionals and services</w:t>
      </w:r>
      <w:r w:rsidRPr="000F7E56">
        <w:rPr>
          <w:noProof/>
        </w:rPr>
        <w:t>.</w:t>
      </w:r>
      <w:r w:rsidRPr="000F7E56">
        <w:fldChar w:fldCharType="begin"/>
      </w:r>
      <w:r w:rsidR="000D5597">
        <w:instrText xml:space="preserve"> ADDIN ZOTERO_ITEM CSL_CITATION {"citationID":"1SAtO9lu","properties":{"formattedCitation":"\\super 140,152,179\\nosupersub{}","plainCitation":"140,152,179","noteIndex":0},"citationItems":[{"id":1769,"uris":["http://zotero.org/users/8748280/items/QPP6JD6N"],"itemData":{"id":1769,"type":"webpage","abstract":"**Shortlisted for the BSA Sociology of Health and Illness Book Prize 2010**What is good care? In this innovative and compelling book, Annemarie Mol argues that good care has little to do with 'patient choice' and, therefore, creating more opportunities for patient choice will not improve health care.\n\nAlthough it is possible to treat people who seek professional help as customers or citizens, Mol argues that this undermines ways of thinking and acting crucial to health care. Illustrating the dis","container-title":"Routledge &amp; CRC Press","language":"en","title":"The Logic of Care: Health and the Problem of Patient Choice","title-short":"The Logic of Care","URL":"https://www.routledge.com/The-Logic-of-Care-Health-and-the-Problem-of-Patient-Choice/Mol/p/book/9780415453431","author":[{"family":"Moll, Annemarie","given":""}],"accessed":{"date-parts":[["2021",12,8]]}}},{"id":1793,"uris":["http://zotero.org/users/8748280/items/MBMVUG9P"],"itemData":{"id":1793,"type":"article-journal","abstract":"Background: Uncertainty is common in advanced illness but is infrequently studied in this context. If poorly addressed, uncertainty can lead to adverse patient ...","archive_location":"Sage UK: London, England","container-title":"Palliative Medicine","DOI":"10.1177/0269216316647610","language":"en","note":"publisher: SAGE PublicationsSage UK: London, England","source":"journals.sagepub.com","title":"How does uncertainty shape patient experience in advanced illness? A secondary analysis of qualitative data:","title-short":"How does uncertainty shape patient experience in advanced illness?","URL":"https://journals.sagepub.com/doi/full/10.1177/0269216316647610","author":[{"family":"Etkind","given":"Simon Noah"},{"family":"Bristowe","given":"Katherine"},{"family":"Bailey","given":"Katharine"},{"family":"Selman","given":"Lucy Ellen"},{"family":"Murtagh","given":"Fliss EM"}],"accessed":{"date-parts":[["2021",12,8]]},"issued":{"date-parts":[["2016",4,29]]}}},{"id":1888,"uris":["http://zotero.org/users/8748280/items/FH4JJ8XC"],"itemData":{"id":1888,"type":"article-journal","abstract":"Inequities in the provision of palliative care for people with cardiac disease have been well documented in the literature. Despite experiencing significant palliative care needs, those with cardiac disease are less likely to be referred to specialist palliative care services and more likely to die in a hospital when compared to those with cancer. The unpredictable trajectory of heart failure has been identified as a key barrier to providing palliative care with many people experiencing a long period of stability with appropriate medical treatment. However, as the disease progresses and cardiac function deteriorates, exacerbations of acute decompensation can lead to what is often perceived to be ‘sudden’ death. The aim of this study is to explore the impact of uncertainty on how death is remembered by bereaved family members of people with heart disease.","container-title":"BMC Palliative Care","DOI":"10.1186/s12904-021-00748-9","ISSN":"1472-684X","issue":"1","journalAbbreviation":"BMC Palliative Care","page":"60","source":"BioMed Central","title":"The impact of uncertainty on bereaved family’s experiences of care at the end of life: a thematic analysis of free text survey data","title-short":"The impact of uncertainty on bereaved family’s experiences of care at the end of life","volume":"20","author":[{"family":"Robinson","given":"Jackie"},{"family":"Pilbeam","given":"Caitlin"},{"family":"Goodwin","given":"Hetty"},{"family":"Raphael","given":"Deborah"},{"family":"Waterworth","given":"Susan"},{"family":"Gott","given":"Merryn"}],"issued":{"date-parts":[["2021",4,13]]}}}],"schema":"https://github.com/citation-style-language/schema/raw/master/csl-citation.json"} </w:instrText>
      </w:r>
      <w:r w:rsidRPr="000F7E56">
        <w:fldChar w:fldCharType="separate"/>
      </w:r>
      <w:r w:rsidR="000D5597" w:rsidRPr="000D5597">
        <w:rPr>
          <w:rFonts w:ascii="Calibri" w:hAnsi="Calibri" w:cs="Times New Roman"/>
          <w:szCs w:val="24"/>
          <w:vertAlign w:val="superscript"/>
        </w:rPr>
        <w:t>140,152,179</w:t>
      </w:r>
      <w:r w:rsidRPr="000F7E56">
        <w:fldChar w:fldCharType="end"/>
      </w:r>
      <w:r w:rsidRPr="000F7E56">
        <w:t xml:space="preserve"> May et al </w:t>
      </w:r>
      <w:r w:rsidRPr="000F7E56">
        <w:fldChar w:fldCharType="begin">
          <w:fldData xml:space="preserve">PEVuZE5vdGU+PENpdGU+PEF1dGhvcj5NYXk8L0F1dGhvcj48WWVhcj4yMDE0PC9ZZWFyPjxSZWNO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</w:fldData>
        </w:fldChar>
      </w:r>
      <w:r w:rsidRPr="000F7E56">
        <w:instrText xml:space="preserve"> ADDIN EN.CITE </w:instrText>
      </w:r>
      <w:r w:rsidRPr="000F7E56">
        <w:fldChar w:fldCharType="begin">
          <w:fldData xml:space="preserve">PEVuZE5vdGU+PENpdGU+PEF1dGhvcj5NYXk8L0F1dGhvcj48WWVhcj4yMDE0PC9ZZWFyPjxSZWNO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</w:fldData>
        </w:fldChar>
      </w:r>
      <w:r w:rsidRPr="000F7E56">
        <w:instrText xml:space="preserve"> ADDIN EN.CITE.DATA </w:instrText>
      </w:r>
      <w:r w:rsidRPr="000F7E56">
        <w:fldChar w:fldCharType="end"/>
      </w:r>
      <w:r w:rsidRPr="000F7E56">
        <w:fldChar w:fldCharType="end"/>
      </w:r>
      <w:r w:rsidRPr="000F7E56">
        <w:t>have drawn attention to the ‘burden of care’ imposed on patients and their families in the course of receiving treatment and services from a complex system of care.</w:t>
      </w:r>
      <w:r w:rsidRPr="000F7E56">
        <w:fldChar w:fldCharType="begin"/>
      </w:r>
      <w:r w:rsidR="000D5597">
        <w:instrText xml:space="preserve"> ADDIN ZOTERO_ITEM CSL_CITATION {"citationID":"mmC10TWx","properties":{"formattedCitation":"\\super 194,195\\nosupersub{}","plainCitation":"194,195","noteIndex":0},"citationItems":[{"id":1885,"uris":["http://zotero.org/users/8748280/items/NKCZ7G82"],"itemData":{"id":1885,"type":"article-journal","abstract":"In this article we outline Burden of Treatment Theory, a new model of the relationship between sick people, their social networks, and healthcare services. Health services face the challenge of growing populations with long-term and life-limiting conditions, they have responded to this by delegating to sick people and their networks routine work aimed at managing symptoms, and at retarding – and sometimes preventing – disease progression. This is the new proactive work of patient-hood for which patients are increasingly accountable: founded on ideas about self-care, self-empowerment, and self-actualization, and on new technologies and treatment modalities which can be shifted from the clinic into the community. These place new demands on sick people, which they may experience as burdens of treatment.","container-title":"BMC Health Services Research","DOI":"10.1186/1472-6963-14-281","ISSN":"1472-6963","issue":"1","journalAbbreviation":"BMC Health Services Research","page":"281","source":"BioMed Central","title":"Rethinking the patient: using Burden of Treatment Theory to understand the changing dynamics of illness","title-short":"Rethinking the patient","volume":"14","author":[{"family":"May","given":"Carl R."},{"family":"Eton","given":"David T."},{"family":"Boehmer","given":"Kasey"},{"family":"Gallacher","given":"Katie"},{"family":"Hunt","given":"Katherine"},{"family":"MacDonald","given":"Sara"},{"family":"Mair","given":"Frances S."},{"family":"May","given":"Christine M."},{"family":"Montori","given":"Victor M."},{"family":"Richardson","given":"Alison"},{"family":"Rogers","given":"Anne E."},{"family":"Shippee","given":"Nathan"}],"issued":{"date-parts":[["2014",6,26]]}}},{"id":1881,"uris":["http://zotero.org/users/8748280/items/R3J9SKHL"],"itemData":{"id":1881,"type":"article-journal","abstract":"&lt;p&gt;Should it be regarded as an indicator of the quality of care?&lt;/p&gt;","container-title":"BMJ","DOI":"10.1136/bmj.g6680","ISSN":"1756-1833","journalAbbreviation":"BMJ","language":"en","note":"publisher: British Medical Journal Publishing Group\nsection: Editorial\nPMID: 25385748","page":"g6680","source":"www.bmj.com","title":"Thinking about the burden of treatment","volume":"349","author":[{"family":"Mair","given":"Frances S."},{"family":"May","given":"Carl R."}],"issued":{"date-parts":[["2014",11,10]]}}}],"schema":"https://github.com/citation-style-language/schema/raw/master/csl-citation.json"} </w:instrText>
      </w:r>
      <w:r w:rsidRPr="000F7E56">
        <w:fldChar w:fldCharType="separate"/>
      </w:r>
      <w:r w:rsidR="00496C3B" w:rsidRPr="00496C3B">
        <w:rPr>
          <w:rFonts w:ascii="Calibri" w:hAnsi="Calibri" w:cs="Calibri"/>
          <w:szCs w:val="24"/>
          <w:vertAlign w:val="superscript"/>
        </w:rPr>
        <w:t>194,195</w:t>
      </w:r>
      <w:r w:rsidRPr="000F7E56">
        <w:fldChar w:fldCharType="end"/>
      </w:r>
      <w:r w:rsidRPr="000F7E56">
        <w:t xml:space="preserve"> Several FCGs were exasperated by the demands imposed by an ongoing series of referrals and appointments for which they could identify no purpose or helpful outcome. Other participants described confusion, misunderstanding and lack of information during their experience of care. The difficulties posed by system complexity have been widely reported in the literature.</w:t>
      </w:r>
      <w:r w:rsidRPr="000F7E56">
        <w:fldChar w:fldCharType="begin"/>
      </w:r>
      <w:r w:rsidR="000D5597">
        <w:instrText xml:space="preserve"> ADDIN ZOTERO_ITEM CSL_CITATION {"citationID":"a2f0j1eijv4","properties":{"formattedCitation":"\\super 196\\nosupersub{}","plainCitation":"196","noteIndex":0},"citationItems":[{"id":1899,"uris":["http://zotero.org/users/8748280/items/4797I3SU"],"itemData":{"id":1899,"type":"article-journal","container-title":"Health Services and Delivery Research","title":"Family and health care professionals managing medicines for patients with serious and terminal illness at home: a qualitative study.","volume":"9","author":[{"family":"Pollock","given":"K."},{"literal":"Caswell. G"},{"literal":"Avery, A.J"},{"literal":"Faull, C"}],"issued":{"literal":"In press"}}}],"schema":"https://github.com/citation-style-language/schema/raw/master/csl-citation.json"} </w:instrText>
      </w:r>
      <w:r w:rsidRPr="000F7E56">
        <w:fldChar w:fldCharType="separate"/>
      </w:r>
      <w:r w:rsidR="00496C3B" w:rsidRPr="00496C3B">
        <w:rPr>
          <w:rFonts w:ascii="Calibri" w:hAnsi="Calibri" w:cs="Calibri"/>
          <w:szCs w:val="24"/>
          <w:vertAlign w:val="superscript"/>
        </w:rPr>
        <w:t>196</w:t>
      </w:r>
      <w:r w:rsidRPr="000F7E56">
        <w:fldChar w:fldCharType="end"/>
      </w:r>
      <w:r w:rsidRPr="000F7E56">
        <w:t xml:space="preserve"> Stacey et al highlight the significance of institutional and organisational factors in shaping how resources such as time, expertise and resources are able to flow through complex systems of care. They identify the increased specialisation of professional roles and the consequent fragmentation of patient care as important factors contributing to the lack of effective communication and awareness of patient prognosis and future illness trajectories.</w:t>
      </w:r>
      <w:r w:rsidRPr="000F7E56">
        <w:fldChar w:fldCharType="begin"/>
      </w:r>
      <w:r w:rsidR="000D5597">
        <w:instrText xml:space="preserve"> ADDIN ZOTERO_ITEM CSL_CITATION {"citationID":"glEvKTIJ","properties":{"formattedCitation":"\\super 150\\nosupersub{}","plainCitation":"150","noteIndex":0},"citationItems":[{"id":1803,"uris":["http://zotero.org/users/8748280/items/7WT8QEV3"],"itemData":{"id":1803,"type":"article-journal","abstract":"In 1965, Glaser and Strauss (1965) offered the concept of \"awareness contexts\" to explain what patients in hospitals do or don't know about their death trajectories. Awareness ranges from closed (where patients are completely unaware and family and providers protect \"the secret\") to open (where all parties communicate openly and honestly). While closed awareness was the norm in 1960s, open awareness is now considered standard practice in US, a reflection of mounting evidence that patients, families, and providers benefit from clear and honest communication at end of life (Seale et al., 1997; Wright et al., 2008). Despite the known benefits of open awareness, many terminal patients remain unaware or confused about their prognoses (Chen et al., 2017). This paper asks why, in an era of open awareness, are patients and families uncertain about dying? To answer this question, we focus on an aspect of Glaser and Strauss's theory that remains relatively understudied by researchers, namely the role of institutional and organizational realities in shaping awareness contexts. Based on interviews with 43 family members of deceased patients who died at General Hospital in the Midwestern US, we argue that two related conditions in hospitals-the increased specialization of medical professionals and the fragmentation of patient care-serve as important context for the death awareness of patients and families.","container-title":"Social Science &amp; Medicine (1982)","DOI":"10.1016/j.socscimed.2018.10.028","ISSN":"1873-5347","journalAbbreviation":"Soc Sci Med","language":"eng","note":"PMID: 30458430","page":"212-218","source":"PubMed","title":"Revisiting 'awareness contexts' in the 21st century hospital: How fragmented and specialized care shape patients' Awareness of Dying","title-short":"Revisiting 'awareness contexts' in the 21st century hospital","volume":"220","author":[{"family":"Stacey","given":"Clare L."},{"family":"Pai","given":"Manacy"},{"family":"Novisky","given":"Meghan A."},{"family":"Radwany","given":"Steven M."}],"issued":{"date-parts":[["2019",1]]}}}],"schema":"https://github.com/citation-style-language/schema/raw/master/csl-citation.json"} </w:instrText>
      </w:r>
      <w:r w:rsidRPr="000F7E56">
        <w:fldChar w:fldCharType="separate"/>
      </w:r>
      <w:r w:rsidR="000D5597" w:rsidRPr="000D5597">
        <w:rPr>
          <w:rFonts w:ascii="Calibri" w:hAnsi="Calibri" w:cs="Times New Roman"/>
          <w:szCs w:val="24"/>
          <w:vertAlign w:val="superscript"/>
        </w:rPr>
        <w:t>150</w:t>
      </w:r>
      <w:r w:rsidRPr="000F7E56">
        <w:fldChar w:fldCharType="end"/>
      </w:r>
      <w:r w:rsidRPr="000F7E56">
        <w:t xml:space="preserve"> </w:t>
      </w:r>
    </w:p>
    <w:p w14:paraId="45DFB9DF" w14:textId="77777777" w:rsidR="000F7E56" w:rsidRPr="000F7E56" w:rsidRDefault="000F7E56" w:rsidP="000F7E56">
      <w:pPr>
        <w:spacing w:line="360" w:lineRule="auto"/>
      </w:pPr>
      <w:r w:rsidRPr="000F7E56">
        <w:t xml:space="preserve">In the Thinking Ahead study, some patients and, more usually, their family members were skilled and effective mediators and advocates, with the ability and resources to find the information they needed.  These skills developed with experience, sometimes in relation to the illness and death of more than one relative. In addition, some participants were, or had been, employed within the NHS in some capacity. However, the situation was very different for patients and FCGs who were unfamiliar with the system and lacked the confidence or fluency in English to communicate effectively with staff or achieve an understanding of their entitlements, especially if they lacked family support and translation. </w:t>
      </w:r>
    </w:p>
    <w:p w14:paraId="32EA8039" w14:textId="38941FDD" w:rsidR="000F7E56" w:rsidRPr="000F7E56" w:rsidRDefault="000F7E56" w:rsidP="000F7E56">
      <w:pPr>
        <w:spacing w:line="360" w:lineRule="auto"/>
      </w:pPr>
      <w:r w:rsidRPr="000F7E56">
        <w:lastRenderedPageBreak/>
        <w:t>A few patients described long term relationships with specialist nurses but these, on their own admission, rarely engaged in discussion of planning of end-of-life care and did not, from the accounts available in the study, have a deep knowledge or understanding of the patient’s wider circumstances and concerns.  Several HCP participants expressed surprise that they had been nominated to take part in the study because they had only brief or superficial contact with the patient. Few participants described a relationship with an HCP who could be described as occupying the role of ‘key worker’, a ‘go to’ person who helped them navigate the complexities of care and whose sense of being available enabled the patient and FCGs to feel ‘safe’ within the system.</w:t>
      </w:r>
      <w:r w:rsidRPr="000F7E56">
        <w:fldChar w:fldCharType="begin"/>
      </w:r>
      <w:r w:rsidR="000D5597">
        <w:instrText xml:space="preserve"> ADDIN ZOTERO_ITEM CSL_CITATION {"citationID":"a9pv2e2s3r","properties":{"formattedCitation":"\\super 196\\nosupersub{}","plainCitation":"196","noteIndex":0},"citationItems":[{"id":1899,"uris":["http://zotero.org/users/8748280/items/4797I3SU"],"itemData":{"id":1899,"type":"article-journal","container-title":"Health Services and Delivery Research","title":"Family and health care professionals managing medicines for patients with serious and terminal illness at home: a qualitative study.","volume":"9","author":[{"family":"Pollock","given":"K."},{"literal":"Caswell. G"},{"literal":"Avery, A.J"},{"literal":"Faull, C"}],"issued":{"literal":"In press"}}}],"schema":"https://github.com/citation-style-language/schema/raw/master/csl-citation.json"} </w:instrText>
      </w:r>
      <w:r w:rsidRPr="000F7E56">
        <w:fldChar w:fldCharType="separate"/>
      </w:r>
      <w:r w:rsidR="00496C3B" w:rsidRPr="00496C3B">
        <w:rPr>
          <w:rFonts w:ascii="Calibri" w:hAnsi="Calibri" w:cs="Calibri"/>
          <w:szCs w:val="24"/>
          <w:vertAlign w:val="superscript"/>
        </w:rPr>
        <w:t>196</w:t>
      </w:r>
      <w:r w:rsidRPr="000F7E56">
        <w:fldChar w:fldCharType="end"/>
      </w:r>
      <w:r w:rsidRPr="000F7E56">
        <w:t xml:space="preserve"> The experience of uncertainty, unfamiliarity and lack of information prompted a stance of vigilance on the part of relatives. A particular issue was the concern to ensure that cultural and religious practices relating to diet, hygiene, ritual purity and dignity should be observed during interactions with health and social care staff. For some families this was a motivation for refusing or limiting outside help. Hospitalisation was a particularly challenging experience, especially for older patients and those who were not fluent in speaking English. This is a known issue within the research and policy literature and should be on the agenda of all services to address</w:t>
      </w:r>
      <w:r w:rsidRPr="000F7E56">
        <w:rPr>
          <w:color w:val="4472C4" w:themeColor="accent1"/>
        </w:rPr>
        <w:t xml:space="preserve">. </w:t>
      </w:r>
    </w:p>
    <w:p w14:paraId="6945C6DF" w14:textId="40E14C67" w:rsidR="000F7E56" w:rsidRPr="000F7E56" w:rsidRDefault="000F7E56" w:rsidP="000F7E56">
      <w:pPr>
        <w:spacing w:line="360" w:lineRule="auto"/>
      </w:pPr>
      <w:r w:rsidRPr="000F7E56">
        <w:t>Participants’ experience of end-of-life care was shaped by the organisation of services relating to the patient’s illness and treatment needs and how these related to each other. This created subtle forms of disadvantage. Many different services and HCPs could be involved in each case and as the patient’s needs changed over time. However, some services, notably that for patients with MND, enabled a degree of continuity of care that was not available to most patients with cancer and other illnesses. In relation to other conditions, particularly cancer, patients tended to move through a process of referrals and to be seen by many different services and HCPs.</w:t>
      </w:r>
      <w:r w:rsidRPr="000F7E56">
        <w:fldChar w:fldCharType="begin"/>
      </w:r>
      <w:r w:rsidR="000D5597">
        <w:instrText xml:space="preserve"> ADDIN ZOTERO_ITEM CSL_CITATION {"citationID":"iEFDrfxm","properties":{"formattedCitation":"\\super 150\\nosupersub{}","plainCitation":"150","noteIndex":0},"citationItems":[{"id":1803,"uris":["http://zotero.org/users/8748280/items/7WT8QEV3"],"itemData":{"id":1803,"type":"article-journal","abstract":"In 1965, Glaser and Strauss (1965) offered the concept of \"awareness contexts\" to explain what patients in hospitals do or don't know about their death trajectories. Awareness ranges from closed (where patients are completely unaware and family and providers protect \"the secret\") to open (where all parties communicate openly and honestly). While closed awareness was the norm in 1960s, open awareness is now considered standard practice in US, a reflection of mounting evidence that patients, families, and providers benefit from clear and honest communication at end of life (Seale et al., 1997; Wright et al., 2008). Despite the known benefits of open awareness, many terminal patients remain unaware or confused about their prognoses (Chen et al., 2017). This paper asks why, in an era of open awareness, are patients and families uncertain about dying? To answer this question, we focus on an aspect of Glaser and Strauss's theory that remains relatively understudied by researchers, namely the role of institutional and organizational realities in shaping awareness contexts. Based on interviews with 43 family members of deceased patients who died at General Hospital in the Midwestern US, we argue that two related conditions in hospitals-the increased specialization of medical professionals and the fragmentation of patient care-serve as important context for the death awareness of patients and families.","container-title":"Social Science &amp; Medicine (1982)","DOI":"10.1016/j.socscimed.2018.10.028","ISSN":"1873-5347","journalAbbreviation":"Soc Sci Med","language":"eng","note":"PMID: 30458430","page":"212-218","source":"PubMed","title":"Revisiting 'awareness contexts' in the 21st century hospital: How fragmented and specialized care shape patients' Awareness of Dying","title-short":"Revisiting 'awareness contexts' in the 21st century hospital","volume":"220","author":[{"family":"Stacey","given":"Clare L."},{"family":"Pai","given":"Manacy"},{"family":"Novisky","given":"Meghan A."},{"family":"Radwany","given":"Steven M."}],"issued":{"date-parts":[["2019",1]]}}}],"schema":"https://github.com/citation-style-language/schema/raw/master/csl-citation.json"} </w:instrText>
      </w:r>
      <w:r w:rsidRPr="000F7E56">
        <w:fldChar w:fldCharType="separate"/>
      </w:r>
      <w:r w:rsidR="000D5597" w:rsidRPr="000D5597">
        <w:rPr>
          <w:rFonts w:ascii="Calibri" w:hAnsi="Calibri" w:cs="Times New Roman"/>
          <w:szCs w:val="24"/>
          <w:vertAlign w:val="superscript"/>
        </w:rPr>
        <w:t>150</w:t>
      </w:r>
      <w:r w:rsidRPr="000F7E56">
        <w:fldChar w:fldCharType="end"/>
      </w:r>
      <w:r w:rsidRPr="000F7E56">
        <w:t xml:space="preserve"> Participants described complex processes of referral to different types of test and treatment and discontinuity of care and poor communication between staff from different services. It was not clear to individual patients, FCGS or HCPs what different individuals knew or had been told and discussed with others. In addition, the boundaries of responsibility for discussing end-of-life care planning were not clearly demarcated.  </w:t>
      </w:r>
    </w:p>
    <w:p w14:paraId="34EB53BF" w14:textId="77777777" w:rsidR="000F7E56" w:rsidRPr="000F7E56" w:rsidRDefault="000F7E56" w:rsidP="000F7E56">
      <w:pPr>
        <w:spacing w:line="360" w:lineRule="auto"/>
      </w:pPr>
      <w:r w:rsidRPr="000F7E56">
        <w:t xml:space="preserve">These are likely contributory factors underlying the reported vagueness of professional communication. In addition, patients and FCGs described their frustration at constantly having to tell and retell their story to the different HCPs they encountered during consultations and their sense of not ‘being known’ within the system, or the system ‘not knowing’ where patients were at any point in their process of care and referral.  A great deal could hinge on chance encounters with individual HCPs - at any point in the treatment process – who proved to be a particularly forthcoming and effective communicator. However, patients had no means of maintaining contact with such helpful individuals, who were likely to be replaced by other colleagues during subsequent appointments and consultations. </w:t>
      </w:r>
    </w:p>
    <w:p w14:paraId="42F88E18" w14:textId="77777777" w:rsidR="000F7E56" w:rsidRPr="000F7E56" w:rsidRDefault="000F7E56" w:rsidP="000F7E56">
      <w:pPr>
        <w:spacing w:line="360" w:lineRule="auto"/>
      </w:pPr>
      <w:r w:rsidRPr="000F7E56">
        <w:lastRenderedPageBreak/>
        <w:t xml:space="preserve">The centrality of effective care coordination in easing the experience of families negotiating their way through a complex system of health care was evident in the specialist MND nurse’s account of her role as a Key Worker accompanying patients from the moment of referral after diagnosis to the end-of-life. The study findings also highlighted the variability and ambiguity of the FCG’s role as advocate and decision maker for the patient especially when they additionally take on, or are co-opted into, the role of translators in medical consultations.  </w:t>
      </w:r>
    </w:p>
    <w:p w14:paraId="5470020A" w14:textId="5890EE06" w:rsidR="000F7E56" w:rsidRDefault="0004294B" w:rsidP="000F7E56">
      <w:pPr>
        <w:keepNext/>
        <w:keepLines/>
        <w:spacing w:before="40" w:after="0" w:line="360" w:lineRule="auto"/>
        <w:outlineLvl w:val="1"/>
        <w:rPr>
          <w:rFonts w:asciiTheme="majorHAnsi" w:eastAsiaTheme="majorEastAsia" w:hAnsiTheme="majorHAnsi" w:cstheme="majorBidi"/>
          <w:color w:val="2F5496" w:themeColor="accent1" w:themeShade="BF"/>
          <w:sz w:val="24"/>
          <w:szCs w:val="24"/>
        </w:rPr>
      </w:pPr>
      <w:bookmarkStart w:id="422" w:name="_Toc106697859"/>
      <w:r>
        <w:rPr>
          <w:rFonts w:asciiTheme="majorHAnsi" w:eastAsiaTheme="majorEastAsia" w:hAnsiTheme="majorHAnsi" w:cstheme="majorBidi"/>
          <w:color w:val="2F5496" w:themeColor="accent1" w:themeShade="BF"/>
          <w:sz w:val="24"/>
          <w:szCs w:val="24"/>
        </w:rPr>
        <w:t xml:space="preserve">Being Known: </w:t>
      </w:r>
      <w:r w:rsidR="000F7E56" w:rsidRPr="000F7E56">
        <w:rPr>
          <w:rFonts w:asciiTheme="majorHAnsi" w:eastAsiaTheme="majorEastAsia" w:hAnsiTheme="majorHAnsi" w:cstheme="majorBidi"/>
          <w:color w:val="2F5496" w:themeColor="accent1" w:themeShade="BF"/>
          <w:sz w:val="24"/>
          <w:szCs w:val="24"/>
        </w:rPr>
        <w:t>Summary of Work Stream 1 and Work Stream 2 findings</w:t>
      </w:r>
      <w:bookmarkEnd w:id="422"/>
    </w:p>
    <w:p w14:paraId="6A271040" w14:textId="77777777" w:rsidR="00DA32BF" w:rsidRPr="000F7E56" w:rsidRDefault="00DA32BF" w:rsidP="000F7E56">
      <w:pPr>
        <w:keepNext/>
        <w:keepLines/>
        <w:spacing w:before="40" w:after="0" w:line="360" w:lineRule="auto"/>
        <w:outlineLvl w:val="1"/>
        <w:rPr>
          <w:rFonts w:asciiTheme="majorHAnsi" w:eastAsiaTheme="majorEastAsia" w:hAnsiTheme="majorHAnsi" w:cstheme="majorBidi"/>
          <w:color w:val="2F5496" w:themeColor="accent1" w:themeShade="BF"/>
          <w:sz w:val="24"/>
          <w:szCs w:val="24"/>
        </w:rPr>
      </w:pPr>
    </w:p>
    <w:p w14:paraId="680B12DF" w14:textId="1EF93043" w:rsidR="000F7E56" w:rsidRPr="000F7E56" w:rsidRDefault="000F7E56" w:rsidP="000F7E56">
      <w:pPr>
        <w:spacing w:line="360" w:lineRule="auto"/>
      </w:pPr>
      <w:r w:rsidRPr="000F7E56">
        <w:t xml:space="preserve">FCGs and HCPs often oriented to a positive recovery orientation unless and until the patient’s condition deteriorated to an extent that the imminence of death was clearly apparent. For some patients not knowing their poor prognosis was a prerequisite for maintaining hope, optimism, and engagement. Even in specialist community and hospice settings, professionals described not raising discussion of future goals of care or end-of-life care planning until the illness was at an advanced stage. However, it could be hard for the minority of patients who </w:t>
      </w:r>
      <w:r w:rsidRPr="000F7E56">
        <w:rPr>
          <w:i/>
          <w:iCs/>
        </w:rPr>
        <w:t>did</w:t>
      </w:r>
      <w:r w:rsidRPr="000F7E56">
        <w:t xml:space="preserve"> wish to be fully informed about their illness to establish a clear prognosis.  Moreover, there is a risk that in leaving discussion of EOLC until patients are ‘ready’, or at least very close to death, professionals may never initiate a conversation which would have been of value, as some </w:t>
      </w:r>
      <w:r w:rsidR="00A11180">
        <w:t xml:space="preserve">BFCGs </w:t>
      </w:r>
      <w:r w:rsidRPr="000F7E56">
        <w:t xml:space="preserve">subsequently reflected to be the case. Thus, there is a tension between the need to respect patient preferences, the negative consequences of revealing information about the future for which the patient and FCGs may not be ready, and the adverse consequences of families being confronted by crisis situations for which they are not prepared. </w:t>
      </w:r>
    </w:p>
    <w:p w14:paraId="0BDFDBAB" w14:textId="77777777" w:rsidR="000F7E56" w:rsidRPr="000F7E56" w:rsidRDefault="000F7E56" w:rsidP="000F7E56">
      <w:pPr>
        <w:spacing w:line="360" w:lineRule="auto"/>
      </w:pPr>
      <w:r w:rsidRPr="000F7E56">
        <w:t xml:space="preserve">The clinical setting had a significant impact on the experience and content of thinking ahead discussions. Families found being put under pressure to make decisions about whether their acutely ill relatives should undergo resuscitation following the stress of unscheduled hospital admission very difficult, and described professionals being brusque and lacking in empathy. In contrast, where professionals in community settings, GPs or nurses, took on board the need for the patient and family to engage in end-of-life care planning and made time specifically for this purpose, participants reported a more positive experience. </w:t>
      </w:r>
    </w:p>
    <w:p w14:paraId="25FADCC1" w14:textId="77777777" w:rsidR="000F7E56" w:rsidRPr="000F7E56" w:rsidRDefault="000F7E56" w:rsidP="000F7E56">
      <w:pPr>
        <w:spacing w:line="360" w:lineRule="auto"/>
      </w:pPr>
      <w:r w:rsidRPr="000F7E56">
        <w:t xml:space="preserve">A key issue is the very varying experiences of care reported within a complex system – including the type of illness, the services referred to, the relationship with individual professionals, experience of continuity or fragmentation of care, and the nature and availability of family support. In the absence of any clear demarcation of responsibility for staff to raise the topic of end-of-life care planning, including in community and palliative care services and hospice, staff may be wary of raising the issue. This is possibly for good reason, since their judgement seems to be in accord with the preferences of many patients. However, some individuals were frustrated or felt disadvantaged by not being able to find a professional who would tell </w:t>
      </w:r>
      <w:r w:rsidRPr="000F7E56">
        <w:lastRenderedPageBreak/>
        <w:t xml:space="preserve">them what they wanted to know. The outcome may be (a possibly needless) anxiety or being misled into a false sense of security. </w:t>
      </w:r>
    </w:p>
    <w:p w14:paraId="23F3A358" w14:textId="77777777" w:rsidR="000F7E56" w:rsidRPr="000F7E56" w:rsidRDefault="000F7E56" w:rsidP="000F7E56">
      <w:pPr>
        <w:spacing w:line="360" w:lineRule="auto"/>
      </w:pPr>
      <w:r w:rsidRPr="000F7E56">
        <w:t xml:space="preserve">Many participants oriented to a collectivist or shared model of decision-making and responsibility regarding end-of-life care. This gave rise to tensions within some families and highlights the different agendas and values with which patients and family members may be operating. It contrasts with the foregrounding of individual autonomy and best interests embedded in consent and decision-making processes in health care including EOLCP. Patients’ primary motivation in thinking ahead was often to protect their significant others in lessening the burden of care and responsibility resulting from their illness. These responses apply to all sections of the population but have been highlighted in this study of patients and FCGs from ED populations. </w:t>
      </w:r>
    </w:p>
    <w:p w14:paraId="54CE2888" w14:textId="084E07CE" w:rsidR="000F7E56" w:rsidRPr="000F7E56" w:rsidRDefault="000F7E56" w:rsidP="000F7E56">
      <w:pPr>
        <w:spacing w:line="360" w:lineRule="auto"/>
      </w:pPr>
      <w:r w:rsidRPr="000F7E56">
        <w:t>In contrast to ‘the logic of choice’ Mol has proposed that healthcare be informed by ‘the logic of care’. This underlines the limitations and precarity of forward planning based on formulaic tasks and oversimplified decisions. Instead, professionals need to engage with uncertainty - their own as well as patients’ – and to exercise curiosity about patient agendas and their perspectives and goals regarding knowledge of their prognosis and future care.</w:t>
      </w:r>
      <w:r w:rsidRPr="000F7E56">
        <w:fldChar w:fldCharType="begin"/>
      </w:r>
      <w:r w:rsidR="000D5597">
        <w:instrText xml:space="preserve"> ADDIN ZOTERO_ITEM CSL_CITATION {"citationID":"a2j48cijtod","properties":{"formattedCitation":"\\super 140\\nosupersub{}","plainCitation":"140","noteIndex":0},"citationItems":[{"id":1769,"uris":["http://zotero.org/users/8748280/items/QPP6JD6N"],"itemData":{"id":1769,"type":"webpage","abstract":"**Shortlisted for the BSA Sociology of Health and Illness Book Prize 2010**What is good care? In this innovative and compelling book, Annemarie Mol argues that good care has little to do with 'patient choice' and, therefore, creating more opportunities for patient choice will not improve health care.\n\nAlthough it is possible to treat people who seek professional help as customers or citizens, Mol argues that this undermines ways of thinking and acting crucial to health care. Illustrating the dis","container-title":"Routledge &amp; CRC Press","language":"en","title":"The Logic of Care: Health and the Problem of Patient Choice","title-short":"The Logic of Care","URL":"https://www.routledge.com/The-Logic-of-Care-Health-and-the-Problem-of-Patient-Choice/Mol/p/book/9780415453431","author":[{"family":"Moll, Annemarie","given":""}],"accessed":{"date-parts":[["2021",12,8]]}}}],"schema":"https://github.com/citation-style-language/schema/raw/master/csl-citation.json"} </w:instrText>
      </w:r>
      <w:r w:rsidRPr="000F7E56">
        <w:fldChar w:fldCharType="separate"/>
      </w:r>
      <w:r w:rsidR="000D5597" w:rsidRPr="000D5597">
        <w:rPr>
          <w:rFonts w:ascii="Calibri" w:hAnsi="Calibri" w:cs="Times New Roman"/>
          <w:szCs w:val="24"/>
          <w:vertAlign w:val="superscript"/>
        </w:rPr>
        <w:t>140</w:t>
      </w:r>
      <w:r w:rsidRPr="000F7E56">
        <w:fldChar w:fldCharType="end"/>
      </w:r>
      <w:r w:rsidRPr="000F7E56">
        <w:t xml:space="preserve"> Decisions may be pragmatic, provisional, tentative and changing, as patients learn how they respond to situations which may have been previously beyond their imagination. The professional’s role is to accompany the family in the moment and support their readiness to deal with challenges and the decisions that need to be made as these arise.</w:t>
      </w:r>
      <w:r w:rsidRPr="000F7E56">
        <w:fldChar w:fldCharType="begin"/>
      </w:r>
      <w:r w:rsidR="000D5597">
        <w:instrText xml:space="preserve"> ADDIN ZOTERO_ITEM CSL_CITATION {"citationID":"ak2086sf9q","properties":{"formattedCitation":"\\super 75,197\\nosupersub{}","plainCitation":"75,197","noteIndex":0},"citationItems":[{"id":1820,"uris":["http://zotero.org/users/8748280/items/GUKJ5K6W"],"itemData":{"id":1820,"type":"article-journal","abstract":"The traditional objective of advance care planning has been to have patients make treatment decisions in advance so that clinicians can attempt to provide care consistent with their goals. The authors contend that the objective for advance care planning ought to be the preparation of patients and surrogates to participate with clinicians in making the best possible in-the-moment medical decisions. They provide practical steps for clinicians to help patients and surrogate decision makers achieve this objective in the outpatient setting. Preparation for in-the-moment decision making shifts the focus from having patients make premature decisions based on incomplete information to preparing them and their surrogates for the types of decisions and conflicts they may encounter when they do have to make in-the-moment decisions. Advance directives, although important, are just one piece of information to be used at the time of decision making.","container-title":"Annals of Internal Medicine","DOI":"10.7326/0003-4819-153-4-201008170-00008","ISSN":"1539-3704","issue":"4","journalAbbreviation":"Ann Intern Med","language":"eng","note":"PMID: 20713793\nPMCID: PMC2935810","page":"256-261","source":"PubMed","title":"Redefining the \"planning\" in advance care planning: preparing for end-of-life decision making","title-short":"Redefining the \"planning\" in advance care planning","volume":"153","author":[{"family":"Sudore","given":"Rebecca L."},{"family":"Fried","given":"Terri R."}],"issued":{"date-parts":[["2010",8,17]]}}},{"id":"aZbwIlcN/ixzzP0d4","uris":["http://zotero.org/users/6587080/items/FMPAAJBE"],"itemData":{"id":"6w8TFr6W/vyKE6WNl","type":"article-journal","abstract":"Background: Advance care planning (ACP) enables patients to consider, discuss and, if they wish, document their wishes and preferences for future care, including decisions to refuse treatment, in the event that they lose capacity to make decisions for themselves. ACP is a key component of UK health policy to improve the experience of death and dying for patients and their families. There is limited evidence about how patients and health professionals understand ACP, or when and how this is initiated. It is evident that many people find discussion of and planning for end of life care difficult, and tend to avoid the topic. Aim: To investigate how patients, their relatives and health professionals initiate and experience discussion of ACP and the outcomes of advance discussions in shaping care at the end of life. Design and data collection: Qualitative study with two workstreams: (1) interviews with 37 health professionals (general practitioners, specialist nurses and community nurses) about their experiences of ACP; and (2) longitudinal case studies of 21 patients with 6-month follow-up. Cases included a patient and, where possible, a nominated key relative and/or health professional as well as a review of medical records. Complete case triads were obtained for 11 patients. Four cases comprised the patient alone, where respondents were unable or unwilling to nominate either a family member or a professional carer they wished to include in the study. Patients were identified as likely to be within the last 6 months of life. Ninety-seven interviews were completed in total. Setting: General practices and community care settings in the East Midlands of England. Findings: The study found ACP to be uncommon and focused primarily on specific documented tasks involving decisions about preferred place of death and cardiopulmonary resuscitation, supporting earlier research. There was no evidence of ACP in nearly half (9 of 21) of patient cases. Professionals reported ACP discussions to be challenging. It was difficult to recognise when patients had entered the last year of life, or to identify their readiness to consider future planning. Patients often did not wish to do so before they had become gravely ill. Consequently, ACP discussions tended to be reactive, rather than pre-emptive, occurring in response to critical events or evidence of marked deterioration. ACP discussions intersected two parallel strands of planning: professional organisation and co-ordination of care; and the practical and emotional preparatory work that patients and families undertook to prepare themselves for death. Reference to ACP as a means of guiding decisions for patients who had lost capacity was rare. Conclusions: Advance care planning remains uncommon, is often limited to documentation of a few key decisions, is reported to be challenging by many health professionals, is not welcomed by a substantial number of patients and tends to be postponed until death is clearly imminent. Current implementation largely ignores the purpose of ACP as a means of extending personal autonomy in the event of lost capacity. Future work: Attention should be paid to public attitudes to death and dying (including those of culturally diverse and ethnic minority groups), place of death, resuscitation and the value of anticipatory planning. In addition the experiences and needs of two under-researched groups should be explored: the frail elderly, including those who manage complex comorbid conditions, unrecognised as vulnerable cases; and those patients affected by stigmatised conditions, such as substance abuse or serious mental illness who fail to engage constructively with services and are not recognised as suitable referrals for palliative and end of life care. Funding: The National Institute for Health Research Health Services and Delivery Research programme.","container-title":"Health Services and Delivery Research","DOI":"10.3310/hsdr03310","ISSN":"2050-4349","issue":"31","language":"eng","page":"1-138","source":"librarysearch.le.ac.uk","title":"Care and communication between health professionals and patients affected by severe or chronic illness in community care settings: a qualitative study of care at the end of life","title-short":"Care and communication between health professionals and patients affected by severe or chronic illness in community care settings","volume":"3","author":[{"family":"Pollock","given":"Kristian"},{"family":"Wilson","given":"Eleanor"}],"issued":{"date-parts":[["2015"]]}}}],"schema":"https://github.com/citation-style-language/schema/raw/master/csl-citation.json"} </w:instrText>
      </w:r>
      <w:r w:rsidRPr="000F7E56">
        <w:fldChar w:fldCharType="separate"/>
      </w:r>
      <w:r w:rsidR="00496C3B" w:rsidRPr="00496C3B">
        <w:rPr>
          <w:rFonts w:ascii="Calibri" w:hAnsi="Calibri" w:cs="Calibri"/>
          <w:szCs w:val="24"/>
          <w:vertAlign w:val="superscript"/>
        </w:rPr>
        <w:t>75,197</w:t>
      </w:r>
      <w:r w:rsidRPr="000F7E56">
        <w:fldChar w:fldCharType="end"/>
      </w:r>
    </w:p>
    <w:p w14:paraId="5DE3F709" w14:textId="51DFEBEC" w:rsidR="00DE6BA0" w:rsidRDefault="000F7E56" w:rsidP="000F7E56">
      <w:pPr>
        <w:spacing w:line="360" w:lineRule="auto"/>
      </w:pPr>
      <w:r w:rsidRPr="000F7E56">
        <w:t xml:space="preserve">However, the current configuration of services makes it difficult for patients to experience sufficient continuity and consistency of care and for professionals to develop sufficient knowledge of the person to generate the trust required for patients to feel </w:t>
      </w:r>
      <w:proofErr w:type="spellStart"/>
      <w:r w:rsidRPr="000F7E56">
        <w:t>confiden</w:t>
      </w:r>
      <w:r w:rsidR="00624B0C">
        <w:t>t</w:t>
      </w:r>
      <w:r w:rsidRPr="000F7E56">
        <w:t>in</w:t>
      </w:r>
      <w:proofErr w:type="spellEnd"/>
      <w:r w:rsidRPr="000F7E56">
        <w:t xml:space="preserve"> their support</w:t>
      </w:r>
      <w:r w:rsidR="0004294B">
        <w:t xml:space="preserve">.  </w:t>
      </w:r>
      <w:r w:rsidR="00624B0C">
        <w:t>‘</w:t>
      </w:r>
      <w:r w:rsidR="0004294B">
        <w:t>Being known</w:t>
      </w:r>
      <w:r w:rsidR="00624B0C">
        <w:t>’</w:t>
      </w:r>
      <w:r w:rsidR="0004294B">
        <w:t xml:space="preserve"> and </w:t>
      </w:r>
      <w:r w:rsidR="00624B0C">
        <w:t xml:space="preserve">‘being </w:t>
      </w:r>
      <w:r w:rsidR="0004294B">
        <w:t>seen</w:t>
      </w:r>
      <w:r w:rsidR="00624B0C">
        <w:t>’</w:t>
      </w:r>
      <w:r w:rsidR="0004294B">
        <w:t xml:space="preserve"> is a key desire of patients and an enabler to good care including personalisation of discussions about deterioration and planning care for the end of life.  Our model of the determinants of  ‘being known’  and the enablers to this </w:t>
      </w:r>
      <w:r w:rsidR="00677629">
        <w:t xml:space="preserve">is </w:t>
      </w:r>
      <w:r w:rsidR="0004294B">
        <w:t xml:space="preserve">derived from </w:t>
      </w:r>
      <w:r w:rsidR="00677629">
        <w:t xml:space="preserve"> the study </w:t>
      </w:r>
      <w:r w:rsidR="0004294B">
        <w:t xml:space="preserve"> data </w:t>
      </w:r>
      <w:r w:rsidRPr="000F7E56">
        <w:t>Figure 5.</w:t>
      </w:r>
    </w:p>
    <w:p w14:paraId="03F5C0C7" w14:textId="4B3225E1" w:rsidR="000F7E56" w:rsidRPr="000F7E56" w:rsidRDefault="000F7E56" w:rsidP="000F7E56">
      <w:pPr>
        <w:spacing w:line="360" w:lineRule="auto"/>
      </w:pPr>
      <w:r w:rsidRPr="000F7E56">
        <w:t xml:space="preserve"> We have suggested that an allocated keyworker could be a valuable resource in providing continuity and helping patients, especially those experiencing additional vulnerabilities and inequities, navigate the complexities of health care and to translate between language and culture. It turns out, unsurprisingly that at a macro level good care looks the same largely regardless of ethnicity; personalised, compassionate, holistic and safe. Understanding participants’ experience and aspirations for care in the Thinking Ahead study provides a powerful lens through which to view and calibrate these components and the nuances of care for all patients confronting end-of-life. </w:t>
      </w:r>
    </w:p>
    <w:p w14:paraId="05F13DD5" w14:textId="77777777" w:rsidR="000F7E56" w:rsidRPr="000F7E56" w:rsidRDefault="000F7E56" w:rsidP="000F7E56">
      <w:pPr>
        <w:keepNext/>
        <w:keepLines/>
        <w:spacing w:before="240" w:after="0" w:line="360" w:lineRule="auto"/>
        <w:outlineLvl w:val="0"/>
        <w:rPr>
          <w:rFonts w:asciiTheme="majorHAnsi" w:eastAsiaTheme="majorEastAsia" w:hAnsiTheme="majorHAnsi" w:cstheme="majorBidi"/>
          <w:color w:val="2F5496" w:themeColor="accent1" w:themeShade="BF"/>
          <w:sz w:val="32"/>
          <w:szCs w:val="32"/>
        </w:rPr>
      </w:pPr>
    </w:p>
    <w:p w14:paraId="12DDB5F3" w14:textId="77777777" w:rsidR="000F7E56" w:rsidRPr="000F7E56" w:rsidRDefault="000F7E56" w:rsidP="000F7E56">
      <w:pPr>
        <w:spacing w:after="120" w:line="360" w:lineRule="auto"/>
        <w:ind w:left="714"/>
        <w:contextualSpacing/>
      </w:pPr>
    </w:p>
    <w:p w14:paraId="5E99ED23" w14:textId="77777777" w:rsidR="000F7E56" w:rsidRPr="000F7E56" w:rsidRDefault="000F7E56" w:rsidP="000F7E56"/>
    <w:p w14:paraId="522B4AF4" w14:textId="77777777" w:rsidR="000F7E56" w:rsidRPr="000F7E56" w:rsidRDefault="000F7E56" w:rsidP="000F7E56">
      <w:pPr>
        <w:ind w:left="720"/>
        <w:rPr>
          <w:b/>
        </w:rPr>
      </w:pPr>
      <w:bookmarkStart w:id="423" w:name="_Hlk86233200"/>
      <w:r w:rsidRPr="000F7E56">
        <w:rPr>
          <w:b/>
          <w:noProof/>
          <w:lang w:eastAsia="en-GB"/>
        </w:rPr>
        <w:drawing>
          <wp:inline distT="0" distB="0" distL="0" distR="0" wp14:anchorId="0397990F" wp14:editId="69D79017">
            <wp:extent cx="5731510" cy="4359910"/>
            <wp:effectExtent l="0" t="0" r="2540" b="2540"/>
            <wp:docPr id="16" name="Picture 15" descr="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5" descr="Timeline&#10;&#10;Description automatically generated"/>
                    <pic:cNvPicPr>
                      <a:picLocks noChangeAspect="1"/>
                    </pic:cNvPicPr>
                  </pic:nvPicPr>
                  <pic:blipFill>
                    <a:blip r:embed="rId29"/>
                    <a:stretch>
                      <a:fillRect/>
                    </a:stretch>
                  </pic:blipFill>
                  <pic:spPr>
                    <a:xfrm>
                      <a:off x="0" y="0"/>
                      <a:ext cx="5731510" cy="4359910"/>
                    </a:xfrm>
                    <a:prstGeom prst="rect">
                      <a:avLst/>
                    </a:prstGeom>
                  </pic:spPr>
                </pic:pic>
              </a:graphicData>
            </a:graphic>
          </wp:inline>
        </w:drawing>
      </w:r>
    </w:p>
    <w:bookmarkEnd w:id="423"/>
    <w:p w14:paraId="61E75A6A" w14:textId="77777777" w:rsidR="000F7E56" w:rsidRPr="000F7E56" w:rsidRDefault="000F7E56" w:rsidP="000F7E56">
      <w:pPr>
        <w:ind w:left="720"/>
      </w:pPr>
    </w:p>
    <w:p w14:paraId="0384844E" w14:textId="77777777" w:rsidR="000F7E56" w:rsidRPr="000F7E56" w:rsidRDefault="000F7E56" w:rsidP="000F7E56">
      <w:pPr>
        <w:keepNext/>
        <w:spacing w:after="200" w:line="240" w:lineRule="auto"/>
        <w:jc w:val="both"/>
        <w:rPr>
          <w:rFonts w:cstheme="minorHAnsi"/>
          <w:iCs/>
          <w:color w:val="44546A" w:themeColor="text2"/>
        </w:rPr>
      </w:pPr>
      <w:bookmarkStart w:id="424" w:name="_Toc89966703"/>
      <w:bookmarkStart w:id="425" w:name="_Toc90545004"/>
      <w:r w:rsidRPr="000F7E56">
        <w:rPr>
          <w:rFonts w:cstheme="minorHAnsi"/>
          <w:iCs/>
          <w:color w:val="44546A" w:themeColor="text2"/>
        </w:rPr>
        <w:t xml:space="preserve">FIGURE </w:t>
      </w:r>
      <w:r w:rsidRPr="000F7E56">
        <w:rPr>
          <w:rFonts w:cstheme="minorHAnsi"/>
          <w:iCs/>
          <w:color w:val="44546A" w:themeColor="text2"/>
        </w:rPr>
        <w:fldChar w:fldCharType="begin"/>
      </w:r>
      <w:r w:rsidRPr="000F7E56">
        <w:rPr>
          <w:rFonts w:cstheme="minorHAnsi"/>
          <w:iCs/>
          <w:color w:val="44546A" w:themeColor="text2"/>
        </w:rPr>
        <w:instrText xml:space="preserve"> SEQ Figure \* ARABIC </w:instrText>
      </w:r>
      <w:r w:rsidRPr="000F7E56">
        <w:rPr>
          <w:rFonts w:cstheme="minorHAnsi"/>
          <w:iCs/>
          <w:color w:val="44546A" w:themeColor="text2"/>
        </w:rPr>
        <w:fldChar w:fldCharType="separate"/>
      </w:r>
      <w:r w:rsidRPr="000F7E56">
        <w:rPr>
          <w:rFonts w:cstheme="minorHAnsi"/>
          <w:iCs/>
          <w:noProof/>
          <w:color w:val="44546A" w:themeColor="text2"/>
        </w:rPr>
        <w:t>5</w:t>
      </w:r>
      <w:r w:rsidRPr="000F7E56">
        <w:rPr>
          <w:rFonts w:cstheme="minorHAnsi"/>
          <w:iCs/>
          <w:noProof/>
          <w:color w:val="44546A" w:themeColor="text2"/>
        </w:rPr>
        <w:fldChar w:fldCharType="end"/>
      </w:r>
      <w:r w:rsidRPr="000F7E56">
        <w:rPr>
          <w:rFonts w:cstheme="minorHAnsi"/>
          <w:iCs/>
          <w:color w:val="44546A" w:themeColor="text2"/>
        </w:rPr>
        <w:t xml:space="preserve"> - Enablers to 'knowing' ED patients and families to optimise end-of-life care</w:t>
      </w:r>
      <w:bookmarkEnd w:id="424"/>
      <w:bookmarkEnd w:id="425"/>
    </w:p>
    <w:p w14:paraId="0DD4581D" w14:textId="77777777" w:rsidR="000F7E56" w:rsidRPr="000F7E56" w:rsidRDefault="000F7E56" w:rsidP="000F7E56"/>
    <w:p w14:paraId="56880CFC" w14:textId="77777777" w:rsidR="000F7E56" w:rsidRPr="000F7E56" w:rsidRDefault="000F7E56" w:rsidP="000F7E56">
      <w:pPr>
        <w:autoSpaceDE w:val="0"/>
        <w:autoSpaceDN w:val="0"/>
        <w:adjustRightInd w:val="0"/>
        <w:spacing w:after="0" w:line="360" w:lineRule="auto"/>
        <w:rPr>
          <w:rFonts w:cs="Arial"/>
        </w:rPr>
      </w:pPr>
    </w:p>
    <w:p w14:paraId="3C670C32" w14:textId="77777777" w:rsidR="000F7E56" w:rsidRPr="000F7E56" w:rsidRDefault="000F7E56" w:rsidP="000F7E56">
      <w:pPr>
        <w:autoSpaceDE w:val="0"/>
        <w:autoSpaceDN w:val="0"/>
        <w:adjustRightInd w:val="0"/>
        <w:spacing w:after="0" w:line="360" w:lineRule="auto"/>
        <w:rPr>
          <w:rFonts w:cs="Arial"/>
        </w:rPr>
      </w:pPr>
    </w:p>
    <w:p w14:paraId="584B9C2D" w14:textId="77777777" w:rsidR="000F7E56" w:rsidRPr="000F7E56" w:rsidRDefault="000F7E56" w:rsidP="000F7E56">
      <w:pPr>
        <w:autoSpaceDE w:val="0"/>
        <w:autoSpaceDN w:val="0"/>
        <w:adjustRightInd w:val="0"/>
        <w:spacing w:after="0" w:line="360" w:lineRule="auto"/>
        <w:rPr>
          <w:rFonts w:asciiTheme="majorHAnsi" w:hAnsiTheme="majorHAnsi" w:cs="Arial"/>
          <w:b/>
          <w:sz w:val="28"/>
          <w:szCs w:val="28"/>
        </w:rPr>
      </w:pPr>
    </w:p>
    <w:p w14:paraId="67B34529" w14:textId="14BD18F2" w:rsidR="000F7E56" w:rsidRDefault="0004294B" w:rsidP="000F7E56">
      <w:pPr>
        <w:keepNext/>
        <w:keepLines/>
        <w:spacing w:after="120" w:line="360" w:lineRule="auto"/>
        <w:outlineLvl w:val="1"/>
        <w:rPr>
          <w:rFonts w:asciiTheme="majorHAnsi" w:eastAsiaTheme="majorEastAsia" w:hAnsiTheme="majorHAnsi" w:cstheme="majorBidi"/>
          <w:color w:val="2F5496" w:themeColor="accent1" w:themeShade="BF"/>
          <w:sz w:val="24"/>
          <w:szCs w:val="24"/>
        </w:rPr>
      </w:pPr>
      <w:bookmarkStart w:id="426" w:name="_Toc106697860"/>
      <w:r>
        <w:rPr>
          <w:rFonts w:asciiTheme="majorHAnsi" w:eastAsiaTheme="majorEastAsia" w:hAnsiTheme="majorHAnsi" w:cstheme="majorBidi"/>
          <w:color w:val="2F5496" w:themeColor="accent1" w:themeShade="BF"/>
          <w:sz w:val="24"/>
          <w:szCs w:val="24"/>
        </w:rPr>
        <w:t xml:space="preserve">Stakeholders views on the </w:t>
      </w:r>
      <w:r w:rsidR="000F7E56" w:rsidRPr="000F7E56">
        <w:rPr>
          <w:rFonts w:asciiTheme="majorHAnsi" w:eastAsiaTheme="majorEastAsia" w:hAnsiTheme="majorHAnsi" w:cstheme="majorBidi"/>
          <w:color w:val="2F5496" w:themeColor="accent1" w:themeShade="BF"/>
          <w:sz w:val="24"/>
          <w:szCs w:val="24"/>
        </w:rPr>
        <w:t xml:space="preserve">barriers and enablers to ED patients, FCGs and HCPs engaging in </w:t>
      </w:r>
      <w:r w:rsidR="00DA32BF">
        <w:rPr>
          <w:rFonts w:asciiTheme="majorHAnsi" w:eastAsiaTheme="majorEastAsia" w:hAnsiTheme="majorHAnsi" w:cstheme="majorBidi"/>
          <w:color w:val="2F5496" w:themeColor="accent1" w:themeShade="BF"/>
          <w:sz w:val="24"/>
          <w:szCs w:val="24"/>
        </w:rPr>
        <w:t>end-of-life care planning</w:t>
      </w:r>
      <w:bookmarkEnd w:id="426"/>
    </w:p>
    <w:p w14:paraId="00209570" w14:textId="00E1A98C" w:rsidR="0004294B" w:rsidRPr="00D74EFC" w:rsidRDefault="0004294B" w:rsidP="000F7E56">
      <w:pPr>
        <w:keepNext/>
        <w:keepLines/>
        <w:spacing w:after="120" w:line="360" w:lineRule="auto"/>
        <w:outlineLvl w:val="1"/>
        <w:rPr>
          <w:rFonts w:asciiTheme="majorHAnsi" w:eastAsiaTheme="majorEastAsia" w:hAnsiTheme="majorHAnsi" w:cstheme="majorBidi"/>
          <w:sz w:val="24"/>
          <w:szCs w:val="24"/>
        </w:rPr>
      </w:pPr>
      <w:bookmarkStart w:id="427" w:name="_Toc106697861"/>
      <w:r w:rsidRPr="00D74EFC">
        <w:rPr>
          <w:rFonts w:asciiTheme="majorHAnsi" w:eastAsiaTheme="majorEastAsia" w:hAnsiTheme="majorHAnsi" w:cstheme="majorBidi"/>
          <w:sz w:val="24"/>
          <w:szCs w:val="24"/>
        </w:rPr>
        <w:t>Key barriers</w:t>
      </w:r>
      <w:bookmarkEnd w:id="427"/>
    </w:p>
    <w:p w14:paraId="6371156D" w14:textId="77777777" w:rsidR="000F7E56" w:rsidRPr="000F7E56" w:rsidRDefault="000F7E56" w:rsidP="000F7E56">
      <w:pPr>
        <w:spacing w:after="120" w:line="360" w:lineRule="auto"/>
        <w:rPr>
          <w:lang w:val="en-US"/>
        </w:rPr>
      </w:pPr>
      <w:r w:rsidRPr="000F7E56">
        <w:rPr>
          <w:lang w:val="en-US"/>
        </w:rPr>
        <w:t xml:space="preserve">Lay and Community Faith Leader Stakeholders in Work Stream 3 identified that the key barriers to EOLCP were religious fundamentalism, community pressure and cultural expectations. The religious or cultural perspective of a patient and family might be so averse to the concept of thinking and planning ahead for </w:t>
      </w:r>
      <w:r w:rsidRPr="000F7E56">
        <w:rPr>
          <w:lang w:val="en-US"/>
        </w:rPr>
        <w:lastRenderedPageBreak/>
        <w:t>deterioration and dying that it negates the predominant policy and practice paradigm of ACP achieving the best end-of-life. The strong sense of familial and sometimes religious duty to provide care at home was seen by stakeholders as compounded for some ED families by community pressure and the stigma and other consequences that can arise when care is supplemented by ‘outsiders’ or moved to a care home or hospice. Hospital care appears to have more legitimacy for families who seek active treatment to prolong the patient’s life as long as possible. However, periods of admission were considered to carry risk of breaches in cultural and religious observances (e.g. not being able to perform daily prayers/rituals; instances of being given prohibited food) which called for increased vigilance from FCGs.</w:t>
      </w:r>
      <w:r w:rsidRPr="000F7E56" w:rsidDel="0007462E">
        <w:rPr>
          <w:lang w:val="en-US"/>
        </w:rPr>
        <w:t xml:space="preserve"> </w:t>
      </w:r>
    </w:p>
    <w:p w14:paraId="044FE725" w14:textId="6C32016D" w:rsidR="000F7E56" w:rsidRDefault="000F7E56" w:rsidP="000F7E56">
      <w:pPr>
        <w:spacing w:line="360" w:lineRule="auto"/>
        <w:rPr>
          <w:lang w:val="en-US"/>
        </w:rPr>
      </w:pPr>
      <w:r w:rsidRPr="000F7E56">
        <w:rPr>
          <w:lang w:val="en-US"/>
        </w:rPr>
        <w:t xml:space="preserve">Cultural and religious literacy of </w:t>
      </w:r>
      <w:proofErr w:type="spellStart"/>
      <w:r w:rsidRPr="000F7E56">
        <w:rPr>
          <w:lang w:val="en-US"/>
        </w:rPr>
        <w:t>organisations</w:t>
      </w:r>
      <w:proofErr w:type="spellEnd"/>
      <w:r w:rsidRPr="000F7E56">
        <w:rPr>
          <w:lang w:val="en-US"/>
        </w:rPr>
        <w:t xml:space="preserve"> and of individual professionals was seen as lacking by Community and Faith Stakeholders. This was born out in WS1 and WS2 data by the lack of curiosity and awareness of religious and cultural diversity expressed by HCPs, although this was not a shortcoming explicitly identified by patients and FCGs. Previous negative healthcare experiences were also thought to contribute</w:t>
      </w:r>
      <w:r w:rsidRPr="000F7E56">
        <w:t xml:space="preserve"> to a lack of trust of professionals and organisations. All </w:t>
      </w:r>
      <w:r w:rsidRPr="000F7E56">
        <w:rPr>
          <w:lang w:val="en-US"/>
        </w:rPr>
        <w:t xml:space="preserve">stakeholder participant groups also identified that there was a lack of awareness and accurate understanding in communities about end-of-life care services. </w:t>
      </w:r>
    </w:p>
    <w:p w14:paraId="556D9AD3" w14:textId="038B5FA7" w:rsidR="0004294B" w:rsidRPr="000F7E56" w:rsidRDefault="0004294B" w:rsidP="000F7E56">
      <w:pPr>
        <w:spacing w:line="360" w:lineRule="auto"/>
      </w:pPr>
      <w:r>
        <w:t>Key enablers</w:t>
      </w:r>
    </w:p>
    <w:p w14:paraId="0863232D" w14:textId="77777777" w:rsidR="000F7E56" w:rsidRPr="000F7E56" w:rsidRDefault="000F7E56" w:rsidP="000F7E56">
      <w:pPr>
        <w:spacing w:line="360" w:lineRule="auto"/>
      </w:pPr>
      <w:r w:rsidRPr="000F7E56">
        <w:t xml:space="preserve">Effective communication was seen by stakeholders in WS3 as the key enabler both in the translation between English and other languages but also in the use and accessible explanations of concepts and terminologies related to future planning. Additionally, information shared by trusted sources was seen as an important element to enhance care. Personalising care required additional ways of getting to ‘know’ the person (their socio-cultural-spiritual context) and an openness to seeing and doing things differently. </w:t>
      </w:r>
    </w:p>
    <w:p w14:paraId="5E4939AE" w14:textId="77777777" w:rsidR="000F7E56" w:rsidRPr="000F7E56" w:rsidRDefault="000F7E56" w:rsidP="000F7E56">
      <w:pPr>
        <w:spacing w:line="360" w:lineRule="auto"/>
        <w:rPr>
          <w:rFonts w:asciiTheme="majorHAnsi" w:hAnsiTheme="majorHAnsi" w:cs="Arial"/>
          <w:b/>
          <w:sz w:val="28"/>
          <w:szCs w:val="28"/>
        </w:rPr>
      </w:pPr>
      <w:r w:rsidRPr="000F7E56">
        <w:t>Development of professional confidence and skills in supporting people where the ‘usual’ way of doing things is not adequate is needed and evidence-based stories were seen as a powerful component of training to this end. A number of behavioural change techniques were identified pertinent to enhancing practice in the context of professional uncertainty and to focus on enhancing trust, rapport and gain understanding of how to personalise care by exploration of the patient’s ‘world’. A strong message from the findings is that HCP and other stakeholders regard collective working and coherence as key processes in achieving normalisation of greater competence in supporting patients and their families from diverse ethnic backgrounds.</w:t>
      </w:r>
      <w:r w:rsidRPr="000F7E56">
        <w:rPr>
          <w:rFonts w:asciiTheme="majorHAnsi" w:hAnsiTheme="majorHAnsi" w:cs="Arial"/>
          <w:b/>
          <w:sz w:val="28"/>
          <w:szCs w:val="28"/>
        </w:rPr>
        <w:t xml:space="preserve"> </w:t>
      </w:r>
    </w:p>
    <w:p w14:paraId="2035A324" w14:textId="77777777" w:rsidR="0004294B" w:rsidRDefault="0004294B" w:rsidP="000F7E56">
      <w:pPr>
        <w:keepNext/>
        <w:keepLines/>
        <w:spacing w:before="40" w:after="0" w:line="360" w:lineRule="auto"/>
        <w:outlineLvl w:val="1"/>
        <w:rPr>
          <w:rFonts w:asciiTheme="majorHAnsi" w:eastAsiaTheme="majorEastAsia" w:hAnsiTheme="majorHAnsi" w:cstheme="majorBidi"/>
          <w:color w:val="2F5496" w:themeColor="accent1" w:themeShade="BF"/>
          <w:sz w:val="24"/>
          <w:szCs w:val="24"/>
        </w:rPr>
      </w:pPr>
    </w:p>
    <w:p w14:paraId="3A36BB3A" w14:textId="14E13EDF" w:rsidR="000F7E56" w:rsidRDefault="000F7E56" w:rsidP="000F7E56">
      <w:pPr>
        <w:keepNext/>
        <w:keepLines/>
        <w:spacing w:before="40" w:after="0" w:line="360" w:lineRule="auto"/>
        <w:outlineLvl w:val="1"/>
        <w:rPr>
          <w:rFonts w:asciiTheme="majorHAnsi" w:eastAsiaTheme="majorEastAsia" w:hAnsiTheme="majorHAnsi" w:cstheme="majorBidi"/>
          <w:color w:val="2F5496" w:themeColor="accent1" w:themeShade="BF"/>
          <w:sz w:val="24"/>
          <w:szCs w:val="24"/>
        </w:rPr>
      </w:pPr>
      <w:bookmarkStart w:id="428" w:name="_Toc106697862"/>
      <w:r w:rsidRPr="000F7E56">
        <w:rPr>
          <w:rFonts w:asciiTheme="majorHAnsi" w:eastAsiaTheme="majorEastAsia" w:hAnsiTheme="majorHAnsi" w:cstheme="majorBidi"/>
          <w:color w:val="2F5496" w:themeColor="accent1" w:themeShade="BF"/>
          <w:sz w:val="24"/>
          <w:szCs w:val="24"/>
        </w:rPr>
        <w:t>Strengths and limitations of the study</w:t>
      </w:r>
      <w:bookmarkEnd w:id="428"/>
    </w:p>
    <w:p w14:paraId="1D9E9166" w14:textId="77777777" w:rsidR="00DA32BF" w:rsidRPr="000F7E56" w:rsidRDefault="00DA32BF" w:rsidP="000F7E56">
      <w:pPr>
        <w:keepNext/>
        <w:keepLines/>
        <w:spacing w:before="40" w:after="0" w:line="360" w:lineRule="auto"/>
        <w:outlineLvl w:val="1"/>
        <w:rPr>
          <w:rFonts w:asciiTheme="majorHAnsi" w:eastAsiaTheme="majorEastAsia" w:hAnsiTheme="majorHAnsi" w:cstheme="majorBidi"/>
          <w:color w:val="2F5496" w:themeColor="accent1" w:themeShade="BF"/>
          <w:sz w:val="24"/>
          <w:szCs w:val="24"/>
        </w:rPr>
      </w:pPr>
    </w:p>
    <w:p w14:paraId="60B972F0" w14:textId="1830FC6F" w:rsidR="000F7E56" w:rsidRPr="000F7E56" w:rsidRDefault="000F7E56" w:rsidP="000F7E56">
      <w:pPr>
        <w:spacing w:after="120" w:line="360" w:lineRule="auto"/>
        <w:rPr>
          <w:rFonts w:cstheme="minorHAnsi"/>
        </w:rPr>
      </w:pPr>
      <w:r w:rsidRPr="000F7E56">
        <w:rPr>
          <w:rFonts w:cstheme="minorHAnsi"/>
        </w:rPr>
        <w:t xml:space="preserve">The diversity of participants in the study is both a strength (in terms of including a wide range of experiences and perspectives) and a limitation. </w:t>
      </w:r>
      <w:r w:rsidR="00BD2106" w:rsidRPr="00BD2106">
        <w:rPr>
          <w:rFonts w:cstheme="minorHAnsi"/>
        </w:rPr>
        <w:t xml:space="preserve">We have tried to include </w:t>
      </w:r>
      <w:r w:rsidR="00BD2106">
        <w:rPr>
          <w:rFonts w:cstheme="minorHAnsi"/>
        </w:rPr>
        <w:t xml:space="preserve">a </w:t>
      </w:r>
      <w:r w:rsidR="00BD2106" w:rsidRPr="00BD2106">
        <w:rPr>
          <w:rFonts w:cstheme="minorHAnsi"/>
        </w:rPr>
        <w:t>broad ethnic diversity in the sample but acknowledge that we could not include all groups including Jewish, Gypsy, Roma or Irish Traveller communities</w:t>
      </w:r>
      <w:r w:rsidR="00BD2106">
        <w:rPr>
          <w:rFonts w:cstheme="minorHAnsi"/>
        </w:rPr>
        <w:t>.</w:t>
      </w:r>
      <w:r w:rsidR="00BD2106" w:rsidRPr="00BD2106">
        <w:rPr>
          <w:rFonts w:cstheme="minorHAnsi"/>
        </w:rPr>
        <w:t xml:space="preserve"> </w:t>
      </w:r>
      <w:r w:rsidRPr="000F7E56">
        <w:rPr>
          <w:rFonts w:cstheme="minorHAnsi"/>
        </w:rPr>
        <w:t>Alongside ethnicity and faith our sample included a diversity in family and social circumstances, in illness type, including two case studies of patients who lacked capacity, and five participants who were enabled to contribute through a professional interpreter and one by a bilingual researcher. The intention of the sampling frame was to explore the broadest diversity of experiences in the constraints of the project. However, this inevitably compromises to some extent the depth of understanding of specific experiences and issues related to discrete groupings of faith, ethnicity or culture. The study was pragmatically limited in its geographical recruitment to include two areas of the East Midlands. Each has somewhat differing ethnic demographics.</w:t>
      </w:r>
    </w:p>
    <w:p w14:paraId="457B5D58" w14:textId="1011A1AC" w:rsidR="000F7E56" w:rsidRPr="000F7E56" w:rsidRDefault="000F7E56" w:rsidP="000F7E56">
      <w:pPr>
        <w:spacing w:after="120" w:line="360" w:lineRule="auto"/>
        <w:rPr>
          <w:rFonts w:cstheme="minorHAnsi"/>
        </w:rPr>
      </w:pPr>
      <w:r w:rsidRPr="000F7E56">
        <w:rPr>
          <w:rFonts w:cstheme="minorHAnsi"/>
        </w:rPr>
        <w:t>Most participants were recruited via three hospice services, which means their accounts may reflect experience of a distinctive type of specialist care, available to a minority of terminally ill patients.</w:t>
      </w:r>
      <w:r w:rsidRPr="000F7E56">
        <w:rPr>
          <w:rFonts w:cstheme="minorHAnsi"/>
        </w:rPr>
        <w:fldChar w:fldCharType="begin"/>
      </w:r>
      <w:r w:rsidR="000D5597">
        <w:rPr>
          <w:rFonts w:cstheme="minorHAnsi"/>
        </w:rPr>
        <w:instrText xml:space="preserve"> ADDIN ZOTERO_ITEM CSL_CITATION {"citationID":"IjROirRA","properties":{"formattedCitation":"\\super 152\\nosupersub{}","plainCitation":"152","noteIndex":0},"citationItems":[{"id":1793,"uris":["http://zotero.org/users/8748280/items/MBMVUG9P"],"itemData":{"id":1793,"type":"article-journal","abstract":"Background: Uncertainty is common in advanced illness but is infrequently studied in this context. If poorly addressed, uncertainty can lead to adverse patient ...","archive_location":"Sage UK: London, England","container-title":"Palliative Medicine","DOI":"10.1177/0269216316647610","language":"en","note":"publisher: SAGE PublicationsSage UK: London, England","source":"journals.sagepub.com","title":"How does uncertainty shape patient experience in advanced illness? A secondary analysis of qualitative data:","title-short":"How does uncertainty shape patient experience in advanced illness?","URL":"https://journals.sagepub.com/doi/full/10.1177/0269216316647610","author":[{"family":"Etkind","given":"Simon Noah"},{"family":"Bristowe","given":"Katherine"},{"family":"Bailey","given":"Katharine"},{"family":"Selman","given":"Lucy Ellen"},{"family":"Murtagh","given":"Fliss EM"}],"accessed":{"date-parts":[["2021",12,8]]},"issued":{"date-parts":[["2016",4,29]]}}}],"schema":"https://github.com/citation-style-language/schema/raw/master/csl-citation.json"} </w:instrText>
      </w:r>
      <w:r w:rsidRPr="000F7E56">
        <w:rPr>
          <w:rFonts w:cstheme="minorHAnsi"/>
        </w:rPr>
        <w:fldChar w:fldCharType="separate"/>
      </w:r>
      <w:r w:rsidR="000D5597" w:rsidRPr="000D5597">
        <w:rPr>
          <w:rFonts w:ascii="Calibri" w:hAnsi="Calibri" w:cs="Times New Roman"/>
          <w:szCs w:val="24"/>
          <w:vertAlign w:val="superscript"/>
        </w:rPr>
        <w:t>152</w:t>
      </w:r>
      <w:r w:rsidRPr="000F7E56">
        <w:rPr>
          <w:rFonts w:cstheme="minorHAnsi"/>
        </w:rPr>
        <w:fldChar w:fldCharType="end"/>
      </w:r>
      <w:r w:rsidRPr="000F7E56">
        <w:rPr>
          <w:rFonts w:cstheme="minorHAnsi"/>
        </w:rPr>
        <w:t xml:space="preserve"> The majority of cases were identified and first approached by HCPs with whom the researchers had discussed the study eligibility criteria. However, several patients did not seem to be considered by themselves, or by their nominated HCP participants, as being close to the end-of-life. Whilst this data may be outside the study’s original remit, it serves to highlight the variable and uncertain nature of prognosis in relation to terminal illness and the real-world challenges in integrating discussions about potential future deterioration alongside care of patients in stable and active treatment contexts.</w:t>
      </w:r>
    </w:p>
    <w:p w14:paraId="28B8D1FC" w14:textId="77777777" w:rsidR="000F7E56" w:rsidRPr="000F7E56" w:rsidRDefault="000F7E56" w:rsidP="000F7E56">
      <w:pPr>
        <w:spacing w:after="120" w:line="360" w:lineRule="auto"/>
        <w:rPr>
          <w:rFonts w:cstheme="minorHAnsi"/>
        </w:rPr>
      </w:pPr>
      <w:r w:rsidRPr="000F7E56">
        <w:rPr>
          <w:rFonts w:cstheme="minorHAnsi"/>
        </w:rPr>
        <w:t>Serial interviews by the same researcher in WS1 built rapport with patients and FCGs, allowing increasing depth of disclosure about participants’ experiences and feelings and some view over a time period of the unfolding nature of their lived experience. We were also able to triangulate different perspectives from patients, FCGs and HCPs relating to experience and involvement in the same case. The richness of the data and the range of themes that emerged is a strength. The ‘messiness’ of life and considerable labour in living with advanced illness is reflected in the accounts and in the logistical arrangements of undertaking the interviews. These are not sanitised accounts and give confidence in the veracity of the data providing insight into the participants’ reality.</w:t>
      </w:r>
    </w:p>
    <w:p w14:paraId="555C824B" w14:textId="77777777" w:rsidR="000F7E56" w:rsidRPr="000F7E56" w:rsidRDefault="000F7E56" w:rsidP="000F7E56">
      <w:pPr>
        <w:spacing w:after="120" w:line="360" w:lineRule="auto"/>
        <w:rPr>
          <w:rFonts w:cstheme="minorHAnsi"/>
        </w:rPr>
      </w:pPr>
      <w:r w:rsidRPr="000F7E56">
        <w:rPr>
          <w:rFonts w:cstheme="minorHAnsi"/>
        </w:rPr>
        <w:t xml:space="preserve">Many patients and families found it quite difficult to identify an HCP to nominate that they felt was to be closely involved in their care. All 11 of the nominated HCPs in WS1 were nurses. Consequently, the data does not encompass perspectives of the wider clinical care team for an individual patient including </w:t>
      </w:r>
      <w:r w:rsidRPr="000F7E56">
        <w:rPr>
          <w:rFonts w:cstheme="minorHAnsi"/>
        </w:rPr>
        <w:lastRenderedPageBreak/>
        <w:t xml:space="preserve">perspectives of professionals, especially doctors, who may have a different approach to offering conversations about preparing for future deterioration and end-of-life. The need to stop data collection involving HCPs from March 2020 due to the Covid-19 pandemic meant that 7/18 cases did not contain HCP perspectives. Similarly, clinical notes were available for only 13 out of 18 patients. However, there were only three cases where there was little or no additional information or representation of healthcare perspectives outside the family. </w:t>
      </w:r>
    </w:p>
    <w:p w14:paraId="58FF579A" w14:textId="77777777" w:rsidR="000F7E56" w:rsidRPr="000F7E56" w:rsidRDefault="000F7E56" w:rsidP="000F7E56">
      <w:pPr>
        <w:spacing w:after="120" w:line="360" w:lineRule="auto"/>
        <w:rPr>
          <w:rFonts w:cstheme="minorHAnsi"/>
          <w:highlight w:val="yellow"/>
          <w:lang w:val="en-US"/>
        </w:rPr>
      </w:pPr>
      <w:r w:rsidRPr="000F7E56">
        <w:rPr>
          <w:rFonts w:cstheme="minorHAnsi"/>
        </w:rPr>
        <w:t>The setting in which participant accounts was elicited is an important factor influencing their content, for example whether the interview was held in private or with one or more individuals including an interpreter. Patient and FCG interviews were mostly held in the participant’s home. The use of translators enabled recruitment of patients who are normally excluded from research and this is a strength of the study. Issues with translation (in four case studies and one bereaved family care giver interview) and how these were handled are discussed in Chapter 2 Methodology (</w:t>
      </w:r>
      <w:r w:rsidRPr="000F7E56">
        <w:rPr>
          <w:rFonts w:cstheme="minorHAnsi"/>
          <w:lang w:val="en-US"/>
        </w:rPr>
        <w:t xml:space="preserve">WS1: longitudinal patient case-studies). </w:t>
      </w:r>
      <w:r w:rsidRPr="000F7E56">
        <w:rPr>
          <w:rFonts w:cstheme="minorHAnsi"/>
        </w:rPr>
        <w:t xml:space="preserve">However, as discussed above in relation to clinical consultations, some degree of detail and nuanced meaning is inevitably lost in translation. </w:t>
      </w:r>
    </w:p>
    <w:p w14:paraId="56D09F69" w14:textId="77777777" w:rsidR="000F7E56" w:rsidRPr="000F7E56" w:rsidRDefault="000F7E56" w:rsidP="000F7E56">
      <w:pPr>
        <w:spacing w:after="120" w:line="360" w:lineRule="auto"/>
        <w:rPr>
          <w:rFonts w:cstheme="minorHAnsi"/>
        </w:rPr>
      </w:pPr>
      <w:r w:rsidRPr="000F7E56">
        <w:rPr>
          <w:rFonts w:cstheme="minorHAnsi"/>
        </w:rPr>
        <w:t>During case study interviews most participants were asked if the experience of taking part in the research had influenced them in any way. In three cases participants explicitly said that they had been prompted to reflect and to think a little more about what the future might entail (this included the idea of thinking ahead about end-of-life. In a couple of cases participants’ reflections had led them to consideration of further practical help they might go on to seek. At least two HCPs expressed possible changes in their practice, in particular related to knowing more about their patients and their potentially diverse needs. Some participants described interviews as being emotionally burdensome causing anxiety whilst others reported them as positive or even cathartic. Distress management of participants required careful consideration particularly when using interpreters. Researchers also found interviews to be emotionally challenging. A pyramid of support needs for participants was in place and preparatory and reflective resilience work, alongside regular support meetings for researchers was provided.</w:t>
      </w:r>
    </w:p>
    <w:p w14:paraId="1799B222" w14:textId="77777777" w:rsidR="00DE6BA0" w:rsidRDefault="00DE6BA0" w:rsidP="000F7E56">
      <w:pPr>
        <w:keepNext/>
        <w:keepLines/>
        <w:spacing w:after="120" w:line="360" w:lineRule="auto"/>
        <w:outlineLvl w:val="1"/>
        <w:rPr>
          <w:rFonts w:asciiTheme="majorHAnsi" w:eastAsiaTheme="majorEastAsia" w:hAnsiTheme="majorHAnsi" w:cstheme="majorBidi"/>
          <w:color w:val="2F5496" w:themeColor="accent1" w:themeShade="BF"/>
          <w:sz w:val="24"/>
          <w:szCs w:val="24"/>
        </w:rPr>
      </w:pPr>
    </w:p>
    <w:p w14:paraId="1C8071A3" w14:textId="4B084707" w:rsidR="000F7E56" w:rsidRPr="000F7E56" w:rsidRDefault="000F7E56" w:rsidP="000F7E56">
      <w:pPr>
        <w:keepNext/>
        <w:keepLines/>
        <w:spacing w:after="120" w:line="360" w:lineRule="auto"/>
        <w:outlineLvl w:val="1"/>
        <w:rPr>
          <w:rFonts w:asciiTheme="majorHAnsi" w:eastAsiaTheme="majorEastAsia" w:hAnsiTheme="majorHAnsi" w:cstheme="majorBidi"/>
          <w:color w:val="2F5496" w:themeColor="accent1" w:themeShade="BF"/>
          <w:sz w:val="24"/>
          <w:szCs w:val="24"/>
        </w:rPr>
      </w:pPr>
      <w:bookmarkStart w:id="429" w:name="_Toc106697863"/>
      <w:r w:rsidRPr="000F7E56">
        <w:rPr>
          <w:rFonts w:asciiTheme="majorHAnsi" w:eastAsiaTheme="majorEastAsia" w:hAnsiTheme="majorHAnsi" w:cstheme="majorBidi"/>
          <w:color w:val="2F5496" w:themeColor="accent1" w:themeShade="BF"/>
          <w:sz w:val="24"/>
          <w:szCs w:val="24"/>
        </w:rPr>
        <w:t>Implications for health professional practice and training</w:t>
      </w:r>
      <w:bookmarkEnd w:id="429"/>
    </w:p>
    <w:p w14:paraId="069442AD" w14:textId="6BD270AF" w:rsidR="000F7E56" w:rsidRPr="000F7E56" w:rsidRDefault="000F7E56" w:rsidP="000F7E56">
      <w:pPr>
        <w:autoSpaceDE w:val="0"/>
        <w:autoSpaceDN w:val="0"/>
        <w:adjustRightInd w:val="0"/>
        <w:spacing w:after="120" w:line="360" w:lineRule="auto"/>
        <w:rPr>
          <w:rFonts w:cs="Arial"/>
        </w:rPr>
      </w:pPr>
      <w:r w:rsidRPr="000F7E56">
        <w:rPr>
          <w:rFonts w:cs="Arial"/>
        </w:rPr>
        <w:t xml:space="preserve">Health professionals in the case studies and stakeholder workshops described approaches to the complexities and uncertainties involved in initiating end-of-life care discussions with patients and FCGs from ED groups. </w:t>
      </w:r>
      <w:r w:rsidRPr="000F7E56">
        <w:t xml:space="preserve">HCPs have the advantage but also the responsibility of anticipation, from past experience and the literature, as to what may lie ahead for patients and the imperative as the expert guide to balance the present wellbeing of the patient and family with the potential regret in future. </w:t>
      </w:r>
      <w:r w:rsidRPr="000F7E56">
        <w:rPr>
          <w:rFonts w:cs="Arial"/>
        </w:rPr>
        <w:t xml:space="preserve">There was considerable reflection on the need to recognise and wait for when a patient may be ready for ‘end-of-life talk’ as their </w:t>
      </w:r>
      <w:r w:rsidRPr="000F7E56">
        <w:rPr>
          <w:rFonts w:cs="Arial"/>
        </w:rPr>
        <w:lastRenderedPageBreak/>
        <w:t xml:space="preserve">illness worsened. There was scant detail </w:t>
      </w:r>
      <w:r w:rsidR="00DE6BA0">
        <w:rPr>
          <w:rFonts w:cs="Arial"/>
        </w:rPr>
        <w:t xml:space="preserve">however </w:t>
      </w:r>
      <w:r w:rsidRPr="000F7E56">
        <w:rPr>
          <w:rFonts w:cs="Arial"/>
        </w:rPr>
        <w:t xml:space="preserve">on what the skills and attributes of this required and looked like in practice. </w:t>
      </w:r>
    </w:p>
    <w:p w14:paraId="00CE8CC4" w14:textId="77777777" w:rsidR="000F7E56" w:rsidRPr="000F7E56" w:rsidRDefault="000F7E56" w:rsidP="000F7E56">
      <w:pPr>
        <w:autoSpaceDE w:val="0"/>
        <w:autoSpaceDN w:val="0"/>
        <w:adjustRightInd w:val="0"/>
        <w:spacing w:after="120" w:line="360" w:lineRule="auto"/>
        <w:rPr>
          <w:rFonts w:cs="Arial"/>
        </w:rPr>
      </w:pPr>
    </w:p>
    <w:p w14:paraId="0EFAEB3C" w14:textId="285E33A3" w:rsidR="000F7E56" w:rsidRPr="000F7E56" w:rsidRDefault="000F7E56" w:rsidP="000F7E56">
      <w:pPr>
        <w:autoSpaceDE w:val="0"/>
        <w:autoSpaceDN w:val="0"/>
        <w:adjustRightInd w:val="0"/>
        <w:spacing w:after="120" w:line="360" w:lineRule="auto"/>
        <w:rPr>
          <w:rFonts w:cs="Arial"/>
        </w:rPr>
      </w:pPr>
      <w:r w:rsidRPr="000F7E56">
        <w:rPr>
          <w:rFonts w:cs="Arial"/>
        </w:rPr>
        <w:t xml:space="preserve">EOLCP documentation is seen in policy as the predominant vehicle for enabling good end-of-life care but this may be in tension with the preferences and values of patients. In particular, collectivist models or responsibility for care and decision-making is directly at odds with the commitment to patient autonomy and choice which underpins professional policy and practice. How HCPs assess and navigate the potential for harm in this policy context needs to be widely discussed and clarified. There is currently a risk that emphasising difference results in marginalising and stereotyping of patients and to overlooking both the heterogeneity of individuals within diverse groups and what is common to the experience of good end-of-life care for all patients, regardless of ethnicity. Good practice currently orients to encouraging patients to conform to UK policy and practice so that diversity is seen to constitute a barrier, rather than a manifestation of alternative values and preferences. </w:t>
      </w:r>
      <w:r w:rsidR="00DE6BA0">
        <w:rPr>
          <w:rFonts w:cs="Arial"/>
        </w:rPr>
        <w:t xml:space="preserve"> Additionally, the predominant stance of patients was one of hopefulness and for some it was against their religion to </w:t>
      </w:r>
      <w:r w:rsidR="00A62C2A">
        <w:rPr>
          <w:rFonts w:cs="Arial"/>
        </w:rPr>
        <w:t xml:space="preserve">engage in </w:t>
      </w:r>
      <w:r w:rsidR="00DE6BA0">
        <w:rPr>
          <w:rFonts w:cs="Arial"/>
        </w:rPr>
        <w:t xml:space="preserve">planning for the end of their lives.  </w:t>
      </w:r>
      <w:r w:rsidRPr="000F7E56">
        <w:rPr>
          <w:rFonts w:cs="Arial"/>
        </w:rPr>
        <w:t xml:space="preserve">Current policy aims for patients and FCGs to change their perspective, </w:t>
      </w:r>
      <w:r w:rsidR="00891E81">
        <w:rPr>
          <w:rFonts w:cs="Arial"/>
        </w:rPr>
        <w:t xml:space="preserve"> and </w:t>
      </w:r>
      <w:r w:rsidRPr="000F7E56">
        <w:rPr>
          <w:rFonts w:cs="Arial"/>
        </w:rPr>
        <w:t>reluctance to plan ahead is constituted as a problem. Within cultures oriented to a collectivist and relational approach to decision-making</w:t>
      </w:r>
      <w:r w:rsidR="00DE6BA0">
        <w:rPr>
          <w:rFonts w:cs="Arial"/>
        </w:rPr>
        <w:t>, or</w:t>
      </w:r>
      <w:r w:rsidR="00F86291">
        <w:rPr>
          <w:rFonts w:cs="Arial"/>
        </w:rPr>
        <w:t xml:space="preserve"> religious beliefs about </w:t>
      </w:r>
      <w:r w:rsidR="00D539D3">
        <w:rPr>
          <w:rFonts w:cs="Arial"/>
        </w:rPr>
        <w:t xml:space="preserve">the absolute nature of </w:t>
      </w:r>
      <w:r w:rsidR="008F0219">
        <w:rPr>
          <w:rFonts w:cs="Arial"/>
        </w:rPr>
        <w:t>divine intervention</w:t>
      </w:r>
      <w:r w:rsidR="00DE6BA0">
        <w:rPr>
          <w:rFonts w:cs="Arial"/>
        </w:rPr>
        <w:t xml:space="preserve">, </w:t>
      </w:r>
      <w:r w:rsidRPr="000F7E56">
        <w:rPr>
          <w:rFonts w:cs="Arial"/>
        </w:rPr>
        <w:t xml:space="preserve"> it is the assertion of autonomy that may be considered unsatisfactory. </w:t>
      </w:r>
    </w:p>
    <w:p w14:paraId="4B1F20D5" w14:textId="77777777" w:rsidR="000F7E56" w:rsidRPr="000F7E56" w:rsidRDefault="000F7E56" w:rsidP="000F7E56">
      <w:pPr>
        <w:autoSpaceDE w:val="0"/>
        <w:autoSpaceDN w:val="0"/>
        <w:adjustRightInd w:val="0"/>
        <w:spacing w:after="120" w:line="360" w:lineRule="auto"/>
        <w:contextualSpacing/>
        <w:rPr>
          <w:rFonts w:cs="Arial"/>
        </w:rPr>
      </w:pPr>
      <w:r w:rsidRPr="000F7E56">
        <w:rPr>
          <w:rFonts w:cs="Arial"/>
        </w:rPr>
        <w:t xml:space="preserve">The findings from the Thinking Ahead study are supported by those of previous research in reporting that many HCPs do not perceive engaging in EOLCP to be within the remit of their role. Among those who do, there is often a reluctance to raise the issue. Professionals wait for an indication of patient ‘readiness’ and tend to postpone discussion until the patient’s health has deteriorated to the point that death is clearly imminent. Our findings suggest that this approach is broadly aligned to the preferences of many patients. The desirability of otherwise routinely initiating such discussions pre-emptively, at a much earlier stage of the patient’s illness may be debated. However, there is a significant minority of patients who do wish to be informed and aware of their prognosis and who are disadvantaged by the deferment of discussion about their options for future care and how this will affect the plans they make for the life they have remaining.  A key task of HCPs involved in supporting patients through serious and terminal illness is to elicit and respond to patient preferences for future planning and respond appropriately. </w:t>
      </w:r>
    </w:p>
    <w:p w14:paraId="043B6E07" w14:textId="77777777" w:rsidR="000F7E56" w:rsidRPr="000F7E56" w:rsidRDefault="000F7E56" w:rsidP="000F7E56">
      <w:pPr>
        <w:autoSpaceDE w:val="0"/>
        <w:autoSpaceDN w:val="0"/>
        <w:adjustRightInd w:val="0"/>
        <w:spacing w:after="120" w:line="360" w:lineRule="auto"/>
        <w:contextualSpacing/>
        <w:rPr>
          <w:rFonts w:cs="Arial"/>
        </w:rPr>
      </w:pPr>
    </w:p>
    <w:p w14:paraId="76F8A7DB" w14:textId="77777777" w:rsidR="000F7E56" w:rsidRPr="000F7E56" w:rsidRDefault="000F7E56" w:rsidP="000F7E56">
      <w:pPr>
        <w:autoSpaceDE w:val="0"/>
        <w:autoSpaceDN w:val="0"/>
        <w:adjustRightInd w:val="0"/>
        <w:spacing w:after="120" w:line="360" w:lineRule="auto"/>
        <w:contextualSpacing/>
        <w:rPr>
          <w:rFonts w:cs="Arial"/>
        </w:rPr>
      </w:pPr>
      <w:r w:rsidRPr="000F7E56">
        <w:rPr>
          <w:rFonts w:cs="Arial"/>
        </w:rPr>
        <w:t xml:space="preserve">Thus, professionals require high level skills to navigate complex, sensitive communication and interpersonal relationships that foster appropriate discussions and planning for anticipated deterioration, where patients and FCGs wish to discuss this. In relation to ED patients, this could be fostered by an integrated team </w:t>
      </w:r>
      <w:r w:rsidRPr="000F7E56">
        <w:rPr>
          <w:rFonts w:cs="Arial"/>
        </w:rPr>
        <w:lastRenderedPageBreak/>
        <w:t xml:space="preserve">approach which includes members with skills in language and cultural bridging or advocacy. Enabling patients to communicate confidently in their preferred language is an important means of reducing disadvantage. However, systemic support needs to be more effectively attuned to the values and socio-cultural contexts of patients and families regardless of ethnicity and to provide relational and service continuity in order to deliver sensitive and personalised care. </w:t>
      </w:r>
    </w:p>
    <w:p w14:paraId="3C4C67EE" w14:textId="77777777" w:rsidR="000F7E56" w:rsidRPr="000F7E56" w:rsidRDefault="000F7E56" w:rsidP="000F7E56">
      <w:pPr>
        <w:autoSpaceDE w:val="0"/>
        <w:autoSpaceDN w:val="0"/>
        <w:adjustRightInd w:val="0"/>
        <w:spacing w:after="120" w:line="360" w:lineRule="auto"/>
        <w:contextualSpacing/>
        <w:rPr>
          <w:rFonts w:cs="Arial"/>
        </w:rPr>
      </w:pPr>
    </w:p>
    <w:p w14:paraId="5A3BFA8A" w14:textId="2CE64208" w:rsidR="000F7E56" w:rsidRPr="000F7E56" w:rsidRDefault="000F7E56" w:rsidP="000F7E56">
      <w:pPr>
        <w:autoSpaceDE w:val="0"/>
        <w:autoSpaceDN w:val="0"/>
        <w:adjustRightInd w:val="0"/>
        <w:spacing w:after="120" w:line="360" w:lineRule="auto"/>
        <w:contextualSpacing/>
        <w:rPr>
          <w:rFonts w:cs="Arial"/>
        </w:rPr>
      </w:pPr>
      <w:r w:rsidRPr="000F7E56">
        <w:rPr>
          <w:rFonts w:cs="Arial"/>
        </w:rPr>
        <w:t>It is important to provide HCPs with the training they need to support skilled and appropriate discussion of EOLC planning</w:t>
      </w:r>
      <w:r w:rsidR="00187B46">
        <w:rPr>
          <w:rFonts w:cs="Arial"/>
        </w:rPr>
        <w:t>, including through translators</w:t>
      </w:r>
      <w:r w:rsidRPr="000F7E56">
        <w:rPr>
          <w:rFonts w:cs="Arial"/>
        </w:rPr>
        <w:t>. However, it is also important to acknowledge the systemic barriers to such discussions. These include the ways that health care is organised and staffed, particularly the fragmented nature of services which block the transfer of information and coordination of care across a complex network. In addition, the intractable nature and pervasive influence of prognostic uncertainty</w:t>
      </w:r>
      <w:r w:rsidR="00DE6BA0">
        <w:rPr>
          <w:rFonts w:cs="Arial"/>
        </w:rPr>
        <w:t xml:space="preserve"> and the influence of spiritual values on hope and value of life </w:t>
      </w:r>
      <w:r w:rsidRPr="000F7E56">
        <w:rPr>
          <w:rFonts w:cs="Arial"/>
        </w:rPr>
        <w:t>should be acknowledged as  major barrier</w:t>
      </w:r>
      <w:r w:rsidR="00DE6BA0">
        <w:rPr>
          <w:rFonts w:cs="Arial"/>
        </w:rPr>
        <w:t>s</w:t>
      </w:r>
      <w:r w:rsidRPr="000F7E56">
        <w:rPr>
          <w:rFonts w:cs="Arial"/>
        </w:rPr>
        <w:t xml:space="preserve"> to the discussion of end-of-life care and </w:t>
      </w:r>
      <w:r w:rsidR="00714F28">
        <w:rPr>
          <w:rFonts w:cs="Arial"/>
        </w:rPr>
        <w:t xml:space="preserve">as </w:t>
      </w:r>
      <w:r w:rsidRPr="000F7E56">
        <w:rPr>
          <w:rFonts w:cs="Arial"/>
        </w:rPr>
        <w:t>existential issue</w:t>
      </w:r>
      <w:r w:rsidR="00DE6BA0">
        <w:rPr>
          <w:rFonts w:cs="Arial"/>
        </w:rPr>
        <w:t>s</w:t>
      </w:r>
      <w:r w:rsidRPr="000F7E56">
        <w:rPr>
          <w:rFonts w:cs="Arial"/>
        </w:rPr>
        <w:t xml:space="preserve"> with which patients and professionals have to engage. </w:t>
      </w:r>
    </w:p>
    <w:p w14:paraId="4A075B3F" w14:textId="77777777" w:rsidR="000F7E56" w:rsidRPr="000F7E56" w:rsidRDefault="000F7E56" w:rsidP="000F7E56">
      <w:pPr>
        <w:autoSpaceDE w:val="0"/>
        <w:autoSpaceDN w:val="0"/>
        <w:adjustRightInd w:val="0"/>
        <w:spacing w:after="120" w:line="360" w:lineRule="auto"/>
        <w:contextualSpacing/>
        <w:rPr>
          <w:rFonts w:cs="Arial"/>
        </w:rPr>
      </w:pPr>
    </w:p>
    <w:p w14:paraId="174454EF" w14:textId="77777777" w:rsidR="000F7E56" w:rsidRPr="000F7E56" w:rsidRDefault="000F7E56" w:rsidP="000F7E56">
      <w:pPr>
        <w:keepNext/>
        <w:keepLines/>
        <w:spacing w:before="40" w:after="0" w:line="360" w:lineRule="auto"/>
        <w:outlineLvl w:val="1"/>
        <w:rPr>
          <w:rFonts w:asciiTheme="majorHAnsi" w:eastAsiaTheme="majorEastAsia" w:hAnsiTheme="majorHAnsi" w:cstheme="majorBidi"/>
          <w:color w:val="2F5496" w:themeColor="accent1" w:themeShade="BF"/>
          <w:sz w:val="24"/>
          <w:szCs w:val="24"/>
        </w:rPr>
      </w:pPr>
      <w:bookmarkStart w:id="430" w:name="_Toc106697864"/>
      <w:r w:rsidRPr="000F7E56">
        <w:rPr>
          <w:rFonts w:asciiTheme="majorHAnsi" w:eastAsiaTheme="majorEastAsia" w:hAnsiTheme="majorHAnsi" w:cstheme="majorBidi"/>
          <w:color w:val="2F5496" w:themeColor="accent1" w:themeShade="BF"/>
          <w:sz w:val="24"/>
          <w:szCs w:val="24"/>
        </w:rPr>
        <w:t>Implications for research</w:t>
      </w:r>
      <w:bookmarkEnd w:id="430"/>
    </w:p>
    <w:p w14:paraId="337B0E85" w14:textId="77777777" w:rsidR="000F7E56" w:rsidRPr="000F7E56" w:rsidRDefault="000F7E56" w:rsidP="000F7E56">
      <w:pPr>
        <w:spacing w:after="120" w:line="360" w:lineRule="auto"/>
      </w:pPr>
      <w:r w:rsidRPr="000F7E56">
        <w:t xml:space="preserve">Our findings suggest prioritising the following research questions to benefit patients.  Such research must include participants from ED communities including those who would want to contribute in a language other than English. </w:t>
      </w:r>
    </w:p>
    <w:p w14:paraId="12E8D8EA" w14:textId="77777777" w:rsidR="000F7E56" w:rsidRPr="000F7E56" w:rsidRDefault="000F7E56" w:rsidP="000F7E56">
      <w:pPr>
        <w:spacing w:after="120" w:line="360" w:lineRule="auto"/>
      </w:pPr>
    </w:p>
    <w:p w14:paraId="09D63F42" w14:textId="69769722" w:rsidR="000F7E56" w:rsidRPr="000C7E4F" w:rsidRDefault="000F7E56" w:rsidP="000C7E4F">
      <w:pPr>
        <w:pStyle w:val="ListParagraph"/>
        <w:numPr>
          <w:ilvl w:val="0"/>
          <w:numId w:val="15"/>
        </w:numPr>
        <w:rPr>
          <w:rFonts w:cs="Arial"/>
        </w:rPr>
      </w:pPr>
      <w:r w:rsidRPr="000C7E4F">
        <w:rPr>
          <w:rFonts w:cs="Arial"/>
        </w:rPr>
        <w:t>How can health professionals identify if/when a patient is ‘ready’ for anticipatory discussions of deterioration and dying?</w:t>
      </w:r>
    </w:p>
    <w:p w14:paraId="7B458DEE" w14:textId="1CBEC108" w:rsidR="000F7E56" w:rsidRPr="000C7E4F" w:rsidRDefault="000F7E56" w:rsidP="000C7E4F">
      <w:pPr>
        <w:pStyle w:val="ListParagraph"/>
        <w:numPr>
          <w:ilvl w:val="0"/>
          <w:numId w:val="16"/>
        </w:numPr>
        <w:rPr>
          <w:rFonts w:cs="Arial"/>
        </w:rPr>
      </w:pPr>
      <w:r w:rsidRPr="000C7E4F">
        <w:rPr>
          <w:rFonts w:cs="Arial"/>
        </w:rPr>
        <w:t>How can discussions about uncertain recovery and the need for decisions about ceilings of care especially resuscitation be most effectively conducted in a crisis?</w:t>
      </w:r>
    </w:p>
    <w:p w14:paraId="3662E430" w14:textId="53A63096" w:rsidR="000F7E56" w:rsidRPr="000C7E4F" w:rsidRDefault="000F7E56" w:rsidP="000C7E4F">
      <w:pPr>
        <w:pStyle w:val="ListParagraph"/>
        <w:numPr>
          <w:ilvl w:val="0"/>
          <w:numId w:val="16"/>
        </w:numPr>
        <w:rPr>
          <w:rFonts w:cs="Arial"/>
        </w:rPr>
      </w:pPr>
      <w:r w:rsidRPr="000C7E4F">
        <w:rPr>
          <w:rFonts w:cs="Arial"/>
        </w:rPr>
        <w:t>How can professionals recognise and respond both to the diversity of faith and cultural practices among different ethnic groups as well as the heterogeneity of beliefs and preferences relating to end-of-life care between individuals from different ethnic groups?</w:t>
      </w:r>
    </w:p>
    <w:p w14:paraId="0AD8E1AE" w14:textId="187FF511" w:rsidR="000F7E56" w:rsidRDefault="000F7E56" w:rsidP="000C7E4F">
      <w:pPr>
        <w:pStyle w:val="ListParagraph"/>
        <w:numPr>
          <w:ilvl w:val="0"/>
          <w:numId w:val="16"/>
        </w:numPr>
        <w:rPr>
          <w:rFonts w:cs="Arial"/>
        </w:rPr>
      </w:pPr>
      <w:r w:rsidRPr="000C7E4F">
        <w:rPr>
          <w:rFonts w:cs="Arial"/>
        </w:rPr>
        <w:t>What are the implications of an understanding of collectivist</w:t>
      </w:r>
      <w:r w:rsidR="007E4B2B">
        <w:rPr>
          <w:rFonts w:cs="Arial"/>
        </w:rPr>
        <w:t>,</w:t>
      </w:r>
      <w:r w:rsidR="00802C61">
        <w:rPr>
          <w:rFonts w:cs="Arial"/>
        </w:rPr>
        <w:t xml:space="preserve"> </w:t>
      </w:r>
      <w:r w:rsidRPr="000C7E4F">
        <w:rPr>
          <w:rFonts w:cs="Arial"/>
        </w:rPr>
        <w:t xml:space="preserve">relational </w:t>
      </w:r>
      <w:r w:rsidR="007E4B2B">
        <w:rPr>
          <w:rFonts w:cs="Arial"/>
        </w:rPr>
        <w:t xml:space="preserve">and faith-led </w:t>
      </w:r>
      <w:r w:rsidRPr="000C7E4F">
        <w:rPr>
          <w:rFonts w:cs="Arial"/>
        </w:rPr>
        <w:t xml:space="preserve">models of care and decision-making for current UK health policy and practice and their focus on individual choice, autonomy and anticipatory planning? </w:t>
      </w:r>
    </w:p>
    <w:p w14:paraId="2975C41F" w14:textId="4B94AEA7" w:rsidR="00802C61" w:rsidRPr="000C7E4F" w:rsidRDefault="00802C61" w:rsidP="000C7E4F">
      <w:pPr>
        <w:pStyle w:val="ListParagraph"/>
        <w:numPr>
          <w:ilvl w:val="0"/>
          <w:numId w:val="16"/>
        </w:numPr>
        <w:rPr>
          <w:rFonts w:cs="Arial"/>
        </w:rPr>
      </w:pPr>
      <w:bookmarkStart w:id="431" w:name="_Hlk105427760"/>
      <w:r>
        <w:rPr>
          <w:rFonts w:cs="Arial"/>
        </w:rPr>
        <w:t>How can conversations be most effectively conducted where translation is required to enhance patient understanding.</w:t>
      </w:r>
    </w:p>
    <w:p w14:paraId="3D567454" w14:textId="77777777" w:rsidR="000F7E56" w:rsidRPr="000F7E56" w:rsidRDefault="000F7E56" w:rsidP="000F7E56">
      <w:pPr>
        <w:keepNext/>
        <w:keepLines/>
        <w:spacing w:before="40" w:after="0" w:line="360" w:lineRule="auto"/>
        <w:outlineLvl w:val="1"/>
        <w:rPr>
          <w:rFonts w:asciiTheme="majorHAnsi" w:eastAsiaTheme="majorEastAsia" w:hAnsiTheme="majorHAnsi" w:cstheme="majorBidi"/>
          <w:color w:val="2F5496" w:themeColor="accent1" w:themeShade="BF"/>
          <w:sz w:val="24"/>
          <w:szCs w:val="24"/>
        </w:rPr>
      </w:pPr>
      <w:bookmarkStart w:id="432" w:name="_Toc106697865"/>
      <w:bookmarkEnd w:id="431"/>
      <w:r w:rsidRPr="000F7E56">
        <w:rPr>
          <w:rFonts w:asciiTheme="majorHAnsi" w:eastAsiaTheme="majorEastAsia" w:hAnsiTheme="majorHAnsi" w:cstheme="majorBidi"/>
          <w:color w:val="2F5496" w:themeColor="accent1" w:themeShade="BF"/>
          <w:sz w:val="24"/>
          <w:szCs w:val="24"/>
        </w:rPr>
        <w:lastRenderedPageBreak/>
        <w:t>Conclusion</w:t>
      </w:r>
      <w:bookmarkEnd w:id="432"/>
    </w:p>
    <w:p w14:paraId="38B9831F" w14:textId="29331998" w:rsidR="000F7E56" w:rsidRPr="000F7E56" w:rsidRDefault="000F7E56" w:rsidP="000F7E56">
      <w:pPr>
        <w:autoSpaceDE w:val="0"/>
        <w:autoSpaceDN w:val="0"/>
        <w:adjustRightInd w:val="0"/>
        <w:spacing w:after="120" w:line="360" w:lineRule="auto"/>
        <w:rPr>
          <w:rFonts w:cs="Arial"/>
        </w:rPr>
      </w:pPr>
      <w:r w:rsidRPr="000F7E56">
        <w:t xml:space="preserve">Our findings highlight the unique nature and of experiences of every patient and family and the differences between individuals within the same family and ethnic group as well as between ethnic and faith groupings. </w:t>
      </w:r>
      <w:r w:rsidRPr="000F7E56">
        <w:rPr>
          <w:rFonts w:cs="Arial"/>
        </w:rPr>
        <w:t>The overwhelming impression of these accounts is in their diversity and real-world complexities, the ‘messiness’ and challenges of life when someone is progressively approaching death. For each individual patient and family the specific details of how</w:t>
      </w:r>
      <w:r w:rsidR="007E4B2B">
        <w:rPr>
          <w:rFonts w:cs="Arial"/>
        </w:rPr>
        <w:t xml:space="preserve">, </w:t>
      </w:r>
      <w:r w:rsidRPr="000F7E56">
        <w:rPr>
          <w:rFonts w:cs="Arial"/>
        </w:rPr>
        <w:t>when</w:t>
      </w:r>
      <w:r w:rsidR="007E4B2B">
        <w:rPr>
          <w:rFonts w:cs="Arial"/>
        </w:rPr>
        <w:t xml:space="preserve"> and if</w:t>
      </w:r>
      <w:r w:rsidRPr="000F7E56">
        <w:rPr>
          <w:rFonts w:cs="Arial"/>
        </w:rPr>
        <w:t xml:space="preserve"> they want to engage in thinking about the future and develop anticipatory plans is singular and emergent. It is rooted in uncertainty and coloured by past experiences of the deaths of family and friends; by the intersectionality of ethnicity, educational, socio-economic, available health care and other factors; by values and beliefs; by information and understanding; by trust in organisations and individual professionals and by experiences of an often uncoordinated and complex health care system.</w:t>
      </w:r>
    </w:p>
    <w:p w14:paraId="2109F921" w14:textId="758C47E4" w:rsidR="007E4B2B" w:rsidRPr="00D74EFC" w:rsidRDefault="000F7E56" w:rsidP="000F7E56">
      <w:pPr>
        <w:autoSpaceDE w:val="0"/>
        <w:autoSpaceDN w:val="0"/>
        <w:adjustRightInd w:val="0"/>
        <w:spacing w:after="120" w:line="360" w:lineRule="auto"/>
      </w:pPr>
      <w:r w:rsidRPr="000F7E56">
        <w:rPr>
          <w:rFonts w:cs="Arial"/>
        </w:rPr>
        <w:t xml:space="preserve">The data </w:t>
      </w:r>
      <w:r w:rsidRPr="000F7E56">
        <w:t xml:space="preserve">reveal many similarities in the experiences of end-of-life care and communication between patients and FCGs from ED groups and the wider UK population as well as their responses to these. </w:t>
      </w:r>
      <w:r w:rsidR="007E4B2B" w:rsidRPr="00D74EFC">
        <w:rPr>
          <w:rFonts w:cs="Arial"/>
        </w:rPr>
        <w:t xml:space="preserve">People from ED backgrounds want </w:t>
      </w:r>
      <w:r w:rsidR="001F6950" w:rsidRPr="00D74EFC">
        <w:rPr>
          <w:rFonts w:cs="Arial"/>
        </w:rPr>
        <w:t xml:space="preserve">compassionate </w:t>
      </w:r>
      <w:r w:rsidR="007E4B2B" w:rsidRPr="00D74EFC">
        <w:rPr>
          <w:rFonts w:cs="Arial"/>
        </w:rPr>
        <w:t>care that is personal to them . This is no different to people from white British backgrounds as is well described in the literature and supports the use of physical, social, spiritual and psychological care frameworks used in palliative care for to address the individual needs of patients and families.  However, HCPs need additional skills to navigate complex, sensitive communication and enquire about spiritual values and aspects of people’s lives that may be unfamiliar.</w:t>
      </w:r>
      <w:r w:rsidR="007E4B2B" w:rsidRPr="00D74EFC">
        <w:t xml:space="preserve"> </w:t>
      </w:r>
      <w:r w:rsidR="007E4B2B" w:rsidRPr="00D45959">
        <w:t>Our data show there are clearly distinctive aspects of the experience and circumstances of patients and FCGs from ED communities which compound their difficulties in achieving good care. Deficits in communication, especially involving translation, misunderstanding and lack of information, result in patients falling through the cracks in services and suboptimal experiences of end-of-life care.</w:t>
      </w:r>
    </w:p>
    <w:p w14:paraId="3FE8167A" w14:textId="4C1EAA38" w:rsidR="000F7E56" w:rsidRPr="000F7E56" w:rsidRDefault="007E4B2B" w:rsidP="000F7E56">
      <w:pPr>
        <w:autoSpaceDE w:val="0"/>
        <w:autoSpaceDN w:val="0"/>
        <w:adjustRightInd w:val="0"/>
        <w:spacing w:after="120" w:line="360" w:lineRule="auto"/>
        <w:rPr>
          <w:rFonts w:cs="Arial"/>
        </w:rPr>
      </w:pPr>
      <w:r w:rsidRPr="00D74EFC">
        <w:t xml:space="preserve">Personalising care requires HCPs to get to ‘know’ the person and </w:t>
      </w:r>
      <w:r w:rsidR="005C1EF4" w:rsidRPr="00D74EFC">
        <w:t xml:space="preserve">the </w:t>
      </w:r>
      <w:r w:rsidRPr="00D74EFC">
        <w:t xml:space="preserve">development of </w:t>
      </w:r>
      <w:r w:rsidRPr="00D74EFC">
        <w:rPr>
          <w:rFonts w:cs="Arial"/>
        </w:rPr>
        <w:t>confidence and skills</w:t>
      </w:r>
      <w:r w:rsidR="00165451" w:rsidRPr="00D74EFC">
        <w:rPr>
          <w:rFonts w:cs="Arial"/>
        </w:rPr>
        <w:t xml:space="preserve"> in </w:t>
      </w:r>
      <w:r w:rsidR="00426C6C" w:rsidRPr="00D74EFC">
        <w:rPr>
          <w:rFonts w:cs="Arial"/>
        </w:rPr>
        <w:t xml:space="preserve">discussing end of life care with persons from ED backgrounds </w:t>
      </w:r>
      <w:r w:rsidRPr="00D74EFC">
        <w:rPr>
          <w:rFonts w:cs="Arial"/>
        </w:rPr>
        <w:t xml:space="preserve">  </w:t>
      </w:r>
      <w:r w:rsidR="00D45959" w:rsidRPr="00D45959">
        <w:rPr>
          <w:rFonts w:cs="Arial"/>
        </w:rPr>
        <w:t>is vital for enabling tailored responsive discussions which are of real value to patients and their families.</w:t>
      </w:r>
      <w:r w:rsidRPr="00D74EFC">
        <w:rPr>
          <w:rFonts w:cs="Arial"/>
        </w:rPr>
        <w:t>. Training</w:t>
      </w:r>
      <w:r w:rsidR="00FB7307" w:rsidRPr="00D74EFC">
        <w:rPr>
          <w:rFonts w:cs="Arial"/>
        </w:rPr>
        <w:t xml:space="preserve"> resources</w:t>
      </w:r>
      <w:r w:rsidRPr="00D74EFC">
        <w:rPr>
          <w:rFonts w:cs="Arial"/>
        </w:rPr>
        <w:t>, using stories based on our interviews, w</w:t>
      </w:r>
      <w:r w:rsidR="00FB7307" w:rsidRPr="00D74EFC">
        <w:rPr>
          <w:rFonts w:cs="Arial"/>
        </w:rPr>
        <w:t>ere</w:t>
      </w:r>
      <w:r w:rsidRPr="00D74EFC">
        <w:rPr>
          <w:rFonts w:cs="Arial"/>
        </w:rPr>
        <w:t xml:space="preserve"> seen as</w:t>
      </w:r>
      <w:r w:rsidR="00FB7307" w:rsidRPr="00D74EFC">
        <w:rPr>
          <w:rFonts w:cs="Arial"/>
        </w:rPr>
        <w:t xml:space="preserve"> an</w:t>
      </w:r>
      <w:r w:rsidRPr="00D74EFC">
        <w:rPr>
          <w:rFonts w:cs="Arial"/>
        </w:rPr>
        <w:t xml:space="preserve"> effective  way to support this.  </w:t>
      </w:r>
    </w:p>
    <w:p w14:paraId="45B31478" w14:textId="648F6DA0" w:rsidR="000F7E56" w:rsidRPr="000F7E56" w:rsidRDefault="000F7E56" w:rsidP="000F7E56">
      <w:pPr>
        <w:autoSpaceDE w:val="0"/>
        <w:autoSpaceDN w:val="0"/>
        <w:adjustRightInd w:val="0"/>
        <w:spacing w:after="120" w:line="360" w:lineRule="auto"/>
        <w:rPr>
          <w:rFonts w:cs="Arial"/>
        </w:rPr>
      </w:pPr>
      <w:r w:rsidRPr="000F7E56">
        <w:rPr>
          <w:rFonts w:cs="Arial"/>
        </w:rPr>
        <w:t xml:space="preserve">Finally, the data reveal the rather marginal position of professional input in people’s lives. Most of our participants orientated their lives to getting on with the challenges of living in the present, rather than dwelling on the future: being positive; holding to the essence of faith and all things being in God’s hands; and fear and avoidance of future talk. A minority did seek to think and plan ahead and sought information and discussion to support them in this. Participants had difficulty in nominating an HCP who they considered had a significant role or any sense of accompaniment in their illness. HCPs came into their lives at times but there was little sense of continuity of care or of professional support to accompany and think </w:t>
      </w:r>
      <w:r w:rsidRPr="000F7E56">
        <w:rPr>
          <w:rFonts w:cs="Arial"/>
        </w:rPr>
        <w:lastRenderedPageBreak/>
        <w:t xml:space="preserve">with them as their health deteriorated towards the end-of-life.  </w:t>
      </w:r>
      <w:r w:rsidR="009A7C13" w:rsidRPr="009A7C13">
        <w:rPr>
          <w:sz w:val="24"/>
          <w:szCs w:val="24"/>
        </w:rPr>
        <w:t xml:space="preserve">Patient and FCG participants described an experience of care which was often fragmented and uncoordinated. Workshop stakeholders proposed more effective sharing of information between multidisciplinary professional teams as a prerequisite to enabling more tailored and effective care. </w:t>
      </w:r>
      <w:r w:rsidR="007E4B2B" w:rsidRPr="000F7E56">
        <w:rPr>
          <w:sz w:val="24"/>
          <w:szCs w:val="24"/>
        </w:rPr>
        <w:t xml:space="preserve">Effective communication and trusted individuals sharing information in an </w:t>
      </w:r>
      <w:r w:rsidR="007E4B2B">
        <w:rPr>
          <w:sz w:val="24"/>
          <w:szCs w:val="24"/>
        </w:rPr>
        <w:t xml:space="preserve">easier way </w:t>
      </w:r>
      <w:r w:rsidR="007E4B2B" w:rsidRPr="000F7E56">
        <w:rPr>
          <w:sz w:val="24"/>
          <w:szCs w:val="24"/>
        </w:rPr>
        <w:t>was seen by stakeholders as</w:t>
      </w:r>
      <w:r w:rsidR="007E4B2B">
        <w:rPr>
          <w:sz w:val="24"/>
          <w:szCs w:val="24"/>
        </w:rPr>
        <w:t xml:space="preserve"> important</w:t>
      </w:r>
      <w:r w:rsidR="007E4B2B" w:rsidRPr="000F7E56">
        <w:rPr>
          <w:sz w:val="24"/>
          <w:szCs w:val="24"/>
        </w:rPr>
        <w:t xml:space="preserve"> in </w:t>
      </w:r>
      <w:r w:rsidR="007E4B2B">
        <w:rPr>
          <w:sz w:val="24"/>
          <w:szCs w:val="24"/>
        </w:rPr>
        <w:t>providing better</w:t>
      </w:r>
      <w:r w:rsidR="007E4B2B" w:rsidRPr="000F7E56">
        <w:rPr>
          <w:sz w:val="24"/>
          <w:szCs w:val="24"/>
        </w:rPr>
        <w:t xml:space="preserve"> care.</w:t>
      </w:r>
    </w:p>
    <w:p w14:paraId="02252ABF" w14:textId="77777777" w:rsidR="000F7E56" w:rsidRPr="000F7E56" w:rsidRDefault="000F7E56" w:rsidP="009A7C13">
      <w:pPr>
        <w:autoSpaceDE w:val="0"/>
        <w:autoSpaceDN w:val="0"/>
        <w:adjustRightInd w:val="0"/>
        <w:spacing w:after="120" w:line="360" w:lineRule="auto"/>
      </w:pPr>
    </w:p>
    <w:p w14:paraId="66E58B1F" w14:textId="77777777" w:rsidR="000F7E56" w:rsidRPr="000F7E56" w:rsidRDefault="000F7E56" w:rsidP="000F7E56"/>
    <w:p w14:paraId="0F1704C6" w14:textId="77777777" w:rsidR="000F7E56" w:rsidRPr="000F7E56" w:rsidRDefault="000F7E56" w:rsidP="000F7E56">
      <w:pPr>
        <w:rPr>
          <w:rFonts w:ascii="Calibri" w:eastAsia="Calibri" w:hAnsi="Calibri" w:cs="Times New Roman"/>
        </w:rPr>
      </w:pPr>
      <w:r w:rsidRPr="000F7E56">
        <w:rPr>
          <w:rFonts w:ascii="Calibri" w:eastAsia="Calibri" w:hAnsi="Calibri" w:cs="Times New Roman"/>
        </w:rPr>
        <w:br w:type="page"/>
      </w:r>
    </w:p>
    <w:p w14:paraId="011EE89D" w14:textId="77777777" w:rsidR="000F7E56" w:rsidRPr="000F7E56" w:rsidRDefault="000F7E56" w:rsidP="000F7E56">
      <w:pPr>
        <w:spacing w:after="120" w:line="360" w:lineRule="auto"/>
        <w:rPr>
          <w:rFonts w:ascii="Calibri" w:eastAsia="Calibri" w:hAnsi="Calibri" w:cs="Times New Roman"/>
        </w:rPr>
      </w:pPr>
    </w:p>
    <w:p w14:paraId="19CE89DB" w14:textId="77777777" w:rsidR="000F7E56" w:rsidRPr="000F7E56" w:rsidRDefault="000F7E56" w:rsidP="000F7E56">
      <w:pPr>
        <w:keepNext/>
        <w:keepLines/>
        <w:spacing w:before="240" w:after="120" w:line="240" w:lineRule="auto"/>
        <w:jc w:val="center"/>
        <w:outlineLvl w:val="0"/>
        <w:rPr>
          <w:rFonts w:asciiTheme="majorHAnsi" w:eastAsiaTheme="majorEastAsia" w:hAnsiTheme="majorHAnsi" w:cstheme="majorBidi"/>
          <w:color w:val="2F5496" w:themeColor="accent1" w:themeShade="BF"/>
          <w:sz w:val="56"/>
          <w:szCs w:val="56"/>
        </w:rPr>
      </w:pPr>
      <w:bookmarkStart w:id="433" w:name="_Toc89764022"/>
      <w:bookmarkStart w:id="434" w:name="_Toc106697866"/>
      <w:r w:rsidRPr="000F7E56">
        <w:rPr>
          <w:rFonts w:asciiTheme="majorHAnsi" w:eastAsiaTheme="majorEastAsia" w:hAnsiTheme="majorHAnsi" w:cstheme="majorBidi"/>
          <w:color w:val="2F5496" w:themeColor="accent1" w:themeShade="BF"/>
          <w:sz w:val="56"/>
          <w:szCs w:val="56"/>
        </w:rPr>
        <w:t>Chapter 8: Outputs, Dissemination and Impact</w:t>
      </w:r>
      <w:bookmarkEnd w:id="433"/>
      <w:bookmarkEnd w:id="434"/>
    </w:p>
    <w:p w14:paraId="238B6097" w14:textId="77777777" w:rsidR="000F7E56" w:rsidRPr="000F7E56" w:rsidRDefault="000F7E56" w:rsidP="000F7E56"/>
    <w:p w14:paraId="35055184" w14:textId="2004A077" w:rsidR="000F7E56" w:rsidRPr="000F7E56" w:rsidRDefault="000F7E56" w:rsidP="000F7E56">
      <w:pPr>
        <w:autoSpaceDE w:val="0"/>
        <w:autoSpaceDN w:val="0"/>
        <w:adjustRightInd w:val="0"/>
        <w:spacing w:after="120" w:line="360" w:lineRule="auto"/>
        <w:rPr>
          <w:rFonts w:cstheme="minorHAnsi"/>
        </w:rPr>
      </w:pPr>
      <w:r w:rsidRPr="000F7E56">
        <w:rPr>
          <w:rFonts w:cstheme="minorHAnsi"/>
        </w:rPr>
        <w:t>The findings from the three work streams of this study, described in chapters 5 and 6, have identified key areas in which patients and their families require compassionate competence from health and social care professionals. The findings also highlight the need for empowerment of services users in diverse ethnic and faith communities. Our dissemination work is informed by the recent work of Tara Lamont and the Steps to Impact that she describes.</w:t>
      </w:r>
      <w:r w:rsidRPr="000F7E56">
        <w:rPr>
          <w:rFonts w:cstheme="minorHAnsi"/>
        </w:rPr>
        <w:fldChar w:fldCharType="begin"/>
      </w:r>
      <w:r w:rsidR="000D5597">
        <w:rPr>
          <w:rFonts w:cstheme="minorHAnsi"/>
        </w:rPr>
        <w:instrText xml:space="preserve"> ADDIN ZOTERO_ITEM CSL_CITATION {"citationID":"aj4dvupukr","properties":{"formattedCitation":"\\super 198\\nosupersub{}","plainCitation":"198","noteIndex":0},"citationItems":[{"id":1545,"uris":["http://zotero.org/users/8748280/items/ZEPVCY64"],"itemData":{"id":1545,"type":"webpage","abstract":"Making Research Matter - Steps to Impact for Health and Care Researchers; EPDF and EPUB available Open Access under CC-BY-NC-ND licence. Written by a leading expert in the field, this practical and accessible book is an essential guide to knowledge exchange, impact and research dissemination in health and social care.","container-title":"Policy Press","language":"en-GB","title":"Making Research Matter, By Tara Lamont","URL":"https://policy.bristoluniversitypress.co.uk/making-research-matter","accessed":{"date-parts":[["2021",11,16]]}}}],"schema":"https://github.com/citation-style-language/schema/raw/master/csl-citation.json"} </w:instrText>
      </w:r>
      <w:r w:rsidRPr="000F7E56">
        <w:rPr>
          <w:rFonts w:cstheme="minorHAnsi"/>
        </w:rPr>
        <w:fldChar w:fldCharType="separate"/>
      </w:r>
      <w:r w:rsidR="00496C3B" w:rsidRPr="00496C3B">
        <w:rPr>
          <w:rFonts w:ascii="Calibri" w:hAnsi="Calibri" w:cs="Calibri"/>
          <w:szCs w:val="24"/>
          <w:vertAlign w:val="superscript"/>
        </w:rPr>
        <w:t>198</w:t>
      </w:r>
      <w:r w:rsidRPr="000F7E56">
        <w:rPr>
          <w:rFonts w:cstheme="minorHAnsi"/>
        </w:rPr>
        <w:fldChar w:fldCharType="end"/>
      </w:r>
      <w:r w:rsidRPr="000F7E56">
        <w:rPr>
          <w:rFonts w:cstheme="minorHAnsi"/>
        </w:rPr>
        <w:t xml:space="preserve">  Although our dissemination work is, of course, far from complete, we report here on three key aspects of this as important outputs from this project: </w:t>
      </w:r>
    </w:p>
    <w:p w14:paraId="2815102E" w14:textId="77777777" w:rsidR="000F7E56" w:rsidRPr="000F7E56" w:rsidRDefault="000F7E56" w:rsidP="000C7E4F">
      <w:pPr>
        <w:numPr>
          <w:ilvl w:val="0"/>
          <w:numId w:val="12"/>
        </w:numPr>
        <w:autoSpaceDE w:val="0"/>
        <w:autoSpaceDN w:val="0"/>
        <w:adjustRightInd w:val="0"/>
        <w:spacing w:after="120" w:line="360" w:lineRule="auto"/>
        <w:contextualSpacing/>
        <w:rPr>
          <w:rFonts w:cstheme="minorHAnsi"/>
        </w:rPr>
      </w:pPr>
      <w:r w:rsidRPr="000F7E56">
        <w:rPr>
          <w:rFonts w:cstheme="minorHAnsi"/>
        </w:rPr>
        <w:t>work with local communities to raise awareness to continue conversations about end-of-life and further develop collaboration to reduce inequalities and improve experiences;</w:t>
      </w:r>
    </w:p>
    <w:p w14:paraId="4B1A8106" w14:textId="77777777" w:rsidR="000F7E56" w:rsidRPr="000F7E56" w:rsidRDefault="000F7E56" w:rsidP="000C7E4F">
      <w:pPr>
        <w:numPr>
          <w:ilvl w:val="0"/>
          <w:numId w:val="12"/>
        </w:numPr>
        <w:autoSpaceDE w:val="0"/>
        <w:autoSpaceDN w:val="0"/>
        <w:adjustRightInd w:val="0"/>
        <w:spacing w:after="120" w:line="360" w:lineRule="auto"/>
        <w:contextualSpacing/>
        <w:rPr>
          <w:rFonts w:cstheme="minorHAnsi"/>
        </w:rPr>
      </w:pPr>
      <w:r w:rsidRPr="000F7E56">
        <w:rPr>
          <w:rFonts w:cstheme="minorHAnsi"/>
        </w:rPr>
        <w:t xml:space="preserve">supporting the practice of health and social care professionals through learning resources including a nationally adopted </w:t>
      </w:r>
      <w:bookmarkStart w:id="435" w:name="_Hlk89762991"/>
      <w:r w:rsidRPr="000F7E56">
        <w:rPr>
          <w:rFonts w:cstheme="minorHAnsi"/>
        </w:rPr>
        <w:t>NHS e-learning for Health (</w:t>
      </w:r>
      <w:proofErr w:type="spellStart"/>
      <w:r w:rsidRPr="000F7E56">
        <w:rPr>
          <w:rFonts w:cstheme="minorHAnsi"/>
        </w:rPr>
        <w:t>ELfH</w:t>
      </w:r>
      <w:bookmarkEnd w:id="435"/>
      <w:proofErr w:type="spellEnd"/>
      <w:r w:rsidRPr="000F7E56">
        <w:rPr>
          <w:rFonts w:cstheme="minorHAnsi"/>
        </w:rPr>
        <w:t>) module available to all health and social care staff;</w:t>
      </w:r>
    </w:p>
    <w:p w14:paraId="52D4B03D" w14:textId="673CB78A" w:rsidR="000F7E56" w:rsidRDefault="000F7E56" w:rsidP="000C7E4F">
      <w:pPr>
        <w:numPr>
          <w:ilvl w:val="0"/>
          <w:numId w:val="12"/>
        </w:numPr>
        <w:autoSpaceDE w:val="0"/>
        <w:autoSpaceDN w:val="0"/>
        <w:adjustRightInd w:val="0"/>
        <w:spacing w:after="120" w:line="360" w:lineRule="auto"/>
        <w:contextualSpacing/>
        <w:rPr>
          <w:rFonts w:cstheme="minorHAnsi"/>
        </w:rPr>
      </w:pPr>
      <w:r w:rsidRPr="000F7E56">
        <w:rPr>
          <w:rFonts w:cstheme="minorHAnsi"/>
        </w:rPr>
        <w:t xml:space="preserve">a high-level national ‘think tank’ about education and training in </w:t>
      </w:r>
      <w:proofErr w:type="spellStart"/>
      <w:r w:rsidRPr="000F7E56">
        <w:rPr>
          <w:rFonts w:cstheme="minorHAnsi"/>
        </w:rPr>
        <w:t>PEoLC</w:t>
      </w:r>
      <w:proofErr w:type="spellEnd"/>
      <w:r w:rsidRPr="000F7E56">
        <w:rPr>
          <w:rFonts w:cstheme="minorHAnsi"/>
        </w:rPr>
        <w:t xml:space="preserve"> for HCPs.</w:t>
      </w:r>
    </w:p>
    <w:p w14:paraId="1F5A1FE5" w14:textId="77777777" w:rsidR="00DA32BF" w:rsidRPr="000F7E56" w:rsidRDefault="00DA32BF" w:rsidP="004B6E42">
      <w:pPr>
        <w:autoSpaceDE w:val="0"/>
        <w:autoSpaceDN w:val="0"/>
        <w:adjustRightInd w:val="0"/>
        <w:spacing w:after="120" w:line="360" w:lineRule="auto"/>
        <w:ind w:left="720"/>
        <w:contextualSpacing/>
        <w:rPr>
          <w:rFonts w:cstheme="minorHAnsi"/>
        </w:rPr>
      </w:pPr>
    </w:p>
    <w:p w14:paraId="4479E947" w14:textId="77777777" w:rsidR="000F7E56" w:rsidRPr="000F7E56" w:rsidRDefault="000F7E56" w:rsidP="000F7E56">
      <w:pPr>
        <w:keepNext/>
        <w:keepLines/>
        <w:spacing w:after="120" w:line="360" w:lineRule="auto"/>
        <w:outlineLvl w:val="1"/>
        <w:rPr>
          <w:rFonts w:asciiTheme="majorHAnsi" w:eastAsiaTheme="majorEastAsia" w:hAnsiTheme="majorHAnsi" w:cstheme="majorBidi"/>
          <w:color w:val="2F5496" w:themeColor="accent1" w:themeShade="BF"/>
          <w:sz w:val="24"/>
          <w:szCs w:val="24"/>
        </w:rPr>
      </w:pPr>
      <w:bookmarkStart w:id="436" w:name="_Toc89764023"/>
      <w:bookmarkStart w:id="437" w:name="_Toc106697867"/>
      <w:r w:rsidRPr="000F7E56">
        <w:rPr>
          <w:rFonts w:asciiTheme="majorHAnsi" w:eastAsiaTheme="majorEastAsia" w:hAnsiTheme="majorHAnsi" w:cstheme="majorBidi"/>
          <w:color w:val="2F5496" w:themeColor="accent1" w:themeShade="BF"/>
          <w:sz w:val="24"/>
          <w:szCs w:val="24"/>
        </w:rPr>
        <w:t>Working with diverse ethnic and faith communities</w:t>
      </w:r>
      <w:bookmarkEnd w:id="436"/>
      <w:bookmarkEnd w:id="437"/>
    </w:p>
    <w:p w14:paraId="13F72FD3" w14:textId="2D973F02" w:rsidR="000F7E56" w:rsidRPr="000F7E56" w:rsidRDefault="000F7E56" w:rsidP="000F7E56">
      <w:pPr>
        <w:spacing w:after="120" w:line="360" w:lineRule="auto"/>
        <w:rPr>
          <w:rFonts w:cstheme="minorHAnsi"/>
        </w:rPr>
      </w:pPr>
      <w:r w:rsidRPr="000F7E56">
        <w:rPr>
          <w:rFonts w:cstheme="minorHAnsi"/>
        </w:rPr>
        <w:t xml:space="preserve">Throughout the project, working collaboratively with the PCBR and the PPI co-applicant (described in chapter 3) and working with the LOROS Hospice community outreach team, we have continuously built engagement with the diverse ethnic communities of Leicester and Nottingham. Building trusting, collaborative relationships takes a great deal of time, especially with communities that are more recently established and have less developed engagement with systems and organisations. Successful community engagement requires collaboration with people </w:t>
      </w:r>
      <w:r w:rsidRPr="004B6E42">
        <w:rPr>
          <w:rFonts w:cstheme="minorHAnsi"/>
          <w:i/>
        </w:rPr>
        <w:t xml:space="preserve">of </w:t>
      </w:r>
      <w:r w:rsidRPr="000F7E56">
        <w:rPr>
          <w:rFonts w:cstheme="minorHAnsi"/>
        </w:rPr>
        <w:t xml:space="preserve">the community, taking an assets-based approach and requires activities to take place </w:t>
      </w:r>
      <w:r w:rsidRPr="004B6E42">
        <w:rPr>
          <w:rFonts w:cstheme="minorHAnsi"/>
          <w:i/>
        </w:rPr>
        <w:t xml:space="preserve">within </w:t>
      </w:r>
      <w:r w:rsidRPr="000F7E56">
        <w:rPr>
          <w:rFonts w:cstheme="minorHAnsi"/>
        </w:rPr>
        <w:t>the community: to go to where people are, alongside those they trust and respect.</w:t>
      </w:r>
      <w:r w:rsidRPr="000F7E56">
        <w:rPr>
          <w:rFonts w:cstheme="minorHAnsi"/>
        </w:rPr>
        <w:fldChar w:fldCharType="begin"/>
      </w:r>
      <w:r w:rsidR="000D5597">
        <w:rPr>
          <w:rFonts w:cstheme="minorHAnsi"/>
        </w:rPr>
        <w:instrText xml:space="preserve"> ADDIN ZOTERO_ITEM CSL_CITATION {"citationID":"X2yiT2jn","properties":{"formattedCitation":"\\super 122,123\\nosupersub{}","plainCitation":"122,123","noteIndex":0},"citationItems":[{"id":1547,"uris":["http://zotero.org/users/8748280/items/EHJMEPHH"],"itemData":{"id":1547,"type":"webpage","container-title":"Increasing participation for Black, Asian and Minority Groups in health and social care research","title":"Toolkit for: Increasing participation of Black Asian and Minority Ethnic (BAME) groups in health and social care research","URL":"https://arc-em.nihr.ac.uk/clahrcs-store/increasing-participation-black-asian-and-minority-ethnic-bame-groups-health-and-social","author":[{"family":"Farooqi, Azhar (Professor)","given":""},{"family":"Raghavan, Raghu (Professor)","given":""},{"family":"Jutlla, Karan (Dr)","given":""},{"family":"Patal, Naina","given":""},{"family":"Akroyd, Carol","given":""},{"family":"Desai, Binal","given":""}],"issued":{"date-parts":[["2018"]]}}},{"id":1548,"uris":["http://zotero.org/users/8748280/items/KHKK5LN7"],"itemData":{"id":1548,"type":"chapter","abstract":"The growing pivotal role of community engagement in health education, public health, social work, medicine, and community-engaged and participatory research reflects this approach's time-tested effectiveness and its fit with the most fundamental principles of these fields. Community engagement, as a whole, stresses strengths-based approaches, relevance or starting \"where the people are,\" and the importance of creating environments in which individuals and communities can become empowered as they increase their capacity to solve problems and demand their human rights to fair and equitable conditions that support health. While community engagement has shifted mostly to a collaborative, capacity-building approach, the social action traditions of community organizing are still critical in advocacy that challenges health-damaging policies and conditions that continue to create health inequities. Employing the full range of practices of honoring diversity and addressing inequities demands time and resources and also intellectual and emotional commitments that are strongly embedded within the key concepts and principles discussed in this chapter. Whether engaged in pure community-driven organizing and engagement around issues the community identifies or borrowing skills from community organizing, community-building practice, and coalition partnerships, professionals and researchers can challenge themselves to examine their own cultural humility and dynamics of power in order to understand the complexities of working in partnership toward the goals of community ownership and empowerment. In sum, community engagement and organizing bring essential strategies to a wide variety of community and organizational settings and may hold particular relevance in the changing sociopolitical climate of the twenty-first century. (PsycInfo Database Record (c) 2020 APA, all rights reserved)","container-title":"Health behavior: Theory, research, and practice, 5th ed","event-place":"Hoboken, NJ, US","ISBN":"978-1-118-62898-0","page":"277-300","publisher":"Jossey-Bass/Wiley","publisher-place":"Hoboken, NJ, US","source":"APA PsycNet","title":"Improving health through community engagement, community organization, and community building","author":[{"family":"Wallerstein","given":"Nina"},{"family":"Minkler","given":"Meredith"},{"family":"Carter-Edwards","given":"Lori"},{"family":"Avila","given":"Magdalena"},{"family":"Sánchez","given":"Victoria"}],"issued":{"date-parts":[["2015"]]}}}],"schema":"https://github.com/citation-style-language/schema/raw/master/csl-citation.json"} </w:instrText>
      </w:r>
      <w:r w:rsidRPr="000F7E56">
        <w:rPr>
          <w:rFonts w:cstheme="minorHAnsi"/>
        </w:rPr>
        <w:fldChar w:fldCharType="separate"/>
      </w:r>
      <w:r w:rsidR="000D5597" w:rsidRPr="000D5597">
        <w:rPr>
          <w:rFonts w:ascii="Calibri" w:hAnsi="Calibri" w:cs="Times New Roman"/>
          <w:szCs w:val="24"/>
          <w:vertAlign w:val="superscript"/>
        </w:rPr>
        <w:t>122,123</w:t>
      </w:r>
      <w:r w:rsidRPr="000F7E56">
        <w:rPr>
          <w:rFonts w:cstheme="minorHAnsi"/>
        </w:rPr>
        <w:fldChar w:fldCharType="end"/>
      </w:r>
    </w:p>
    <w:p w14:paraId="0CF25BC4" w14:textId="77777777" w:rsidR="000F7E56" w:rsidRPr="000F7E56" w:rsidRDefault="000F7E56" w:rsidP="000F7E56">
      <w:pPr>
        <w:spacing w:after="120" w:line="360" w:lineRule="auto"/>
        <w:rPr>
          <w:rFonts w:cstheme="minorHAnsi"/>
        </w:rPr>
      </w:pPr>
      <w:r w:rsidRPr="000F7E56">
        <w:rPr>
          <w:rFonts w:cstheme="minorHAnsi"/>
        </w:rPr>
        <w:t xml:space="preserve">In the first two years of the project we sought to build awareness about the work and to enable the broadest diversity of recruitment (described in chapter 2 methods/recruitment).  As discussed in Chapter 2 we contacted: 177 community groups, community and faith leaders, and the research team were invited to 15 events. This engagement formed a good platform for our dissemination work in the last year of the project when we have sought to share the key messages and to increase collaborative working in order that </w:t>
      </w:r>
      <w:r w:rsidRPr="000F7E56">
        <w:rPr>
          <w:rFonts w:cstheme="minorHAnsi"/>
        </w:rPr>
        <w:lastRenderedPageBreak/>
        <w:t xml:space="preserve">the project may lead to real change for people in their experiences in the last months of their life, when they are dying and for their families and communities in bereavement.  </w:t>
      </w:r>
    </w:p>
    <w:p w14:paraId="48B724D3" w14:textId="77777777" w:rsidR="000F7E56" w:rsidRPr="000F7E56" w:rsidRDefault="000F7E56" w:rsidP="000F7E56">
      <w:pPr>
        <w:spacing w:after="120" w:line="360" w:lineRule="auto"/>
        <w:rPr>
          <w:rFonts w:cstheme="minorHAnsi"/>
        </w:rPr>
      </w:pPr>
      <w:r w:rsidRPr="000F7E56">
        <w:rPr>
          <w:rFonts w:cstheme="minorHAnsi"/>
        </w:rPr>
        <w:t xml:space="preserve">One impactful aspect of our engagement and dissemination work has been through community radio based in Leicester, Ramadan FM (a pop up radio station in 2019 </w:t>
      </w:r>
      <w:hyperlink r:id="rId30" w:history="1">
        <w:r w:rsidRPr="000F7E56">
          <w:rPr>
            <w:rFonts w:cstheme="minorHAnsi"/>
            <w:color w:val="0563C1"/>
            <w:u w:val="single"/>
          </w:rPr>
          <w:t>https://www.mixcloud.com/ramadanfm/irfhan-mururajani-loros-with-irfhan-mururajani/</w:t>
        </w:r>
      </w:hyperlink>
      <w:r w:rsidRPr="000F7E56">
        <w:rPr>
          <w:rFonts w:cstheme="minorHAnsi"/>
        </w:rPr>
        <w:t xml:space="preserve"> and 2020)</w:t>
      </w:r>
      <w:r w:rsidRPr="000F7E56">
        <w:t xml:space="preserve"> </w:t>
      </w:r>
      <w:r w:rsidRPr="000F7E56">
        <w:rPr>
          <w:rFonts w:cstheme="minorHAnsi"/>
        </w:rPr>
        <w:t>https://www.youtube.com/watch?v=LCvydTPL8F0) and EAVA FM.  Both have a social media presence promoting access beyond the live broadcast.</w:t>
      </w:r>
    </w:p>
    <w:p w14:paraId="350C9C74" w14:textId="77777777" w:rsidR="000F7E56" w:rsidRPr="000F7E56" w:rsidRDefault="000F7E56" w:rsidP="000F7E56">
      <w:pPr>
        <w:keepNext/>
        <w:keepLines/>
        <w:spacing w:after="120" w:line="360" w:lineRule="auto"/>
        <w:outlineLvl w:val="1"/>
        <w:rPr>
          <w:rFonts w:asciiTheme="majorHAnsi" w:eastAsiaTheme="majorEastAsia" w:hAnsiTheme="majorHAnsi" w:cstheme="majorBidi"/>
          <w:color w:val="2F5496" w:themeColor="accent1" w:themeShade="BF"/>
          <w:sz w:val="24"/>
          <w:szCs w:val="24"/>
        </w:rPr>
      </w:pPr>
      <w:bookmarkStart w:id="438" w:name="_Toc89764024"/>
      <w:bookmarkStart w:id="439" w:name="_Toc106697868"/>
      <w:r w:rsidRPr="000F7E56">
        <w:rPr>
          <w:rFonts w:asciiTheme="majorHAnsi" w:eastAsiaTheme="majorEastAsia" w:hAnsiTheme="majorHAnsi" w:cstheme="majorBidi"/>
          <w:color w:val="2F5496" w:themeColor="accent1" w:themeShade="BF"/>
          <w:sz w:val="24"/>
          <w:szCs w:val="24"/>
        </w:rPr>
        <w:t>EAVA FM ‘take over’ July 2021</w:t>
      </w:r>
      <w:bookmarkEnd w:id="438"/>
      <w:bookmarkEnd w:id="439"/>
      <w:r w:rsidRPr="000F7E56">
        <w:rPr>
          <w:rFonts w:asciiTheme="majorHAnsi" w:eastAsiaTheme="majorEastAsia" w:hAnsiTheme="majorHAnsi" w:cstheme="majorBidi"/>
          <w:color w:val="2F5496" w:themeColor="accent1" w:themeShade="BF"/>
          <w:sz w:val="24"/>
          <w:szCs w:val="24"/>
        </w:rPr>
        <w:t xml:space="preserve"> </w:t>
      </w:r>
    </w:p>
    <w:p w14:paraId="3FDAD3E6" w14:textId="77777777" w:rsidR="000F7E56" w:rsidRPr="000F7E56" w:rsidRDefault="000F7E56" w:rsidP="000F7E56">
      <w:pPr>
        <w:spacing w:after="120" w:line="360" w:lineRule="auto"/>
        <w:rPr>
          <w:rFonts w:cs="Arial"/>
        </w:rPr>
      </w:pPr>
      <w:r w:rsidRPr="000F7E56">
        <w:rPr>
          <w:rFonts w:cs="Arial"/>
        </w:rPr>
        <w:t xml:space="preserve">EAVA FM is a multilingual radio station broadcasting programmes to meet the needs of all, including new migrant communities. Its objective is to socially develop, inform and entertain which includes a combination of local news, enterprise, music, information, cultural, faith and educational programmes, all supported by community members, and local stakeholders. </w:t>
      </w:r>
    </w:p>
    <w:p w14:paraId="48FFFC84" w14:textId="2AE35CC3" w:rsidR="000F7E56" w:rsidRPr="000F7E56" w:rsidRDefault="000F7E56" w:rsidP="000F7E56">
      <w:pPr>
        <w:spacing w:after="120" w:line="360" w:lineRule="auto"/>
        <w:rPr>
          <w:rFonts w:cstheme="minorHAnsi"/>
        </w:rPr>
      </w:pPr>
      <w:r w:rsidRPr="000F7E56">
        <w:rPr>
          <w:rFonts w:cs="Arial"/>
        </w:rPr>
        <w:t>Collaboration between the PPI co-investigator</w:t>
      </w:r>
      <w:r w:rsidR="004B6E42">
        <w:rPr>
          <w:rFonts w:cs="Arial"/>
        </w:rPr>
        <w:t xml:space="preserve"> (IM)</w:t>
      </w:r>
      <w:r w:rsidRPr="000F7E56">
        <w:rPr>
          <w:rFonts w:cs="Arial"/>
        </w:rPr>
        <w:t xml:space="preserve"> and the station manager led to a daily broadcast for six days in July 2021, discussing the research, and end-of-life experiences and services. The programme host focussed on Somali, African Caribbean, Polish, Hindi speaking, Guajarati speaking and other Asian communities</w:t>
      </w:r>
      <w:r w:rsidRPr="000F7E56">
        <w:rPr>
          <w:rFonts w:cstheme="minorHAnsi"/>
        </w:rPr>
        <w:t xml:space="preserve">. The interviews can be viewed on this page: </w:t>
      </w:r>
      <w:hyperlink r:id="rId31" w:history="1">
        <w:r w:rsidRPr="000F7E56">
          <w:rPr>
            <w:rFonts w:cstheme="minorHAnsi"/>
            <w:color w:val="0563C1"/>
            <w:u w:val="single"/>
          </w:rPr>
          <w:t>https://www.youtube.com/user/eavafmradio</w:t>
        </w:r>
      </w:hyperlink>
    </w:p>
    <w:p w14:paraId="1F872541" w14:textId="77777777" w:rsidR="000F7E56" w:rsidRPr="000F7E56" w:rsidRDefault="000F7E56" w:rsidP="000F7E56">
      <w:pPr>
        <w:spacing w:after="120" w:line="360" w:lineRule="auto"/>
        <w:rPr>
          <w:rFonts w:cstheme="minorHAnsi"/>
        </w:rPr>
      </w:pPr>
      <w:r w:rsidRPr="000F7E56">
        <w:rPr>
          <w:rFonts w:cstheme="minorHAnsi"/>
        </w:rPr>
        <w:t>Community radio engagement enables layers of impact.  Firstly, there is the broadcast itself which is listened to live or on-demand on the radio or via social media channels. Engagement with the live show through viewer comments on-line and through ‘call-ins’ were very few (2-3 per show) but indicated very meaningful impact on listeners in some of their comments. For example, people connected the need for more awareness of palliative and end-of-life care issues with barriers and stigma within their communities which needed to change. Metrics, beyond ‘views’ and ‘likes’ on YouTube uploads and tweets, of the reach and impact are difficult to obtain, especially in such a sensitive topic considered as taboo by many. We know from the radio hosts that many conversations were stimulated, that people, although hesitant, wanted to explore the topic further, but we cannot measure these in number or impact.</w:t>
      </w:r>
    </w:p>
    <w:p w14:paraId="1EACE52A" w14:textId="77777777" w:rsidR="000F7E56" w:rsidRPr="000F7E56" w:rsidRDefault="000F7E56" w:rsidP="000F7E56">
      <w:pPr>
        <w:spacing w:after="120" w:line="360" w:lineRule="auto"/>
        <w:rPr>
          <w:rFonts w:cstheme="minorHAnsi"/>
        </w:rPr>
      </w:pPr>
      <w:r w:rsidRPr="000F7E56">
        <w:rPr>
          <w:rFonts w:cstheme="minorHAnsi"/>
        </w:rPr>
        <w:t>Secondly the hosts of the radio shows are trusted and respected members of their communities with a high profile, some with national awards for services to their community. They are highly motivated to reduce hardship and inequalities in their communities. Their feedback to us after the week of EAVA FM broadcasts showed that, despite for some their own discomfort with the topic, they held a deep commitment to achieving change and a desire to engage and collaborate further on initiatives. One such collaboration on a proposal for community-based bereavement support has already been submitted for consideration.</w:t>
      </w:r>
    </w:p>
    <w:p w14:paraId="69E038B9" w14:textId="77777777" w:rsidR="000F7E56" w:rsidRPr="000F7E56" w:rsidRDefault="000F7E56" w:rsidP="000F7E56">
      <w:pPr>
        <w:spacing w:after="120" w:line="360" w:lineRule="auto"/>
        <w:rPr>
          <w:rFonts w:cstheme="minorHAnsi"/>
        </w:rPr>
      </w:pPr>
      <w:r w:rsidRPr="000F7E56">
        <w:rPr>
          <w:rFonts w:cstheme="minorHAnsi"/>
        </w:rPr>
        <w:t xml:space="preserve">Thirdly, through the trusted radio show hosts, new networks can be built.  Such new networks have been utilised as part of our dissemination and impact strategy by the Community Network Liaison Workers </w:t>
      </w:r>
      <w:r w:rsidRPr="000F7E56">
        <w:rPr>
          <w:rFonts w:cstheme="minorHAnsi"/>
        </w:rPr>
        <w:lastRenderedPageBreak/>
        <w:t xml:space="preserve">(CNLWs) whose activities and impact are detailed below. This endeavour goes beyond what was anticipated in the project plan and illustrates how impactful dissemination must be flexible enough to be pertinent to the target audiences.    </w:t>
      </w:r>
    </w:p>
    <w:p w14:paraId="59ED0173" w14:textId="77777777" w:rsidR="000F7E56" w:rsidRPr="000F7E56" w:rsidRDefault="000F7E56" w:rsidP="000F7E56">
      <w:pPr>
        <w:spacing w:after="120" w:line="360" w:lineRule="auto"/>
        <w:rPr>
          <w:rFonts w:cstheme="minorHAnsi"/>
        </w:rPr>
      </w:pPr>
      <w:r w:rsidRPr="000F7E56">
        <w:rPr>
          <w:rFonts w:cstheme="minorHAnsi"/>
        </w:rPr>
        <w:t>The work with community radio is on-going, with open invitations to return to share more of activities and messages for the communities that the station serves and we continue to build on these relationships.</w:t>
      </w:r>
    </w:p>
    <w:p w14:paraId="745D765C" w14:textId="07A51257" w:rsidR="000F7E56" w:rsidRDefault="000F7E56" w:rsidP="000F7E56">
      <w:pPr>
        <w:keepNext/>
        <w:keepLines/>
        <w:spacing w:before="40" w:after="0" w:line="360" w:lineRule="auto"/>
        <w:outlineLvl w:val="1"/>
        <w:rPr>
          <w:rFonts w:asciiTheme="majorHAnsi" w:eastAsiaTheme="majorEastAsia" w:hAnsiTheme="majorHAnsi" w:cstheme="majorBidi"/>
          <w:color w:val="2F5496" w:themeColor="accent1" w:themeShade="BF"/>
          <w:sz w:val="24"/>
          <w:szCs w:val="24"/>
        </w:rPr>
      </w:pPr>
      <w:bookmarkStart w:id="440" w:name="_Toc89764025"/>
      <w:bookmarkStart w:id="441" w:name="_Toc106697869"/>
      <w:r w:rsidRPr="000F7E56">
        <w:rPr>
          <w:rFonts w:asciiTheme="majorHAnsi" w:eastAsiaTheme="majorEastAsia" w:hAnsiTheme="majorHAnsi" w:cstheme="majorBidi"/>
          <w:color w:val="2F5496" w:themeColor="accent1" w:themeShade="BF"/>
          <w:sz w:val="24"/>
          <w:szCs w:val="24"/>
        </w:rPr>
        <w:t>Community Network Liaison workers (CNLWs)</w:t>
      </w:r>
      <w:bookmarkEnd w:id="440"/>
      <w:bookmarkEnd w:id="441"/>
      <w:r w:rsidRPr="000F7E56">
        <w:rPr>
          <w:rFonts w:asciiTheme="majorHAnsi" w:eastAsiaTheme="majorEastAsia" w:hAnsiTheme="majorHAnsi" w:cstheme="majorBidi"/>
          <w:color w:val="2F5496" w:themeColor="accent1" w:themeShade="BF"/>
          <w:sz w:val="24"/>
          <w:szCs w:val="24"/>
        </w:rPr>
        <w:t xml:space="preserve"> </w:t>
      </w:r>
    </w:p>
    <w:p w14:paraId="62BD48CE" w14:textId="77777777" w:rsidR="00DA32BF" w:rsidRPr="000F7E56" w:rsidRDefault="00DA32BF" w:rsidP="000F7E56">
      <w:pPr>
        <w:keepNext/>
        <w:keepLines/>
        <w:spacing w:before="40" w:after="0" w:line="360" w:lineRule="auto"/>
        <w:outlineLvl w:val="1"/>
        <w:rPr>
          <w:rFonts w:asciiTheme="majorHAnsi" w:eastAsiaTheme="majorEastAsia" w:hAnsiTheme="majorHAnsi" w:cstheme="majorBidi"/>
          <w:color w:val="2F5496" w:themeColor="accent1" w:themeShade="BF"/>
          <w:sz w:val="24"/>
          <w:szCs w:val="24"/>
        </w:rPr>
      </w:pPr>
    </w:p>
    <w:p w14:paraId="4092A29B" w14:textId="77777777" w:rsidR="000F7E56" w:rsidRPr="000F7E56" w:rsidRDefault="000F7E56" w:rsidP="000F7E56">
      <w:pPr>
        <w:spacing w:after="120" w:line="360" w:lineRule="auto"/>
        <w:rPr>
          <w:rFonts w:cstheme="minorHAnsi"/>
        </w:rPr>
      </w:pPr>
      <w:r w:rsidRPr="000F7E56">
        <w:rPr>
          <w:rFonts w:cstheme="minorHAnsi"/>
        </w:rPr>
        <w:t>In June 2021, when the country opened to the possibility of more face-to-face activities, we recruited three part time CNLWs.  We were fortunate to find three bilingual/multilingual people with the availability, experience and drive to reach out to the communities in Leicester and Nottingham, to go where they are, to discuss the findings of the study and to build collaborative relationships to take forward future work to achieve real change.  We needed to develop their skills in this research role, their understanding of the findings, their confidence in discussing end-of-life and dying and their knowledge about services that can be accessed including myth busting</w:t>
      </w:r>
      <w:r w:rsidRPr="000F7E56">
        <w:rPr>
          <w:rFonts w:cstheme="minorHAnsi"/>
          <w:i/>
        </w:rPr>
        <w:t xml:space="preserve"> </w:t>
      </w:r>
      <w:r w:rsidRPr="000F7E56">
        <w:rPr>
          <w:rFonts w:cstheme="minorHAnsi"/>
        </w:rPr>
        <w:t>about hospice and palliative care services.</w:t>
      </w:r>
    </w:p>
    <w:p w14:paraId="5474DF76" w14:textId="77777777" w:rsidR="000F7E56" w:rsidRPr="000F7E56" w:rsidRDefault="000F7E56" w:rsidP="000F7E56">
      <w:pPr>
        <w:spacing w:after="120" w:line="360" w:lineRule="auto"/>
        <w:rPr>
          <w:rFonts w:cstheme="minorHAnsi"/>
        </w:rPr>
      </w:pPr>
      <w:r w:rsidRPr="000F7E56">
        <w:rPr>
          <w:rFonts w:cstheme="minorHAnsi"/>
        </w:rPr>
        <w:t>Between 23</w:t>
      </w:r>
      <w:r w:rsidRPr="000F7E56">
        <w:rPr>
          <w:rFonts w:cstheme="minorHAnsi"/>
          <w:vertAlign w:val="superscript"/>
        </w:rPr>
        <w:t>rd</w:t>
      </w:r>
      <w:r w:rsidRPr="000F7E56">
        <w:rPr>
          <w:rFonts w:cstheme="minorHAnsi"/>
        </w:rPr>
        <w:t xml:space="preserve"> July and 13</w:t>
      </w:r>
      <w:r w:rsidRPr="000F7E56">
        <w:rPr>
          <w:rFonts w:cstheme="minorHAnsi"/>
          <w:vertAlign w:val="superscript"/>
        </w:rPr>
        <w:t>th</w:t>
      </w:r>
      <w:r w:rsidRPr="000F7E56">
        <w:rPr>
          <w:rFonts w:cstheme="minorHAnsi"/>
        </w:rPr>
        <w:t xml:space="preserve"> September 2021, the CNLWs have facilitated discussions at 16 events with 106 people.   The events were diverse and included selective and open groupings; groups at places of worship, women’s groups, a diabetes self-help group, a Bangladeshi community bus trip, picnics, a cultural festival and a young person’s group. The majority of people have been from Asian communities but there has also been contact with Jewish communities. Other communities were not able to be reached in this very short time-frame but the work is ongoing.</w:t>
      </w:r>
    </w:p>
    <w:p w14:paraId="22AD92D4" w14:textId="77777777" w:rsidR="000F7E56" w:rsidRPr="000F7E56" w:rsidRDefault="000F7E56" w:rsidP="000F7E56">
      <w:pPr>
        <w:spacing w:after="120" w:line="360" w:lineRule="auto"/>
        <w:rPr>
          <w:rFonts w:cstheme="minorHAnsi"/>
        </w:rPr>
      </w:pPr>
      <w:r w:rsidRPr="000F7E56">
        <w:rPr>
          <w:rFonts w:cstheme="minorHAnsi"/>
        </w:rPr>
        <w:t>The CNLWs used a number of resources to promote discussion and share information including some of the evidence-based narratives described below.</w:t>
      </w:r>
    </w:p>
    <w:p w14:paraId="77E68423" w14:textId="77777777" w:rsidR="000F7E56" w:rsidRPr="000F7E56" w:rsidRDefault="000F7E56" w:rsidP="000F7E56">
      <w:pPr>
        <w:spacing w:after="120" w:line="360" w:lineRule="auto"/>
        <w:rPr>
          <w:rFonts w:cstheme="minorHAnsi"/>
        </w:rPr>
      </w:pPr>
      <w:r w:rsidRPr="000F7E56">
        <w:rPr>
          <w:rFonts w:cstheme="minorHAnsi"/>
        </w:rPr>
        <w:t>The CNLWs focussed discussions on:</w:t>
      </w:r>
    </w:p>
    <w:p w14:paraId="61682A99" w14:textId="77777777" w:rsidR="000F7E56" w:rsidRPr="000F7E56" w:rsidRDefault="000F7E56" w:rsidP="000C7E4F">
      <w:pPr>
        <w:numPr>
          <w:ilvl w:val="0"/>
          <w:numId w:val="8"/>
        </w:numPr>
        <w:spacing w:after="120" w:line="360" w:lineRule="auto"/>
        <w:contextualSpacing/>
        <w:rPr>
          <w:rFonts w:cstheme="minorHAnsi"/>
        </w:rPr>
      </w:pPr>
      <w:r w:rsidRPr="000F7E56">
        <w:rPr>
          <w:rFonts w:cstheme="minorHAnsi"/>
        </w:rPr>
        <w:t>understanding of what a Hospice is and the services they provide;</w:t>
      </w:r>
    </w:p>
    <w:p w14:paraId="74372165" w14:textId="77777777" w:rsidR="000F7E56" w:rsidRPr="000F7E56" w:rsidRDefault="000F7E56" w:rsidP="000C7E4F">
      <w:pPr>
        <w:numPr>
          <w:ilvl w:val="0"/>
          <w:numId w:val="8"/>
        </w:numPr>
        <w:spacing w:after="120" w:line="360" w:lineRule="auto"/>
        <w:contextualSpacing/>
        <w:rPr>
          <w:rFonts w:cstheme="minorHAnsi"/>
        </w:rPr>
      </w:pPr>
      <w:r w:rsidRPr="000F7E56">
        <w:rPr>
          <w:rFonts w:cstheme="minorHAnsi"/>
        </w:rPr>
        <w:t xml:space="preserve">understanding of End-of-life and Services that might be useful; </w:t>
      </w:r>
    </w:p>
    <w:p w14:paraId="02091C87" w14:textId="081D8738" w:rsidR="000F7E56" w:rsidRPr="000F7E56" w:rsidRDefault="000F7E56" w:rsidP="000C7E4F">
      <w:pPr>
        <w:numPr>
          <w:ilvl w:val="0"/>
          <w:numId w:val="8"/>
        </w:numPr>
        <w:spacing w:after="120" w:line="360" w:lineRule="auto"/>
        <w:contextualSpacing/>
        <w:rPr>
          <w:rFonts w:cstheme="minorHAnsi"/>
        </w:rPr>
      </w:pPr>
      <w:r w:rsidRPr="000F7E56">
        <w:rPr>
          <w:rFonts w:cstheme="minorHAnsi"/>
        </w:rPr>
        <w:t xml:space="preserve">EOLCP planning and the use of the </w:t>
      </w:r>
      <w:proofErr w:type="spellStart"/>
      <w:r w:rsidRPr="000F7E56">
        <w:rPr>
          <w:rFonts w:cstheme="minorHAnsi"/>
        </w:rPr>
        <w:t>ReSPECT</w:t>
      </w:r>
      <w:proofErr w:type="spellEnd"/>
      <w:r w:rsidRPr="000F7E56">
        <w:rPr>
          <w:rFonts w:cstheme="minorHAnsi"/>
        </w:rPr>
        <w:t xml:space="preserve"> form; </w:t>
      </w:r>
      <w:r w:rsidRPr="000F7E56">
        <w:rPr>
          <w:rFonts w:cstheme="minorHAnsi"/>
        </w:rPr>
        <w:fldChar w:fldCharType="begin"/>
      </w:r>
      <w:r w:rsidR="000D5597">
        <w:rPr>
          <w:rFonts w:cstheme="minorHAnsi"/>
        </w:rPr>
        <w:instrText xml:space="preserve"> ADDIN ZOTERO_ITEM CSL_CITATION {"citationID":"sAGoN8MS","properties":{"formattedCitation":"\\super 199\\nosupersub{}","plainCitation":"199","noteIndex":0},"citationItems":[{"id":1551,"uris":["http://zotero.org/users/8748280/items/WICVT44K"],"itemData":{"id":1551,"type":"article-journal","container-title":"Resuscitation","DOI":"10.1016/j.resuscitation.2020.01.003","ISSN":"0300-9572, 1873-1570","journalAbbreviation":"Resuscitation","language":"English","note":"publisher: Elsevier\nPMID: 31945422","page":"98-107","source":"www.resuscitationjournal.com","title":"Development of the Recommended Summary Plan for eEmergency Care and Treatment (ReSPECT)","volume":"148","author":[{"family":"Hawkes","given":"Claire A."},{"family":"Fritz","given":"Zoe"},{"family":"Deas","given":"Gavin"},{"family":"Ahmedzai","given":"Sam H."},{"family":"Richardson","given":"Alison"},{"family":"Pitcher","given":"David"},{"family":"Spiller","given":"Juliet"},{"family":"Perkins","given":"Gavin D."}],"issued":{"date-parts":[["2020",3,1]]}}}],"schema":"https://github.com/citation-style-language/schema/raw/master/csl-citation.json"} </w:instrText>
      </w:r>
      <w:r w:rsidRPr="000F7E56">
        <w:rPr>
          <w:rFonts w:cstheme="minorHAnsi"/>
        </w:rPr>
        <w:fldChar w:fldCharType="separate"/>
      </w:r>
      <w:r w:rsidR="00496C3B" w:rsidRPr="00496C3B">
        <w:rPr>
          <w:rFonts w:ascii="Calibri" w:hAnsi="Calibri" w:cs="Calibri"/>
          <w:szCs w:val="24"/>
          <w:vertAlign w:val="superscript"/>
        </w:rPr>
        <w:t>199</w:t>
      </w:r>
      <w:r w:rsidRPr="000F7E56">
        <w:rPr>
          <w:rFonts w:cstheme="minorHAnsi"/>
        </w:rPr>
        <w:fldChar w:fldCharType="end"/>
      </w:r>
    </w:p>
    <w:p w14:paraId="32980BD5" w14:textId="77777777" w:rsidR="000F7E56" w:rsidRPr="000F7E56" w:rsidRDefault="000F7E56" w:rsidP="000C7E4F">
      <w:pPr>
        <w:numPr>
          <w:ilvl w:val="0"/>
          <w:numId w:val="8"/>
        </w:numPr>
        <w:spacing w:after="120" w:line="360" w:lineRule="auto"/>
        <w:contextualSpacing/>
        <w:rPr>
          <w:rFonts w:cstheme="minorHAnsi"/>
        </w:rPr>
      </w:pPr>
      <w:r w:rsidRPr="000F7E56">
        <w:rPr>
          <w:rFonts w:cstheme="minorHAnsi"/>
        </w:rPr>
        <w:t>discussing planning ahead about their own/their family members end-of-life.</w:t>
      </w:r>
    </w:p>
    <w:p w14:paraId="0E0ACB58" w14:textId="77777777" w:rsidR="000F7E56" w:rsidRPr="000F7E56" w:rsidRDefault="000F7E56" w:rsidP="000F7E56">
      <w:pPr>
        <w:spacing w:after="120" w:line="360" w:lineRule="auto"/>
        <w:rPr>
          <w:rFonts w:cstheme="minorHAnsi"/>
        </w:rPr>
      </w:pPr>
      <w:r w:rsidRPr="000F7E56">
        <w:rPr>
          <w:rFonts w:cstheme="minorHAnsi"/>
        </w:rPr>
        <w:t>Where possible Likert scales were completed at the beginning and end of each event assessing people’s views on these four areas.</w:t>
      </w:r>
    </w:p>
    <w:p w14:paraId="4F2794BB" w14:textId="593F7508" w:rsidR="000F7E56" w:rsidRPr="000F7E56" w:rsidRDefault="000F7E56" w:rsidP="000F7E56">
      <w:pPr>
        <w:keepNext/>
        <w:keepLines/>
        <w:spacing w:before="40" w:after="0" w:line="360" w:lineRule="auto"/>
        <w:outlineLvl w:val="1"/>
        <w:rPr>
          <w:rFonts w:asciiTheme="majorHAnsi" w:eastAsiaTheme="majorEastAsia" w:hAnsiTheme="majorHAnsi" w:cstheme="majorBidi"/>
          <w:color w:val="2F5496" w:themeColor="accent1" w:themeShade="BF"/>
          <w:sz w:val="24"/>
          <w:szCs w:val="24"/>
        </w:rPr>
      </w:pPr>
      <w:bookmarkStart w:id="442" w:name="_Toc106697870"/>
      <w:r w:rsidRPr="000F7E56">
        <w:rPr>
          <w:rFonts w:asciiTheme="majorHAnsi" w:eastAsiaTheme="majorEastAsia" w:hAnsiTheme="majorHAnsi" w:cstheme="majorBidi"/>
          <w:color w:val="2F5496" w:themeColor="accent1" w:themeShade="BF"/>
          <w:sz w:val="24"/>
          <w:szCs w:val="24"/>
        </w:rPr>
        <w:t xml:space="preserve">Key </w:t>
      </w:r>
      <w:r w:rsidR="002B361B">
        <w:rPr>
          <w:rFonts w:asciiTheme="majorHAnsi" w:eastAsiaTheme="majorEastAsia" w:hAnsiTheme="majorHAnsi" w:cstheme="majorBidi"/>
          <w:color w:val="2F5496" w:themeColor="accent1" w:themeShade="BF"/>
          <w:sz w:val="24"/>
          <w:szCs w:val="24"/>
        </w:rPr>
        <w:t>f</w:t>
      </w:r>
      <w:r w:rsidRPr="000F7E56">
        <w:rPr>
          <w:rFonts w:asciiTheme="majorHAnsi" w:eastAsiaTheme="majorEastAsia" w:hAnsiTheme="majorHAnsi" w:cstheme="majorBidi"/>
          <w:color w:val="2F5496" w:themeColor="accent1" w:themeShade="BF"/>
          <w:sz w:val="24"/>
          <w:szCs w:val="24"/>
        </w:rPr>
        <w:t>indings so far</w:t>
      </w:r>
      <w:bookmarkEnd w:id="442"/>
    </w:p>
    <w:p w14:paraId="3C81B8C1" w14:textId="77777777" w:rsidR="000F7E56" w:rsidRPr="000F7E56" w:rsidRDefault="000F7E56" w:rsidP="000F7E56">
      <w:pPr>
        <w:spacing w:after="120" w:line="360" w:lineRule="auto"/>
        <w:rPr>
          <w:rFonts w:cstheme="minorHAnsi"/>
        </w:rPr>
      </w:pPr>
      <w:r w:rsidRPr="000F7E56">
        <w:rPr>
          <w:rFonts w:cstheme="minorHAnsi"/>
        </w:rPr>
        <w:t>The events had a considerable impact on what people indicated about their understanding and likelihood of thinking ahead and planning about their own end-of-life as shown in Figure 6 below.</w:t>
      </w:r>
    </w:p>
    <w:p w14:paraId="57999064" w14:textId="77777777" w:rsidR="000F7E56" w:rsidRPr="000F7E56" w:rsidRDefault="000F7E56" w:rsidP="000F7E56">
      <w:pPr>
        <w:spacing w:before="240" w:line="360" w:lineRule="auto"/>
        <w:rPr>
          <w:rFonts w:cstheme="minorHAnsi"/>
        </w:rPr>
      </w:pPr>
      <w:r w:rsidRPr="000F7E56">
        <w:rPr>
          <w:rFonts w:cstheme="minorHAnsi"/>
          <w:noProof/>
        </w:rPr>
        <w:lastRenderedPageBreak/>
        <w:drawing>
          <wp:inline distT="0" distB="0" distL="0" distR="0" wp14:anchorId="0DBFB2AD" wp14:editId="0E36550B">
            <wp:extent cx="5486400" cy="3200400"/>
            <wp:effectExtent l="0" t="0" r="0" b="0"/>
            <wp:docPr id="6" name="Chart 6"/>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p w14:paraId="394522B9" w14:textId="77777777" w:rsidR="000F7E56" w:rsidRPr="000F7E56" w:rsidRDefault="000F7E56" w:rsidP="000F7E56">
      <w:pPr>
        <w:keepNext/>
        <w:spacing w:after="200" w:line="240" w:lineRule="auto"/>
        <w:jc w:val="both"/>
        <w:rPr>
          <w:rFonts w:cstheme="minorHAnsi"/>
          <w:iCs/>
          <w:color w:val="44546A" w:themeColor="text2"/>
        </w:rPr>
      </w:pPr>
      <w:bookmarkStart w:id="443" w:name="_Toc89966704"/>
      <w:bookmarkStart w:id="444" w:name="_Toc90545005"/>
      <w:r w:rsidRPr="000F7E56">
        <w:rPr>
          <w:rFonts w:cstheme="minorHAnsi"/>
          <w:iCs/>
          <w:color w:val="44546A" w:themeColor="text2"/>
        </w:rPr>
        <w:t xml:space="preserve">FIGURE </w:t>
      </w:r>
      <w:r w:rsidRPr="000F7E56">
        <w:rPr>
          <w:rFonts w:cstheme="minorHAnsi"/>
          <w:iCs/>
          <w:color w:val="44546A" w:themeColor="text2"/>
        </w:rPr>
        <w:fldChar w:fldCharType="begin"/>
      </w:r>
      <w:r w:rsidRPr="000F7E56">
        <w:rPr>
          <w:rFonts w:cstheme="minorHAnsi"/>
          <w:iCs/>
          <w:color w:val="44546A" w:themeColor="text2"/>
        </w:rPr>
        <w:instrText xml:space="preserve"> SEQ Figure \* ARABIC </w:instrText>
      </w:r>
      <w:r w:rsidRPr="000F7E56">
        <w:rPr>
          <w:rFonts w:cstheme="minorHAnsi"/>
          <w:iCs/>
          <w:color w:val="44546A" w:themeColor="text2"/>
        </w:rPr>
        <w:fldChar w:fldCharType="separate"/>
      </w:r>
      <w:r w:rsidRPr="000F7E56">
        <w:rPr>
          <w:rFonts w:cstheme="minorHAnsi"/>
          <w:iCs/>
          <w:noProof/>
          <w:color w:val="44546A" w:themeColor="text2"/>
        </w:rPr>
        <w:t>6</w:t>
      </w:r>
      <w:r w:rsidRPr="000F7E56">
        <w:rPr>
          <w:rFonts w:cstheme="minorHAnsi"/>
          <w:iCs/>
          <w:noProof/>
          <w:color w:val="44546A" w:themeColor="text2"/>
        </w:rPr>
        <w:fldChar w:fldCharType="end"/>
      </w:r>
      <w:r w:rsidRPr="000F7E56">
        <w:rPr>
          <w:rFonts w:cstheme="minorHAnsi"/>
          <w:iCs/>
          <w:noProof/>
          <w:color w:val="44546A" w:themeColor="text2"/>
        </w:rPr>
        <w:t xml:space="preserve"> -</w:t>
      </w:r>
      <w:r w:rsidRPr="000F7E56">
        <w:rPr>
          <w:rFonts w:cstheme="minorHAnsi"/>
          <w:iCs/>
          <w:color w:val="44546A" w:themeColor="text2"/>
        </w:rPr>
        <w:t xml:space="preserve"> Mean scores of participation at beginning and end of community event</w:t>
      </w:r>
      <w:bookmarkEnd w:id="443"/>
      <w:bookmarkEnd w:id="444"/>
    </w:p>
    <w:p w14:paraId="2C51D73E" w14:textId="77777777" w:rsidR="000F7E56" w:rsidRPr="000F7E56" w:rsidRDefault="000F7E56" w:rsidP="000F7E56">
      <w:pPr>
        <w:spacing w:before="240" w:line="360" w:lineRule="auto"/>
        <w:contextualSpacing/>
        <w:rPr>
          <w:rFonts w:cstheme="minorHAnsi"/>
          <w:bCs/>
        </w:rPr>
      </w:pPr>
      <w:r w:rsidRPr="000F7E56">
        <w:rPr>
          <w:rFonts w:cstheme="minorHAnsi"/>
        </w:rPr>
        <w:t xml:space="preserve">It was evident that most people had little knowledge of this area.  The majority knew very little about what a hospice is or EOLCP, unless they had direct experience of a relative being terminally ill. Views about hospices were shared and misunderstandings and ‘myths’ (such as thinking hospices were a place where you will be left to die without any food or water) were discussed and corrected. Discussions about trust in health services and HCPs were especially layered in the context of COVID-19 and vaccines.  It was also evident that there was an appetite for knowledge and sharing and that such discussions were welcome: ‘Yes, </w:t>
      </w:r>
      <w:r w:rsidRPr="000F7E56">
        <w:rPr>
          <w:rFonts w:cstheme="minorHAnsi"/>
          <w:bCs/>
        </w:rPr>
        <w:t>you need to go to communities to engage them on this topic so that it becomes less taboo’, ‘It has been quite therapeutic, we don’t talk about these things and today we have all shared our personal feelings’</w:t>
      </w:r>
    </w:p>
    <w:p w14:paraId="5ABB3CAA" w14:textId="77777777" w:rsidR="000F7E56" w:rsidRPr="000F7E56" w:rsidRDefault="000F7E56" w:rsidP="000F7E56">
      <w:pPr>
        <w:spacing w:before="240" w:line="360" w:lineRule="auto"/>
        <w:rPr>
          <w:rFonts w:cstheme="minorHAnsi"/>
        </w:rPr>
      </w:pPr>
      <w:r w:rsidRPr="000F7E56">
        <w:rPr>
          <w:rFonts w:cstheme="minorHAnsi"/>
        </w:rPr>
        <w:t>The key messages so far are that people:</w:t>
      </w:r>
    </w:p>
    <w:p w14:paraId="5C13291D" w14:textId="77777777" w:rsidR="000F7E56" w:rsidRPr="000F7E56" w:rsidRDefault="000F7E56" w:rsidP="000C7E4F">
      <w:pPr>
        <w:numPr>
          <w:ilvl w:val="0"/>
          <w:numId w:val="10"/>
        </w:numPr>
        <w:spacing w:before="240" w:after="200" w:line="360" w:lineRule="auto"/>
        <w:contextualSpacing/>
        <w:rPr>
          <w:rFonts w:cstheme="minorHAnsi"/>
        </w:rPr>
      </w:pPr>
      <w:r w:rsidRPr="000F7E56">
        <w:rPr>
          <w:rFonts w:cstheme="minorHAnsi"/>
        </w:rPr>
        <w:t>want to know more and also have an opportunity to visit a hospice;</w:t>
      </w:r>
    </w:p>
    <w:p w14:paraId="661D11D4" w14:textId="77777777" w:rsidR="000F7E56" w:rsidRPr="000F7E56" w:rsidRDefault="000F7E56" w:rsidP="000C7E4F">
      <w:pPr>
        <w:numPr>
          <w:ilvl w:val="0"/>
          <w:numId w:val="10"/>
        </w:numPr>
        <w:spacing w:before="240" w:after="200" w:line="360" w:lineRule="auto"/>
        <w:contextualSpacing/>
        <w:rPr>
          <w:rFonts w:cstheme="minorHAnsi"/>
        </w:rPr>
      </w:pPr>
      <w:r w:rsidRPr="000F7E56">
        <w:rPr>
          <w:rFonts w:cstheme="minorHAnsi"/>
        </w:rPr>
        <w:t xml:space="preserve">wanted to know more about the </w:t>
      </w:r>
      <w:proofErr w:type="spellStart"/>
      <w:r w:rsidRPr="000F7E56">
        <w:rPr>
          <w:rFonts w:cstheme="minorHAnsi"/>
        </w:rPr>
        <w:t>ReSPECT</w:t>
      </w:r>
      <w:proofErr w:type="spellEnd"/>
      <w:r w:rsidRPr="000F7E56">
        <w:rPr>
          <w:rFonts w:cstheme="minorHAnsi"/>
        </w:rPr>
        <w:t xml:space="preserve"> form. </w:t>
      </w:r>
    </w:p>
    <w:p w14:paraId="0441D91F" w14:textId="77777777" w:rsidR="000F7E56" w:rsidRPr="000F7E56" w:rsidRDefault="000F7E56" w:rsidP="000F7E56">
      <w:pPr>
        <w:spacing w:before="240" w:line="360" w:lineRule="auto"/>
        <w:rPr>
          <w:rFonts w:cstheme="minorHAnsi"/>
        </w:rPr>
      </w:pPr>
      <w:r w:rsidRPr="000F7E56">
        <w:rPr>
          <w:rFonts w:cstheme="minorHAnsi"/>
        </w:rPr>
        <w:t>Their suggestions as to what would be useful are:</w:t>
      </w:r>
    </w:p>
    <w:p w14:paraId="6D332B56" w14:textId="77777777" w:rsidR="000F7E56" w:rsidRPr="000F7E56" w:rsidRDefault="000F7E56" w:rsidP="000C7E4F">
      <w:pPr>
        <w:numPr>
          <w:ilvl w:val="0"/>
          <w:numId w:val="9"/>
        </w:numPr>
        <w:spacing w:before="240" w:after="200" w:line="360" w:lineRule="auto"/>
        <w:ind w:left="714" w:hanging="357"/>
        <w:contextualSpacing/>
        <w:rPr>
          <w:rFonts w:cstheme="minorHAnsi"/>
          <w:bCs/>
        </w:rPr>
      </w:pPr>
      <w:r w:rsidRPr="000F7E56">
        <w:rPr>
          <w:rFonts w:cstheme="minorHAnsi"/>
          <w:bCs/>
        </w:rPr>
        <w:t>more discussion groups in the communities in terms of different languages;</w:t>
      </w:r>
    </w:p>
    <w:p w14:paraId="5F128178" w14:textId="77777777" w:rsidR="000F7E56" w:rsidRPr="000F7E56" w:rsidRDefault="000F7E56" w:rsidP="000C7E4F">
      <w:pPr>
        <w:numPr>
          <w:ilvl w:val="0"/>
          <w:numId w:val="9"/>
        </w:numPr>
        <w:spacing w:before="240" w:after="200" w:line="360" w:lineRule="auto"/>
        <w:ind w:left="714" w:hanging="357"/>
        <w:contextualSpacing/>
        <w:rPr>
          <w:rFonts w:cstheme="minorHAnsi"/>
        </w:rPr>
      </w:pPr>
      <w:r w:rsidRPr="000F7E56">
        <w:rPr>
          <w:rFonts w:cstheme="minorHAnsi"/>
        </w:rPr>
        <w:t>the majority welcomed more discussion face to face;</w:t>
      </w:r>
    </w:p>
    <w:p w14:paraId="63FDC2EA" w14:textId="77777777" w:rsidR="000F7E56" w:rsidRPr="000F7E56" w:rsidRDefault="000F7E56" w:rsidP="000C7E4F">
      <w:pPr>
        <w:numPr>
          <w:ilvl w:val="0"/>
          <w:numId w:val="9"/>
        </w:numPr>
        <w:spacing w:before="240" w:after="200" w:line="360" w:lineRule="auto"/>
        <w:ind w:left="714" w:hanging="357"/>
        <w:contextualSpacing/>
        <w:rPr>
          <w:rFonts w:cstheme="minorHAnsi"/>
          <w:bCs/>
        </w:rPr>
      </w:pPr>
      <w:r w:rsidRPr="000F7E56">
        <w:rPr>
          <w:rFonts w:cstheme="minorHAnsi"/>
          <w:bCs/>
        </w:rPr>
        <w:t>to put leaflets in the Doctors’ surgery, library;</w:t>
      </w:r>
    </w:p>
    <w:p w14:paraId="192B818C" w14:textId="77777777" w:rsidR="000F7E56" w:rsidRPr="000F7E56" w:rsidRDefault="000F7E56" w:rsidP="000C7E4F">
      <w:pPr>
        <w:numPr>
          <w:ilvl w:val="0"/>
          <w:numId w:val="9"/>
        </w:numPr>
        <w:spacing w:before="240" w:after="200" w:line="360" w:lineRule="auto"/>
        <w:ind w:left="714" w:hanging="357"/>
        <w:contextualSpacing/>
        <w:rPr>
          <w:rFonts w:cstheme="minorHAnsi"/>
          <w:bCs/>
        </w:rPr>
      </w:pPr>
      <w:r w:rsidRPr="000F7E56">
        <w:rPr>
          <w:rFonts w:cstheme="minorHAnsi"/>
          <w:bCs/>
        </w:rPr>
        <w:t>talks on the radio and places of worship;</w:t>
      </w:r>
    </w:p>
    <w:p w14:paraId="351598F9" w14:textId="77777777" w:rsidR="000F7E56" w:rsidRPr="000F7E56" w:rsidRDefault="000F7E56" w:rsidP="000C7E4F">
      <w:pPr>
        <w:numPr>
          <w:ilvl w:val="0"/>
          <w:numId w:val="9"/>
        </w:numPr>
        <w:spacing w:before="240" w:after="200" w:line="360" w:lineRule="auto"/>
        <w:ind w:left="714" w:hanging="357"/>
        <w:contextualSpacing/>
        <w:rPr>
          <w:rFonts w:cstheme="minorHAnsi"/>
        </w:rPr>
      </w:pPr>
      <w:r w:rsidRPr="000F7E56">
        <w:rPr>
          <w:rFonts w:cstheme="minorHAnsi"/>
        </w:rPr>
        <w:t xml:space="preserve">it should be taught in schools. </w:t>
      </w:r>
    </w:p>
    <w:p w14:paraId="189A5C61" w14:textId="77777777" w:rsidR="000F7E56" w:rsidRPr="000F7E56" w:rsidRDefault="000F7E56" w:rsidP="000C7E4F">
      <w:pPr>
        <w:numPr>
          <w:ilvl w:val="0"/>
          <w:numId w:val="9"/>
        </w:numPr>
        <w:spacing w:before="240" w:after="200" w:line="360" w:lineRule="auto"/>
        <w:ind w:left="714" w:hanging="357"/>
        <w:contextualSpacing/>
        <w:rPr>
          <w:rFonts w:cstheme="minorHAnsi"/>
        </w:rPr>
      </w:pPr>
      <w:r w:rsidRPr="000F7E56">
        <w:rPr>
          <w:rFonts w:cstheme="minorHAnsi"/>
        </w:rPr>
        <w:t>the information should be made available online and on social media for young people;</w:t>
      </w:r>
    </w:p>
    <w:p w14:paraId="74D6B97F" w14:textId="77777777" w:rsidR="000F7E56" w:rsidRPr="000F7E56" w:rsidRDefault="000F7E56" w:rsidP="000C7E4F">
      <w:pPr>
        <w:numPr>
          <w:ilvl w:val="0"/>
          <w:numId w:val="9"/>
        </w:numPr>
        <w:spacing w:before="240" w:after="200" w:line="360" w:lineRule="auto"/>
        <w:ind w:left="714" w:hanging="357"/>
        <w:contextualSpacing/>
        <w:rPr>
          <w:rFonts w:cstheme="minorHAnsi"/>
        </w:rPr>
      </w:pPr>
      <w:r w:rsidRPr="000F7E56">
        <w:rPr>
          <w:rFonts w:cstheme="minorHAnsi"/>
        </w:rPr>
        <w:lastRenderedPageBreak/>
        <w:t>they wondered if there could be information accessible via an app.</w:t>
      </w:r>
    </w:p>
    <w:p w14:paraId="6C97292E" w14:textId="77777777" w:rsidR="000F7E56" w:rsidRPr="000F7E56" w:rsidRDefault="000F7E56" w:rsidP="000F7E56">
      <w:pPr>
        <w:autoSpaceDE w:val="0"/>
        <w:autoSpaceDN w:val="0"/>
        <w:adjustRightInd w:val="0"/>
        <w:spacing w:after="0" w:line="240" w:lineRule="auto"/>
        <w:rPr>
          <w:rFonts w:cstheme="minorHAnsi"/>
          <w:color w:val="4472C4" w:themeColor="accent1"/>
          <w:sz w:val="32"/>
          <w:szCs w:val="32"/>
        </w:rPr>
      </w:pPr>
    </w:p>
    <w:p w14:paraId="7E13C736" w14:textId="77777777" w:rsidR="000F7E56" w:rsidRPr="000F7E56" w:rsidRDefault="000F7E56" w:rsidP="000F7E56">
      <w:pPr>
        <w:keepNext/>
        <w:keepLines/>
        <w:spacing w:before="40" w:after="0" w:line="360" w:lineRule="auto"/>
        <w:outlineLvl w:val="1"/>
        <w:rPr>
          <w:rFonts w:asciiTheme="majorHAnsi" w:eastAsiaTheme="majorEastAsia" w:hAnsiTheme="majorHAnsi" w:cstheme="majorBidi"/>
          <w:color w:val="2F5496" w:themeColor="accent1" w:themeShade="BF"/>
          <w:sz w:val="24"/>
          <w:szCs w:val="24"/>
        </w:rPr>
      </w:pPr>
      <w:bookmarkStart w:id="445" w:name="_Toc89764026"/>
      <w:bookmarkStart w:id="446" w:name="_Toc106697871"/>
      <w:r w:rsidRPr="000F7E56">
        <w:rPr>
          <w:rFonts w:asciiTheme="majorHAnsi" w:eastAsiaTheme="majorEastAsia" w:hAnsiTheme="majorHAnsi" w:cstheme="majorBidi"/>
          <w:color w:val="2F5496" w:themeColor="accent1" w:themeShade="BF"/>
          <w:sz w:val="24"/>
          <w:szCs w:val="24"/>
        </w:rPr>
        <w:t>Training for professionals</w:t>
      </w:r>
      <w:bookmarkEnd w:id="445"/>
      <w:bookmarkEnd w:id="446"/>
    </w:p>
    <w:p w14:paraId="57CE6C69" w14:textId="01923BAE" w:rsidR="000F7E56" w:rsidRDefault="000F7E56" w:rsidP="000F7E56">
      <w:pPr>
        <w:keepNext/>
        <w:keepLines/>
        <w:spacing w:before="40" w:after="0" w:line="276" w:lineRule="auto"/>
        <w:outlineLvl w:val="2"/>
        <w:rPr>
          <w:rFonts w:asciiTheme="majorHAnsi" w:eastAsiaTheme="majorEastAsia" w:hAnsiTheme="majorHAnsi" w:cstheme="majorBidi"/>
          <w:color w:val="1F3763" w:themeColor="accent1" w:themeShade="7F"/>
          <w:sz w:val="24"/>
          <w:szCs w:val="24"/>
        </w:rPr>
      </w:pPr>
      <w:bookmarkStart w:id="447" w:name="_Toc89764027"/>
      <w:bookmarkStart w:id="448" w:name="_Toc106697872"/>
      <w:r w:rsidRPr="000F7E56">
        <w:rPr>
          <w:rFonts w:asciiTheme="majorHAnsi" w:eastAsiaTheme="majorEastAsia" w:hAnsiTheme="majorHAnsi" w:cstheme="majorBidi"/>
          <w:color w:val="1F3763" w:themeColor="accent1" w:themeShade="7F"/>
          <w:sz w:val="24"/>
          <w:szCs w:val="24"/>
        </w:rPr>
        <w:t>Fictionalised evidence-based narratives</w:t>
      </w:r>
      <w:bookmarkEnd w:id="447"/>
      <w:bookmarkEnd w:id="448"/>
      <w:r w:rsidRPr="000F7E56">
        <w:rPr>
          <w:rFonts w:asciiTheme="majorHAnsi" w:eastAsiaTheme="majorEastAsia" w:hAnsiTheme="majorHAnsi" w:cstheme="majorBidi"/>
          <w:color w:val="1F3763" w:themeColor="accent1" w:themeShade="7F"/>
          <w:sz w:val="24"/>
          <w:szCs w:val="24"/>
        </w:rPr>
        <w:t xml:space="preserve"> </w:t>
      </w:r>
    </w:p>
    <w:p w14:paraId="62082367" w14:textId="77777777" w:rsidR="00DA32BF" w:rsidRPr="000F7E56" w:rsidRDefault="00DA32BF" w:rsidP="000F7E56">
      <w:pPr>
        <w:keepNext/>
        <w:keepLines/>
        <w:spacing w:before="40" w:after="0" w:line="276" w:lineRule="auto"/>
        <w:outlineLvl w:val="2"/>
        <w:rPr>
          <w:rFonts w:asciiTheme="majorHAnsi" w:eastAsiaTheme="majorEastAsia" w:hAnsiTheme="majorHAnsi" w:cstheme="majorBidi"/>
          <w:color w:val="1F3763" w:themeColor="accent1" w:themeShade="7F"/>
          <w:sz w:val="24"/>
          <w:szCs w:val="24"/>
        </w:rPr>
      </w:pPr>
    </w:p>
    <w:p w14:paraId="2521D37C" w14:textId="23B740F3" w:rsidR="000F7E56" w:rsidRPr="000F7E56" w:rsidRDefault="000F7E56" w:rsidP="000F7E56">
      <w:pPr>
        <w:autoSpaceDE w:val="0"/>
        <w:autoSpaceDN w:val="0"/>
        <w:adjustRightInd w:val="0"/>
        <w:spacing w:after="120" w:line="360" w:lineRule="auto"/>
        <w:rPr>
          <w:rFonts w:cstheme="minorHAnsi"/>
        </w:rPr>
      </w:pPr>
      <w:r w:rsidRPr="000F7E56">
        <w:rPr>
          <w:rFonts w:cstheme="minorHAnsi"/>
        </w:rPr>
        <w:t>There is evidence to suggest that sharing key messages through stories has a greater potential than other methodologies for changing attitudes and having an impact on behaviours.  A story is distinct from a series of sentences in its activation of affective, cognitive and belief changes in the story receivers.</w:t>
      </w:r>
      <w:r w:rsidRPr="000F7E56">
        <w:rPr>
          <w:rFonts w:cstheme="minorHAnsi"/>
        </w:rPr>
        <w:fldChar w:fldCharType="begin"/>
      </w:r>
      <w:r w:rsidR="000D5597">
        <w:rPr>
          <w:rFonts w:cstheme="minorHAnsi"/>
        </w:rPr>
        <w:instrText xml:space="preserve"> ADDIN ZOTERO_ITEM CSL_CITATION {"citationID":"U95jhWK5","properties":{"formattedCitation":"\\super 200\\nosupersub{}","plainCitation":"200","noteIndex":0},"citationItems":[{"id":1557,"uris":["http://zotero.org/users/8748280/items/5MT2IQBD"],"itemData":{"id":1557,"type":"article-journal","abstract":"Participants estimated the attractiveness of vacations described in 2 travel brochures. The information about 1 vacation was conveyed in a narrative that described the sequence of events that would occur. In contrast, information about the other vacation was conveyed in an ostensibly unorganized list. Vacations were generally evaluated more favorably when they were described in a narrative than when their features were simply listed. Moreover, this difference increased when (a) negative features of the vacations were mentioned, (b) pictures accompanied the text information, or (c) recipients were encouraged to imagine themselves having the experiences described. Although narrative forms of information elicited more extreme affective reactions than list forms, this did not account for the difference in their effectiveness. Rather, the advantage of narratives was attributed to (a) their structural similarity to information acquired through daily life experiences and (b) the use of a holistic—as opposed to a piecemeal—strategy for computing judgments.","container-title":"Journal of Consumer Psychology","DOI":"10.1207/s15327663jcp0703_01","ISSN":"1057-7408","issue":"3","journalAbbreviation":"Journal of Consumer Psychology","language":"en","page":"207-245","source":"ScienceDirect","title":"The Role of Narratives in Consumer Information Processing","volume":"7","author":[{"family":"Adaval","given":"Rashmi"},{"family":"Wyer","given":"Robert S."}],"issued":{"date-parts":[["1998",1,1]]}}}],"schema":"https://github.com/citation-style-language/schema/raw/master/csl-citation.json"} </w:instrText>
      </w:r>
      <w:r w:rsidRPr="000F7E56">
        <w:rPr>
          <w:rFonts w:cstheme="minorHAnsi"/>
        </w:rPr>
        <w:fldChar w:fldCharType="separate"/>
      </w:r>
      <w:r w:rsidR="00496C3B" w:rsidRPr="00496C3B">
        <w:rPr>
          <w:rFonts w:ascii="Calibri" w:hAnsi="Calibri" w:cs="Calibri"/>
          <w:szCs w:val="24"/>
          <w:vertAlign w:val="superscript"/>
        </w:rPr>
        <w:t>200</w:t>
      </w:r>
      <w:r w:rsidRPr="000F7E56">
        <w:rPr>
          <w:rFonts w:cstheme="minorHAnsi"/>
        </w:rPr>
        <w:fldChar w:fldCharType="end"/>
      </w:r>
      <w:r w:rsidRPr="000F7E56">
        <w:rPr>
          <w:rFonts w:cstheme="minorHAnsi"/>
        </w:rPr>
        <w:t xml:space="preserve"> Stories are often used with the public as interventions to influence health behaviours.</w:t>
      </w:r>
      <w:r w:rsidRPr="000F7E56">
        <w:rPr>
          <w:rFonts w:cstheme="minorHAnsi"/>
        </w:rPr>
        <w:fldChar w:fldCharType="begin"/>
      </w:r>
      <w:r w:rsidR="000D5597">
        <w:rPr>
          <w:rFonts w:cstheme="minorHAnsi"/>
        </w:rPr>
        <w:instrText xml:space="preserve"> ADDIN ZOTERO_ITEM CSL_CITATION {"citationID":"ai902dk3vn","properties":{"formattedCitation":"\\super 201,202\\nosupersub{}","plainCitation":"201,202","noteIndex":0},"citationItems":[{"id":1559,"uris":["http://zotero.org/users/8748280/items/U78S3AHE"],"itemData":{"id":1559,"type":"article-journal","container-title":"The Lancet","DOI":"10.1016/S0140-6736(21)00841-2","ISSN":"01406736","issue":"10284","journalAbbreviation":"The Lancet","language":"en","page":"1536-1537","source":"DOI.org (Crossref)","title":"Public health storytelling practice","volume":"397","author":[{"family":"Saffran","given":"Lise"}],"issued":{"date-parts":[["2021",4]]}}},{"id":1560,"uris":["http://zotero.org/users/8748280/items/ATAJH9SJ"],"itemData":{"id":1560,"type":"article-journal","abstract":"Public health interventions using narratives, or stories, as a means for encouraging behavior change are common, especially in the developing world. Entertainment-education (EE) is perhaps the most widely researched form of such \"narrative intervention,\" but many other kinds of interventions, or parts of interventions, rely on stories to convey information about behavior risk and to model risk avoidance. Although narrative interventions are often grounded in social-cognitive theory and in commonsense assumptions about the power of storytelling, they are generally undertaken without much regard for the philosophical and cognitive bases for narrative about which much has been written. Many aspects of narrative intervention in behavior and public health could be better understood in light this literature. These include the 1) challenges inherent in creating and building on a discourse around behavior change in non-Western contexts; 2) current emphasis in public health on production rather than reception and the fundamental problem of interpretation; 3) differences between messaging versus providing an alternative worldview, and finally; 4) issues surrounding the appropriate approach to the evaluation of a narrative intervention.","container-title":"Journal of Health Communication","DOI":"10.1080/10810730701441371","ISSN":"1081-0730","issue":"5","journalAbbreviation":"J Health Commun","language":"eng","note":"PMID: 17710598","page":"493-505","source":"PubMed","title":"Narrative intervention in behavior and public health","volume":"12","author":[{"family":"Petraglia","given":"Joseph"}],"issued":{"date-parts":[["2007",8]]}}}],"schema":"https://github.com/citation-style-language/schema/raw/master/csl-citation.json"} </w:instrText>
      </w:r>
      <w:r w:rsidRPr="000F7E56">
        <w:rPr>
          <w:rFonts w:cstheme="minorHAnsi"/>
        </w:rPr>
        <w:fldChar w:fldCharType="separate"/>
      </w:r>
      <w:r w:rsidR="00496C3B" w:rsidRPr="00496C3B">
        <w:rPr>
          <w:rFonts w:ascii="Calibri" w:hAnsi="Calibri" w:cs="Calibri"/>
          <w:szCs w:val="24"/>
          <w:vertAlign w:val="superscript"/>
        </w:rPr>
        <w:t>201,202</w:t>
      </w:r>
      <w:r w:rsidRPr="000F7E56">
        <w:rPr>
          <w:rFonts w:cstheme="minorHAnsi"/>
        </w:rPr>
        <w:fldChar w:fldCharType="end"/>
      </w:r>
      <w:r w:rsidRPr="000F7E56">
        <w:rPr>
          <w:rFonts w:cstheme="minorHAnsi"/>
        </w:rPr>
        <w:t xml:space="preserve"> Narrative based medicine has been shown to enhance and sustain the development of empathic practice of clinicians.</w:t>
      </w:r>
      <w:r w:rsidRPr="000F7E56">
        <w:rPr>
          <w:rFonts w:cstheme="minorHAnsi"/>
        </w:rPr>
        <w:fldChar w:fldCharType="begin"/>
      </w:r>
      <w:r w:rsidR="000D5597">
        <w:rPr>
          <w:rFonts w:cstheme="minorHAnsi"/>
        </w:rPr>
        <w:instrText xml:space="preserve"> ADDIN ZOTERO_ITEM CSL_CITATION {"citationID":"V4Im23mG","properties":{"formattedCitation":"\\super 203\\nosupersub{}","plainCitation":"203","noteIndex":0},"citationItems":[{"id":1562,"uris":["http://zotero.org/users/8748280/items/DDYJ8FAC"],"itemData":{"id":1562,"type":"article-journal","abstract":"Aim: Narrative medicine has been promoted as an innovative and effective means of stimulating medical students' professional development by teaching them to approach their patients' experiences of illness with more understanding and compassion. This systematic literature review aims to answer the following question: what evidence of effect is available in the literature about models for teaching narrative medicine? Methods: We conducted a narrative review of 36 articles and used the Best Evidence in Medical Education (BEME) Global Scale and Kirkpatrick Scale for strength and importance of evidence to categorize reported assessment strategies and to evaluate the effectiveness of their narrative medicine programs. Results: We found evidence that narrative medicine is an effective pedagogic tool with a clear and replicable structure and methodology. We also determined that a positive impact could be measured when pertaining to participation and modification of attitudes, knowledge, and skills. However, unequivocal evidence of the effect of narrative medicine on students' behavior or ongoing interaction with colleagues and patients is still lacking. Conclusion: While many recent publications describe the goals and virtues of a narrative-based approach, more research is needed to determine whether or not there is an ideological consensus undergirding this approach. In addition, it is still unclear whether the long-term impact of narrative medicine classroom interventions are felt by patients, or whether such interventions positively impact patient care.","container-title":"Medical Teacher","DOI":"10.1080/0142159X.2019.1584274","ISSN":"1466-187X","issue":"7","journalAbbreviation":"Med Teach","language":"eng","note":"PMID: 30983460","page":"802-810","source":"PubMed","title":"Narrative medicine as a medical education tool: A systematic review","title-short":"Narrative medicine as a medical education tool","volume":"41","author":[{"family":"Milota","given":"M. M."},{"family":"Thiel","given":"G. J. M. W.","non-dropping-particle":"van"},{"family":"Delden","given":"J. J. M.","non-dropping-particle":"van"}],"issued":{"date-parts":[["2019",7]]}}}],"schema":"https://github.com/citation-style-language/schema/raw/master/csl-citation.json"} </w:instrText>
      </w:r>
      <w:r w:rsidRPr="000F7E56">
        <w:rPr>
          <w:rFonts w:cstheme="minorHAnsi"/>
        </w:rPr>
        <w:fldChar w:fldCharType="separate"/>
      </w:r>
      <w:r w:rsidR="00496C3B" w:rsidRPr="00496C3B">
        <w:rPr>
          <w:rFonts w:ascii="Calibri" w:hAnsi="Calibri" w:cs="Calibri"/>
          <w:szCs w:val="24"/>
          <w:vertAlign w:val="superscript"/>
        </w:rPr>
        <w:t>203</w:t>
      </w:r>
      <w:r w:rsidRPr="000F7E56">
        <w:rPr>
          <w:rFonts w:cstheme="minorHAnsi"/>
        </w:rPr>
        <w:fldChar w:fldCharType="end"/>
      </w:r>
    </w:p>
    <w:p w14:paraId="1DBAFFA2" w14:textId="77777777" w:rsidR="000F7E56" w:rsidRPr="000F7E56" w:rsidRDefault="000F7E56" w:rsidP="000F7E56">
      <w:pPr>
        <w:autoSpaceDE w:val="0"/>
        <w:autoSpaceDN w:val="0"/>
        <w:adjustRightInd w:val="0"/>
        <w:spacing w:after="120" w:line="360" w:lineRule="auto"/>
        <w:rPr>
          <w:rFonts w:cstheme="minorHAnsi"/>
        </w:rPr>
      </w:pPr>
      <w:r w:rsidRPr="000F7E56">
        <w:rPr>
          <w:rFonts w:cstheme="minorHAnsi"/>
        </w:rPr>
        <w:t>Research in the ability of narratives to transport their audience and thereby open them to new ideas and different ways of thinking and acting suggests that empathy with characters, identification with characters and vivid imagery change the usual way of thinking and acting of the person ‘hearing’ it.</w:t>
      </w:r>
      <w:r w:rsidRPr="000F7E56">
        <w:t xml:space="preserve"> </w:t>
      </w:r>
      <w:r w:rsidRPr="000F7E56">
        <w:rPr>
          <w:rFonts w:cstheme="minorHAnsi"/>
        </w:rPr>
        <w:t xml:space="preserve"> </w:t>
      </w:r>
    </w:p>
    <w:p w14:paraId="29EDBD8C" w14:textId="13DFD184" w:rsidR="000F7E56" w:rsidRPr="000F7E56" w:rsidRDefault="000F7E56" w:rsidP="000F7E56">
      <w:pPr>
        <w:autoSpaceDE w:val="0"/>
        <w:autoSpaceDN w:val="0"/>
        <w:adjustRightInd w:val="0"/>
        <w:spacing w:after="120" w:line="360" w:lineRule="auto"/>
        <w:rPr>
          <w:rFonts w:cstheme="minorHAnsi"/>
        </w:rPr>
      </w:pPr>
      <w:r w:rsidRPr="000F7E56">
        <w:rPr>
          <w:rFonts w:cstheme="minorHAnsi"/>
        </w:rPr>
        <w:t xml:space="preserve">In addition to the summary narratives for each of the 18 case studies that we present three examples of in </w:t>
      </w:r>
      <w:r w:rsidR="00A22068">
        <w:rPr>
          <w:rFonts w:cstheme="minorHAnsi"/>
        </w:rPr>
        <w:t xml:space="preserve">Tables 14-16, </w:t>
      </w:r>
      <w:r w:rsidRPr="000F7E56">
        <w:rPr>
          <w:rFonts w:cstheme="minorHAnsi"/>
        </w:rPr>
        <w:t>Appendix 2 we have developed fictionalised narratives and stories based on the experiences of the 103 interview participants that convey the findings of this project in a number of outputs:</w:t>
      </w:r>
    </w:p>
    <w:p w14:paraId="208D7994" w14:textId="77777777" w:rsidR="000F7E56" w:rsidRPr="000F7E56" w:rsidRDefault="000F7E56" w:rsidP="000C7E4F">
      <w:pPr>
        <w:numPr>
          <w:ilvl w:val="0"/>
          <w:numId w:val="7"/>
        </w:numPr>
        <w:autoSpaceDE w:val="0"/>
        <w:autoSpaceDN w:val="0"/>
        <w:adjustRightInd w:val="0"/>
        <w:spacing w:after="120" w:line="360" w:lineRule="auto"/>
        <w:contextualSpacing/>
        <w:rPr>
          <w:rFonts w:cstheme="minorHAnsi"/>
        </w:rPr>
      </w:pPr>
      <w:r w:rsidRPr="000F7E56">
        <w:rPr>
          <w:rFonts w:cstheme="minorHAnsi"/>
        </w:rPr>
        <w:t xml:space="preserve">Third person narratives; </w:t>
      </w:r>
    </w:p>
    <w:p w14:paraId="6E7DF4CF" w14:textId="77777777" w:rsidR="000F7E56" w:rsidRPr="000F7E56" w:rsidRDefault="000F7E56" w:rsidP="000C7E4F">
      <w:pPr>
        <w:numPr>
          <w:ilvl w:val="0"/>
          <w:numId w:val="7"/>
        </w:numPr>
        <w:autoSpaceDE w:val="0"/>
        <w:autoSpaceDN w:val="0"/>
        <w:adjustRightInd w:val="0"/>
        <w:spacing w:after="120" w:line="360" w:lineRule="auto"/>
        <w:contextualSpacing/>
        <w:rPr>
          <w:rFonts w:cstheme="minorHAnsi"/>
        </w:rPr>
      </w:pPr>
      <w:r w:rsidRPr="000F7E56">
        <w:rPr>
          <w:rFonts w:cstheme="minorHAnsi"/>
        </w:rPr>
        <w:t>First person narratives (scripts);</w:t>
      </w:r>
    </w:p>
    <w:p w14:paraId="7125A56D" w14:textId="77777777" w:rsidR="000F7E56" w:rsidRPr="000F7E56" w:rsidRDefault="000F7E56" w:rsidP="000C7E4F">
      <w:pPr>
        <w:numPr>
          <w:ilvl w:val="0"/>
          <w:numId w:val="7"/>
        </w:numPr>
        <w:autoSpaceDE w:val="0"/>
        <w:autoSpaceDN w:val="0"/>
        <w:adjustRightInd w:val="0"/>
        <w:spacing w:after="120" w:line="360" w:lineRule="auto"/>
        <w:contextualSpacing/>
        <w:rPr>
          <w:rFonts w:cstheme="minorHAnsi"/>
        </w:rPr>
      </w:pPr>
      <w:r w:rsidRPr="000F7E56">
        <w:rPr>
          <w:rFonts w:cstheme="minorHAnsi"/>
        </w:rPr>
        <w:t>Audio recordings of first-person narratives in long (circa 5 minutes) and short (circa 2 minutes) formats.</w:t>
      </w:r>
    </w:p>
    <w:p w14:paraId="4C484D18" w14:textId="77777777" w:rsidR="000F7E56" w:rsidRPr="000F7E56" w:rsidRDefault="000F7E56" w:rsidP="000F7E56">
      <w:pPr>
        <w:autoSpaceDE w:val="0"/>
        <w:autoSpaceDN w:val="0"/>
        <w:adjustRightInd w:val="0"/>
        <w:spacing w:after="120" w:line="360" w:lineRule="auto"/>
        <w:rPr>
          <w:rFonts w:cstheme="minorHAnsi"/>
        </w:rPr>
      </w:pPr>
      <w:r w:rsidRPr="000F7E56">
        <w:rPr>
          <w:rFonts w:cstheme="minorHAnsi"/>
        </w:rPr>
        <w:t xml:space="preserve">These narratives have evolved and developed iteratively, informed extensively by PCBR members’ comments, researcher field notes from work stream 3 following their use in online group workshops and offline workbooks and from their use in conference talks and teaching. </w:t>
      </w:r>
    </w:p>
    <w:p w14:paraId="0CC26D5C" w14:textId="77777777" w:rsidR="000F7E56" w:rsidRPr="000F7E56" w:rsidRDefault="000F7E56" w:rsidP="000F7E56">
      <w:pPr>
        <w:autoSpaceDE w:val="0"/>
        <w:autoSpaceDN w:val="0"/>
        <w:adjustRightInd w:val="0"/>
        <w:spacing w:after="120" w:line="360" w:lineRule="auto"/>
        <w:rPr>
          <w:rFonts w:cstheme="minorHAnsi"/>
        </w:rPr>
      </w:pPr>
      <w:r w:rsidRPr="000F7E56">
        <w:rPr>
          <w:rFonts w:cstheme="minorHAnsi"/>
        </w:rPr>
        <w:t>We worked with a professional writer/story teller and producer to develop the narratives and the output typologies including the development of the reading performances and the recording and editing of the audio stories. The stories were performed by four professional actors and four volunteers.</w:t>
      </w:r>
    </w:p>
    <w:p w14:paraId="19EA1B85" w14:textId="77777777" w:rsidR="000F7E56" w:rsidRPr="000F7E56" w:rsidRDefault="000F7E56" w:rsidP="000F7E56">
      <w:pPr>
        <w:autoSpaceDE w:val="0"/>
        <w:autoSpaceDN w:val="0"/>
        <w:adjustRightInd w:val="0"/>
        <w:spacing w:after="120" w:line="360" w:lineRule="auto"/>
        <w:rPr>
          <w:rFonts w:cstheme="minorHAnsi"/>
        </w:rPr>
      </w:pPr>
      <w:r w:rsidRPr="000F7E56">
        <w:rPr>
          <w:rFonts w:cstheme="minorHAnsi"/>
        </w:rPr>
        <w:t xml:space="preserve">The narratives have been designed to reflect a diversity of demographic characteristics and contexts and to focus on specific themes arising in our data and are described in Tables 13 for the eight stories that are utilised in the project dissemination and outputs.  The audio recordings and supporting materials including a guide for educators are available on the website  </w:t>
      </w:r>
      <w:hyperlink r:id="rId33" w:history="1">
        <w:r w:rsidRPr="000F7E56">
          <w:rPr>
            <w:rFonts w:cstheme="minorHAnsi"/>
            <w:color w:val="0563C1"/>
            <w:u w:val="single"/>
          </w:rPr>
          <w:t>https://loros.co.uk/research-at-loros/thinking-ahead</w:t>
        </w:r>
      </w:hyperlink>
      <w:r w:rsidRPr="000F7E56">
        <w:rPr>
          <w:rFonts w:cstheme="minorHAnsi"/>
        </w:rPr>
        <w:t xml:space="preserve"> (NB in 2022) and the scripts are included in Appendix 3.  </w:t>
      </w:r>
    </w:p>
    <w:p w14:paraId="452E8087" w14:textId="77777777" w:rsidR="000F7E56" w:rsidRPr="000F7E56" w:rsidRDefault="000F7E56" w:rsidP="000F7E56">
      <w:pPr>
        <w:autoSpaceDE w:val="0"/>
        <w:autoSpaceDN w:val="0"/>
        <w:adjustRightInd w:val="0"/>
        <w:spacing w:after="0" w:line="240" w:lineRule="auto"/>
        <w:rPr>
          <w:rFonts w:cstheme="minorHAnsi"/>
        </w:rPr>
      </w:pPr>
    </w:p>
    <w:p w14:paraId="24059243" w14:textId="77777777" w:rsidR="000F7E56" w:rsidRPr="000F7E56" w:rsidRDefault="000F7E56" w:rsidP="000F7E56">
      <w:pPr>
        <w:autoSpaceDE w:val="0"/>
        <w:autoSpaceDN w:val="0"/>
        <w:adjustRightInd w:val="0"/>
        <w:rPr>
          <w:rFonts w:cstheme="minorHAnsi"/>
          <w:b/>
          <w:bCs/>
        </w:rPr>
        <w:sectPr w:rsidR="000F7E56" w:rsidRPr="000F7E56" w:rsidSect="000F7E56">
          <w:pgSz w:w="11906" w:h="16838"/>
          <w:pgMar w:top="1440" w:right="1134" w:bottom="1440" w:left="1134" w:header="709" w:footer="709" w:gutter="0"/>
          <w:cols w:space="708"/>
          <w:docGrid w:linePitch="360"/>
        </w:sectPr>
      </w:pPr>
    </w:p>
    <w:tbl>
      <w:tblPr>
        <w:tblStyle w:val="TableGrid"/>
        <w:tblW w:w="15385" w:type="dxa"/>
        <w:tblInd w:w="-714" w:type="dxa"/>
        <w:tblLook w:val="04A0" w:firstRow="1" w:lastRow="0" w:firstColumn="1" w:lastColumn="0" w:noHBand="0" w:noVBand="1"/>
      </w:tblPr>
      <w:tblGrid>
        <w:gridCol w:w="1575"/>
        <w:gridCol w:w="572"/>
        <w:gridCol w:w="863"/>
        <w:gridCol w:w="1059"/>
        <w:gridCol w:w="1142"/>
        <w:gridCol w:w="1210"/>
        <w:gridCol w:w="1993"/>
        <w:gridCol w:w="1564"/>
        <w:gridCol w:w="5407"/>
      </w:tblGrid>
      <w:tr w:rsidR="000F7E56" w:rsidRPr="000F7E56" w14:paraId="1F5E8F2C" w14:textId="77777777" w:rsidTr="000F7E56">
        <w:trPr>
          <w:trHeight w:val="604"/>
        </w:trPr>
        <w:tc>
          <w:tcPr>
            <w:tcW w:w="1575" w:type="dxa"/>
          </w:tcPr>
          <w:p w14:paraId="04C8D84E" w14:textId="77777777" w:rsidR="000F7E56" w:rsidRPr="000F7E56" w:rsidRDefault="000F7E56" w:rsidP="000F7E56">
            <w:pPr>
              <w:autoSpaceDE w:val="0"/>
              <w:autoSpaceDN w:val="0"/>
              <w:adjustRightInd w:val="0"/>
              <w:rPr>
                <w:rFonts w:cstheme="minorHAnsi"/>
                <w:b/>
                <w:bCs/>
              </w:rPr>
            </w:pPr>
            <w:r w:rsidRPr="000F7E56">
              <w:rPr>
                <w:rFonts w:cstheme="minorHAnsi"/>
                <w:b/>
                <w:bCs/>
              </w:rPr>
              <w:lastRenderedPageBreak/>
              <w:t>Fictional Character</w:t>
            </w:r>
          </w:p>
          <w:p w14:paraId="281ED226" w14:textId="77777777" w:rsidR="000F7E56" w:rsidRPr="000F7E56" w:rsidRDefault="000F7E56" w:rsidP="000F7E56">
            <w:pPr>
              <w:autoSpaceDE w:val="0"/>
              <w:autoSpaceDN w:val="0"/>
              <w:adjustRightInd w:val="0"/>
              <w:rPr>
                <w:rFonts w:cstheme="minorHAnsi"/>
                <w:b/>
                <w:bCs/>
              </w:rPr>
            </w:pPr>
          </w:p>
        </w:tc>
        <w:tc>
          <w:tcPr>
            <w:tcW w:w="572" w:type="dxa"/>
          </w:tcPr>
          <w:p w14:paraId="4170BCEB" w14:textId="77777777" w:rsidR="000F7E56" w:rsidRPr="000F7E56" w:rsidRDefault="000F7E56" w:rsidP="000F7E56">
            <w:pPr>
              <w:autoSpaceDE w:val="0"/>
              <w:autoSpaceDN w:val="0"/>
              <w:adjustRightInd w:val="0"/>
              <w:rPr>
                <w:rFonts w:cstheme="minorHAnsi"/>
                <w:b/>
                <w:bCs/>
              </w:rPr>
            </w:pPr>
            <w:r w:rsidRPr="000F7E56">
              <w:rPr>
                <w:rFonts w:cstheme="minorHAnsi"/>
                <w:b/>
                <w:bCs/>
              </w:rPr>
              <w:t>Sex</w:t>
            </w:r>
          </w:p>
        </w:tc>
        <w:tc>
          <w:tcPr>
            <w:tcW w:w="863" w:type="dxa"/>
          </w:tcPr>
          <w:p w14:paraId="1D0C574B" w14:textId="77777777" w:rsidR="000F7E56" w:rsidRPr="000F7E56" w:rsidRDefault="000F7E56" w:rsidP="000F7E56">
            <w:pPr>
              <w:autoSpaceDE w:val="0"/>
              <w:autoSpaceDN w:val="0"/>
              <w:adjustRightInd w:val="0"/>
              <w:rPr>
                <w:rFonts w:cstheme="minorHAnsi"/>
                <w:b/>
                <w:bCs/>
              </w:rPr>
            </w:pPr>
            <w:r w:rsidRPr="000F7E56">
              <w:rPr>
                <w:rFonts w:cstheme="minorHAnsi"/>
                <w:b/>
                <w:bCs/>
              </w:rPr>
              <w:t xml:space="preserve">Age </w:t>
            </w:r>
          </w:p>
        </w:tc>
        <w:tc>
          <w:tcPr>
            <w:tcW w:w="0" w:type="auto"/>
          </w:tcPr>
          <w:p w14:paraId="7D7D9C81" w14:textId="77777777" w:rsidR="000F7E56" w:rsidRPr="000F7E56" w:rsidRDefault="000F7E56" w:rsidP="000F7E56">
            <w:pPr>
              <w:autoSpaceDE w:val="0"/>
              <w:autoSpaceDN w:val="0"/>
              <w:adjustRightInd w:val="0"/>
              <w:rPr>
                <w:rFonts w:cstheme="minorHAnsi"/>
                <w:b/>
                <w:bCs/>
              </w:rPr>
            </w:pPr>
            <w:r w:rsidRPr="000F7E56">
              <w:rPr>
                <w:rFonts w:cstheme="minorHAnsi"/>
                <w:b/>
                <w:bCs/>
              </w:rPr>
              <w:t>Role</w:t>
            </w:r>
          </w:p>
        </w:tc>
        <w:tc>
          <w:tcPr>
            <w:tcW w:w="0" w:type="auto"/>
          </w:tcPr>
          <w:p w14:paraId="56E9ECE9" w14:textId="77777777" w:rsidR="000F7E56" w:rsidRPr="000F7E56" w:rsidRDefault="000F7E56" w:rsidP="000F7E56">
            <w:pPr>
              <w:autoSpaceDE w:val="0"/>
              <w:autoSpaceDN w:val="0"/>
              <w:adjustRightInd w:val="0"/>
              <w:rPr>
                <w:rFonts w:cstheme="minorHAnsi"/>
                <w:b/>
                <w:bCs/>
              </w:rPr>
            </w:pPr>
            <w:r w:rsidRPr="000F7E56">
              <w:rPr>
                <w:rFonts w:cstheme="minorHAnsi"/>
                <w:b/>
                <w:bCs/>
              </w:rPr>
              <w:t xml:space="preserve">Ethnicity </w:t>
            </w:r>
          </w:p>
          <w:p w14:paraId="67327DC9" w14:textId="77777777" w:rsidR="000F7E56" w:rsidRPr="000F7E56" w:rsidRDefault="000F7E56" w:rsidP="000F7E56">
            <w:pPr>
              <w:autoSpaceDE w:val="0"/>
              <w:autoSpaceDN w:val="0"/>
              <w:adjustRightInd w:val="0"/>
              <w:rPr>
                <w:rFonts w:cstheme="minorHAnsi"/>
                <w:b/>
                <w:bCs/>
              </w:rPr>
            </w:pPr>
            <w:r w:rsidRPr="000F7E56">
              <w:rPr>
                <w:rFonts w:cstheme="minorHAnsi"/>
                <w:b/>
                <w:bCs/>
              </w:rPr>
              <w:t>Faith</w:t>
            </w:r>
          </w:p>
        </w:tc>
        <w:tc>
          <w:tcPr>
            <w:tcW w:w="1210" w:type="dxa"/>
          </w:tcPr>
          <w:p w14:paraId="17106B61" w14:textId="77777777" w:rsidR="000F7E56" w:rsidRPr="000F7E56" w:rsidRDefault="000F7E56" w:rsidP="000F7E56">
            <w:pPr>
              <w:autoSpaceDE w:val="0"/>
              <w:autoSpaceDN w:val="0"/>
              <w:adjustRightInd w:val="0"/>
              <w:rPr>
                <w:rFonts w:cstheme="minorHAnsi"/>
                <w:b/>
                <w:bCs/>
              </w:rPr>
            </w:pPr>
            <w:r w:rsidRPr="000F7E56">
              <w:rPr>
                <w:rFonts w:cstheme="minorHAnsi"/>
                <w:b/>
                <w:bCs/>
              </w:rPr>
              <w:t>Main location</w:t>
            </w:r>
          </w:p>
        </w:tc>
        <w:tc>
          <w:tcPr>
            <w:tcW w:w="1993" w:type="dxa"/>
          </w:tcPr>
          <w:p w14:paraId="6BF4162B" w14:textId="77777777" w:rsidR="000F7E56" w:rsidRPr="000F7E56" w:rsidRDefault="000F7E56" w:rsidP="000F7E56">
            <w:pPr>
              <w:autoSpaceDE w:val="0"/>
              <w:autoSpaceDN w:val="0"/>
              <w:adjustRightInd w:val="0"/>
              <w:rPr>
                <w:rFonts w:cstheme="minorHAnsi"/>
                <w:b/>
                <w:bCs/>
              </w:rPr>
            </w:pPr>
            <w:r w:rsidRPr="000F7E56">
              <w:rPr>
                <w:rFonts w:cstheme="minorHAnsi"/>
                <w:b/>
                <w:bCs/>
              </w:rPr>
              <w:t>Stage of end-of-life</w:t>
            </w:r>
          </w:p>
        </w:tc>
        <w:tc>
          <w:tcPr>
            <w:tcW w:w="1564" w:type="dxa"/>
          </w:tcPr>
          <w:p w14:paraId="0E0356BA" w14:textId="77777777" w:rsidR="000F7E56" w:rsidRPr="000F7E56" w:rsidRDefault="000F7E56" w:rsidP="000F7E56">
            <w:pPr>
              <w:autoSpaceDE w:val="0"/>
              <w:autoSpaceDN w:val="0"/>
              <w:adjustRightInd w:val="0"/>
              <w:rPr>
                <w:rFonts w:cstheme="minorHAnsi"/>
                <w:b/>
                <w:bCs/>
              </w:rPr>
            </w:pPr>
            <w:r w:rsidRPr="000F7E56">
              <w:rPr>
                <w:rFonts w:cstheme="minorHAnsi"/>
                <w:b/>
                <w:bCs/>
              </w:rPr>
              <w:t>Illness</w:t>
            </w:r>
          </w:p>
        </w:tc>
        <w:tc>
          <w:tcPr>
            <w:tcW w:w="5407" w:type="dxa"/>
          </w:tcPr>
          <w:p w14:paraId="3122CEA6" w14:textId="77777777" w:rsidR="000F7E56" w:rsidRPr="000F7E56" w:rsidRDefault="000F7E56" w:rsidP="000F7E56">
            <w:pPr>
              <w:autoSpaceDE w:val="0"/>
              <w:autoSpaceDN w:val="0"/>
              <w:adjustRightInd w:val="0"/>
              <w:rPr>
                <w:rFonts w:cstheme="minorHAnsi"/>
                <w:b/>
                <w:bCs/>
              </w:rPr>
            </w:pPr>
            <w:r w:rsidRPr="000F7E56">
              <w:rPr>
                <w:rFonts w:cstheme="minorHAnsi"/>
                <w:b/>
                <w:bCs/>
              </w:rPr>
              <w:t>Key themes</w:t>
            </w:r>
          </w:p>
        </w:tc>
      </w:tr>
      <w:tr w:rsidR="000F7E56" w:rsidRPr="000F7E56" w14:paraId="77BC094F" w14:textId="77777777" w:rsidTr="000F7E56">
        <w:trPr>
          <w:trHeight w:val="755"/>
        </w:trPr>
        <w:tc>
          <w:tcPr>
            <w:tcW w:w="1575" w:type="dxa"/>
          </w:tcPr>
          <w:p w14:paraId="09A74ECC" w14:textId="77777777" w:rsidR="000F7E56" w:rsidRPr="000F7E56" w:rsidRDefault="000F7E56" w:rsidP="000F7E56">
            <w:pPr>
              <w:autoSpaceDE w:val="0"/>
              <w:autoSpaceDN w:val="0"/>
              <w:adjustRightInd w:val="0"/>
              <w:rPr>
                <w:rFonts w:cstheme="minorHAnsi"/>
              </w:rPr>
            </w:pPr>
            <w:proofErr w:type="spellStart"/>
            <w:r w:rsidRPr="000F7E56">
              <w:rPr>
                <w:rFonts w:cstheme="minorHAnsi"/>
              </w:rPr>
              <w:t>Tawande</w:t>
            </w:r>
            <w:proofErr w:type="spellEnd"/>
          </w:p>
          <w:p w14:paraId="7286AA58" w14:textId="77777777" w:rsidR="000F7E56" w:rsidRPr="000F7E56" w:rsidRDefault="000F7E56" w:rsidP="000F7E56">
            <w:pPr>
              <w:autoSpaceDE w:val="0"/>
              <w:autoSpaceDN w:val="0"/>
              <w:adjustRightInd w:val="0"/>
              <w:rPr>
                <w:rFonts w:cstheme="minorHAnsi"/>
              </w:rPr>
            </w:pPr>
          </w:p>
          <w:p w14:paraId="3341E1B0" w14:textId="77777777" w:rsidR="000F7E56" w:rsidRPr="000F7E56" w:rsidRDefault="000F7E56" w:rsidP="000F7E56">
            <w:pPr>
              <w:autoSpaceDE w:val="0"/>
              <w:autoSpaceDN w:val="0"/>
              <w:adjustRightInd w:val="0"/>
              <w:rPr>
                <w:rFonts w:cstheme="minorHAnsi"/>
              </w:rPr>
            </w:pPr>
          </w:p>
        </w:tc>
        <w:tc>
          <w:tcPr>
            <w:tcW w:w="572" w:type="dxa"/>
          </w:tcPr>
          <w:p w14:paraId="017BF030" w14:textId="77777777" w:rsidR="000F7E56" w:rsidRPr="000F7E56" w:rsidRDefault="000F7E56" w:rsidP="000F7E56">
            <w:pPr>
              <w:autoSpaceDE w:val="0"/>
              <w:autoSpaceDN w:val="0"/>
              <w:adjustRightInd w:val="0"/>
              <w:rPr>
                <w:rFonts w:cstheme="minorHAnsi"/>
              </w:rPr>
            </w:pPr>
            <w:r w:rsidRPr="000F7E56">
              <w:rPr>
                <w:rFonts w:cstheme="minorHAnsi"/>
              </w:rPr>
              <w:t>M</w:t>
            </w:r>
          </w:p>
        </w:tc>
        <w:tc>
          <w:tcPr>
            <w:tcW w:w="863" w:type="dxa"/>
          </w:tcPr>
          <w:p w14:paraId="0ABA0D59" w14:textId="77777777" w:rsidR="000F7E56" w:rsidRPr="000F7E56" w:rsidRDefault="000F7E56" w:rsidP="000F7E56">
            <w:pPr>
              <w:autoSpaceDE w:val="0"/>
              <w:autoSpaceDN w:val="0"/>
              <w:adjustRightInd w:val="0"/>
              <w:rPr>
                <w:rFonts w:cstheme="minorHAnsi"/>
              </w:rPr>
            </w:pPr>
            <w:r w:rsidRPr="000F7E56">
              <w:rPr>
                <w:rFonts w:cstheme="minorHAnsi"/>
              </w:rPr>
              <w:t>38</w:t>
            </w:r>
          </w:p>
        </w:tc>
        <w:tc>
          <w:tcPr>
            <w:tcW w:w="0" w:type="auto"/>
          </w:tcPr>
          <w:p w14:paraId="1E9ED3BF" w14:textId="77777777" w:rsidR="000F7E56" w:rsidRPr="000F7E56" w:rsidRDefault="000F7E56" w:rsidP="000F7E56">
            <w:pPr>
              <w:autoSpaceDE w:val="0"/>
              <w:autoSpaceDN w:val="0"/>
              <w:adjustRightInd w:val="0"/>
              <w:rPr>
                <w:rFonts w:cstheme="minorHAnsi"/>
              </w:rPr>
            </w:pPr>
            <w:r w:rsidRPr="000F7E56">
              <w:rPr>
                <w:rFonts w:cstheme="minorHAnsi"/>
              </w:rPr>
              <w:t>Patient</w:t>
            </w:r>
          </w:p>
        </w:tc>
        <w:tc>
          <w:tcPr>
            <w:tcW w:w="0" w:type="auto"/>
          </w:tcPr>
          <w:p w14:paraId="4E2DFF25" w14:textId="77777777" w:rsidR="000F7E56" w:rsidRPr="000F7E56" w:rsidRDefault="000F7E56" w:rsidP="000F7E56">
            <w:pPr>
              <w:autoSpaceDE w:val="0"/>
              <w:autoSpaceDN w:val="0"/>
              <w:adjustRightInd w:val="0"/>
              <w:rPr>
                <w:rFonts w:cstheme="minorHAnsi"/>
              </w:rPr>
            </w:pPr>
            <w:r w:rsidRPr="000F7E56">
              <w:rPr>
                <w:rFonts w:cstheme="minorHAnsi"/>
              </w:rPr>
              <w:t xml:space="preserve">African / </w:t>
            </w:r>
          </w:p>
          <w:p w14:paraId="55A20BD7" w14:textId="77777777" w:rsidR="000F7E56" w:rsidRPr="000F7E56" w:rsidRDefault="000F7E56" w:rsidP="000F7E56">
            <w:pPr>
              <w:autoSpaceDE w:val="0"/>
              <w:autoSpaceDN w:val="0"/>
              <w:adjustRightInd w:val="0"/>
              <w:rPr>
                <w:rFonts w:cstheme="minorHAnsi"/>
              </w:rPr>
            </w:pPr>
            <w:r w:rsidRPr="000F7E56">
              <w:rPr>
                <w:rFonts w:cstheme="minorHAnsi"/>
              </w:rPr>
              <w:t>Christian</w:t>
            </w:r>
          </w:p>
        </w:tc>
        <w:tc>
          <w:tcPr>
            <w:tcW w:w="1210" w:type="dxa"/>
          </w:tcPr>
          <w:p w14:paraId="44AD0DB9" w14:textId="77777777" w:rsidR="000F7E56" w:rsidRPr="000F7E56" w:rsidRDefault="000F7E56" w:rsidP="000F7E56">
            <w:pPr>
              <w:autoSpaceDE w:val="0"/>
              <w:autoSpaceDN w:val="0"/>
              <w:adjustRightInd w:val="0"/>
              <w:rPr>
                <w:rFonts w:cstheme="minorHAnsi"/>
              </w:rPr>
            </w:pPr>
            <w:r w:rsidRPr="000F7E56">
              <w:rPr>
                <w:rFonts w:cstheme="minorHAnsi"/>
              </w:rPr>
              <w:t>Home</w:t>
            </w:r>
          </w:p>
        </w:tc>
        <w:tc>
          <w:tcPr>
            <w:tcW w:w="1993" w:type="dxa"/>
          </w:tcPr>
          <w:p w14:paraId="3DF44B26" w14:textId="77777777" w:rsidR="000F7E56" w:rsidRPr="000F7E56" w:rsidRDefault="000F7E56" w:rsidP="000F7E56">
            <w:pPr>
              <w:autoSpaceDE w:val="0"/>
              <w:autoSpaceDN w:val="0"/>
              <w:adjustRightInd w:val="0"/>
              <w:rPr>
                <w:rFonts w:cstheme="minorHAnsi"/>
              </w:rPr>
            </w:pPr>
            <w:r w:rsidRPr="000F7E56">
              <w:rPr>
                <w:rFonts w:cstheme="minorHAnsi"/>
              </w:rPr>
              <w:t>Post treatment and at start of end-of-life</w:t>
            </w:r>
          </w:p>
        </w:tc>
        <w:tc>
          <w:tcPr>
            <w:tcW w:w="1564" w:type="dxa"/>
          </w:tcPr>
          <w:p w14:paraId="5FF3BB95" w14:textId="77777777" w:rsidR="000F7E56" w:rsidRPr="000F7E56" w:rsidRDefault="000F7E56" w:rsidP="000F7E56">
            <w:pPr>
              <w:autoSpaceDE w:val="0"/>
              <w:autoSpaceDN w:val="0"/>
              <w:adjustRightInd w:val="0"/>
              <w:rPr>
                <w:rFonts w:cstheme="minorHAnsi"/>
              </w:rPr>
            </w:pPr>
            <w:r w:rsidRPr="000F7E56">
              <w:rPr>
                <w:rFonts w:cstheme="minorHAnsi"/>
              </w:rPr>
              <w:t>Cancer</w:t>
            </w:r>
          </w:p>
        </w:tc>
        <w:tc>
          <w:tcPr>
            <w:tcW w:w="5407" w:type="dxa"/>
          </w:tcPr>
          <w:p w14:paraId="2470279C" w14:textId="77777777" w:rsidR="000F7E56" w:rsidRPr="000F7E56" w:rsidRDefault="000F7E56" w:rsidP="000F7E56">
            <w:pPr>
              <w:autoSpaceDE w:val="0"/>
              <w:autoSpaceDN w:val="0"/>
              <w:adjustRightInd w:val="0"/>
              <w:rPr>
                <w:rFonts w:cstheme="minorHAnsi"/>
                <w:bCs/>
              </w:rPr>
            </w:pPr>
            <w:r w:rsidRPr="000F7E56">
              <w:rPr>
                <w:rFonts w:cstheme="minorHAnsi"/>
                <w:bCs/>
              </w:rPr>
              <w:t xml:space="preserve">Ambivalence in discussing/relevance of planning to life approach. </w:t>
            </w:r>
          </w:p>
          <w:p w14:paraId="7DAC5566" w14:textId="77777777" w:rsidR="000F7E56" w:rsidRPr="000F7E56" w:rsidRDefault="000F7E56" w:rsidP="000F7E56">
            <w:pPr>
              <w:autoSpaceDE w:val="0"/>
              <w:autoSpaceDN w:val="0"/>
              <w:adjustRightInd w:val="0"/>
              <w:rPr>
                <w:rFonts w:cstheme="minorHAnsi"/>
                <w:bCs/>
              </w:rPr>
            </w:pPr>
            <w:r w:rsidRPr="000F7E56">
              <w:rPr>
                <w:rFonts w:cstheme="minorHAnsi"/>
                <w:bCs/>
              </w:rPr>
              <w:t xml:space="preserve">Faith- God’s will not mine.  </w:t>
            </w:r>
          </w:p>
          <w:p w14:paraId="57552011" w14:textId="77777777" w:rsidR="000F7E56" w:rsidRPr="000F7E56" w:rsidRDefault="000F7E56" w:rsidP="000F7E56">
            <w:pPr>
              <w:autoSpaceDE w:val="0"/>
              <w:autoSpaceDN w:val="0"/>
              <w:adjustRightInd w:val="0"/>
              <w:rPr>
                <w:rFonts w:cstheme="minorHAnsi"/>
              </w:rPr>
            </w:pPr>
            <w:r w:rsidRPr="000F7E56">
              <w:rPr>
                <w:rFonts w:cstheme="minorHAnsi"/>
                <w:bCs/>
              </w:rPr>
              <w:t>Sustaining hope/ collusion. Community pressure</w:t>
            </w:r>
          </w:p>
        </w:tc>
      </w:tr>
      <w:tr w:rsidR="000F7E56" w:rsidRPr="000F7E56" w14:paraId="0B3287CA" w14:textId="77777777" w:rsidTr="000F7E56">
        <w:trPr>
          <w:trHeight w:val="812"/>
        </w:trPr>
        <w:tc>
          <w:tcPr>
            <w:tcW w:w="1575" w:type="dxa"/>
          </w:tcPr>
          <w:p w14:paraId="03BE1370" w14:textId="77777777" w:rsidR="000F7E56" w:rsidRPr="000F7E56" w:rsidRDefault="000F7E56" w:rsidP="000F7E56">
            <w:pPr>
              <w:autoSpaceDE w:val="0"/>
              <w:autoSpaceDN w:val="0"/>
              <w:adjustRightInd w:val="0"/>
              <w:rPr>
                <w:rFonts w:cstheme="minorHAnsi"/>
              </w:rPr>
            </w:pPr>
            <w:proofErr w:type="spellStart"/>
            <w:r w:rsidRPr="000F7E56">
              <w:rPr>
                <w:rFonts w:cstheme="minorHAnsi"/>
              </w:rPr>
              <w:t>Lanfen</w:t>
            </w:r>
            <w:proofErr w:type="spellEnd"/>
          </w:p>
          <w:p w14:paraId="2DFC6D5B" w14:textId="77777777" w:rsidR="000F7E56" w:rsidRPr="000F7E56" w:rsidRDefault="000F7E56" w:rsidP="000F7E56">
            <w:pPr>
              <w:autoSpaceDE w:val="0"/>
              <w:autoSpaceDN w:val="0"/>
              <w:adjustRightInd w:val="0"/>
              <w:rPr>
                <w:rFonts w:cstheme="minorHAnsi"/>
              </w:rPr>
            </w:pPr>
          </w:p>
          <w:p w14:paraId="47FC0257" w14:textId="77777777" w:rsidR="000F7E56" w:rsidRPr="000F7E56" w:rsidRDefault="000F7E56" w:rsidP="000F7E56">
            <w:pPr>
              <w:autoSpaceDE w:val="0"/>
              <w:autoSpaceDN w:val="0"/>
              <w:adjustRightInd w:val="0"/>
              <w:rPr>
                <w:rFonts w:cstheme="minorHAnsi"/>
              </w:rPr>
            </w:pPr>
          </w:p>
        </w:tc>
        <w:tc>
          <w:tcPr>
            <w:tcW w:w="572" w:type="dxa"/>
          </w:tcPr>
          <w:p w14:paraId="29F2ABFB" w14:textId="77777777" w:rsidR="000F7E56" w:rsidRPr="000F7E56" w:rsidRDefault="000F7E56" w:rsidP="000F7E56">
            <w:pPr>
              <w:autoSpaceDE w:val="0"/>
              <w:autoSpaceDN w:val="0"/>
              <w:adjustRightInd w:val="0"/>
              <w:rPr>
                <w:rFonts w:cstheme="minorHAnsi"/>
              </w:rPr>
            </w:pPr>
            <w:r w:rsidRPr="000F7E56">
              <w:rPr>
                <w:rFonts w:cstheme="minorHAnsi"/>
              </w:rPr>
              <w:t>F</w:t>
            </w:r>
          </w:p>
        </w:tc>
        <w:tc>
          <w:tcPr>
            <w:tcW w:w="863" w:type="dxa"/>
          </w:tcPr>
          <w:p w14:paraId="5DBC96FF" w14:textId="77777777" w:rsidR="000F7E56" w:rsidRPr="000F7E56" w:rsidRDefault="000F7E56" w:rsidP="000F7E56">
            <w:pPr>
              <w:autoSpaceDE w:val="0"/>
              <w:autoSpaceDN w:val="0"/>
              <w:adjustRightInd w:val="0"/>
              <w:rPr>
                <w:rFonts w:cstheme="minorHAnsi"/>
              </w:rPr>
            </w:pPr>
            <w:r w:rsidRPr="000F7E56">
              <w:rPr>
                <w:rFonts w:cstheme="minorHAnsi"/>
              </w:rPr>
              <w:t>65</w:t>
            </w:r>
          </w:p>
        </w:tc>
        <w:tc>
          <w:tcPr>
            <w:tcW w:w="0" w:type="auto"/>
          </w:tcPr>
          <w:p w14:paraId="26F9942C" w14:textId="77777777" w:rsidR="000F7E56" w:rsidRPr="000F7E56" w:rsidRDefault="000F7E56" w:rsidP="000F7E56">
            <w:pPr>
              <w:autoSpaceDE w:val="0"/>
              <w:autoSpaceDN w:val="0"/>
              <w:adjustRightInd w:val="0"/>
              <w:rPr>
                <w:rFonts w:cstheme="minorHAnsi"/>
              </w:rPr>
            </w:pPr>
            <w:r w:rsidRPr="000F7E56">
              <w:rPr>
                <w:rFonts w:cstheme="minorHAnsi"/>
              </w:rPr>
              <w:t>Patient</w:t>
            </w:r>
          </w:p>
        </w:tc>
        <w:tc>
          <w:tcPr>
            <w:tcW w:w="0" w:type="auto"/>
          </w:tcPr>
          <w:p w14:paraId="4FB6262A" w14:textId="77777777" w:rsidR="000F7E56" w:rsidRPr="000F7E56" w:rsidRDefault="000F7E56" w:rsidP="000F7E56">
            <w:pPr>
              <w:autoSpaceDE w:val="0"/>
              <w:autoSpaceDN w:val="0"/>
              <w:adjustRightInd w:val="0"/>
              <w:rPr>
                <w:rFonts w:cstheme="minorHAnsi"/>
              </w:rPr>
            </w:pPr>
            <w:r w:rsidRPr="000F7E56">
              <w:rPr>
                <w:rFonts w:cstheme="minorHAnsi"/>
              </w:rPr>
              <w:t>Chinese /</w:t>
            </w:r>
          </w:p>
          <w:p w14:paraId="19E2EC5B" w14:textId="77777777" w:rsidR="000F7E56" w:rsidRPr="000F7E56" w:rsidRDefault="000F7E56" w:rsidP="000F7E56">
            <w:pPr>
              <w:autoSpaceDE w:val="0"/>
              <w:autoSpaceDN w:val="0"/>
              <w:adjustRightInd w:val="0"/>
              <w:rPr>
                <w:rFonts w:cstheme="minorHAnsi"/>
              </w:rPr>
            </w:pPr>
            <w:r w:rsidRPr="000F7E56">
              <w:rPr>
                <w:rFonts w:cstheme="minorHAnsi"/>
              </w:rPr>
              <w:t xml:space="preserve">Buddhist </w:t>
            </w:r>
          </w:p>
        </w:tc>
        <w:tc>
          <w:tcPr>
            <w:tcW w:w="1210" w:type="dxa"/>
          </w:tcPr>
          <w:p w14:paraId="31922365" w14:textId="77777777" w:rsidR="000F7E56" w:rsidRPr="000F7E56" w:rsidRDefault="000F7E56" w:rsidP="000F7E56">
            <w:pPr>
              <w:autoSpaceDE w:val="0"/>
              <w:autoSpaceDN w:val="0"/>
              <w:adjustRightInd w:val="0"/>
              <w:rPr>
                <w:rFonts w:cstheme="minorHAnsi"/>
              </w:rPr>
            </w:pPr>
            <w:r w:rsidRPr="000F7E56">
              <w:rPr>
                <w:rFonts w:cstheme="minorHAnsi"/>
              </w:rPr>
              <w:t>Hospice</w:t>
            </w:r>
          </w:p>
        </w:tc>
        <w:tc>
          <w:tcPr>
            <w:tcW w:w="1993" w:type="dxa"/>
          </w:tcPr>
          <w:p w14:paraId="4E64A658" w14:textId="77777777" w:rsidR="000F7E56" w:rsidRPr="000F7E56" w:rsidRDefault="000F7E56" w:rsidP="000F7E56">
            <w:pPr>
              <w:autoSpaceDE w:val="0"/>
              <w:autoSpaceDN w:val="0"/>
              <w:adjustRightInd w:val="0"/>
              <w:rPr>
                <w:rFonts w:cstheme="minorHAnsi"/>
              </w:rPr>
            </w:pPr>
            <w:r w:rsidRPr="000F7E56">
              <w:rPr>
                <w:rFonts w:cstheme="minorHAnsi"/>
              </w:rPr>
              <w:t>Early on in end-of-life</w:t>
            </w:r>
          </w:p>
        </w:tc>
        <w:tc>
          <w:tcPr>
            <w:tcW w:w="1564" w:type="dxa"/>
          </w:tcPr>
          <w:p w14:paraId="064E50D8" w14:textId="77777777" w:rsidR="000F7E56" w:rsidRPr="000F7E56" w:rsidRDefault="000F7E56" w:rsidP="000F7E56">
            <w:pPr>
              <w:autoSpaceDE w:val="0"/>
              <w:autoSpaceDN w:val="0"/>
              <w:adjustRightInd w:val="0"/>
              <w:rPr>
                <w:rFonts w:cstheme="minorHAnsi"/>
              </w:rPr>
            </w:pPr>
            <w:r w:rsidRPr="000F7E56">
              <w:rPr>
                <w:rFonts w:cstheme="minorHAnsi"/>
              </w:rPr>
              <w:t>Diabetes / kidney failure</w:t>
            </w:r>
          </w:p>
        </w:tc>
        <w:tc>
          <w:tcPr>
            <w:tcW w:w="5407" w:type="dxa"/>
          </w:tcPr>
          <w:p w14:paraId="05801DE7" w14:textId="77777777" w:rsidR="000F7E56" w:rsidRPr="000F7E56" w:rsidRDefault="000F7E56" w:rsidP="000F7E56">
            <w:pPr>
              <w:rPr>
                <w:rFonts w:cstheme="minorHAnsi"/>
                <w:bCs/>
              </w:rPr>
            </w:pPr>
            <w:r w:rsidRPr="000F7E56">
              <w:rPr>
                <w:rFonts w:cstheme="minorHAnsi"/>
                <w:bCs/>
              </w:rPr>
              <w:t>Being seen/known: Don’t make assumptions about heritage and actions/preferences</w:t>
            </w:r>
          </w:p>
          <w:p w14:paraId="1F07D992" w14:textId="77777777" w:rsidR="000F7E56" w:rsidRPr="000F7E56" w:rsidRDefault="000F7E56" w:rsidP="000F7E56">
            <w:pPr>
              <w:autoSpaceDE w:val="0"/>
              <w:autoSpaceDN w:val="0"/>
              <w:adjustRightInd w:val="0"/>
              <w:rPr>
                <w:rFonts w:cstheme="minorHAnsi"/>
              </w:rPr>
            </w:pPr>
          </w:p>
        </w:tc>
      </w:tr>
      <w:tr w:rsidR="000F7E56" w:rsidRPr="000F7E56" w14:paraId="10A8969E" w14:textId="77777777" w:rsidTr="000F7E56">
        <w:trPr>
          <w:trHeight w:val="657"/>
        </w:trPr>
        <w:tc>
          <w:tcPr>
            <w:tcW w:w="1575" w:type="dxa"/>
          </w:tcPr>
          <w:p w14:paraId="2C900A61" w14:textId="77777777" w:rsidR="000F7E56" w:rsidRPr="000F7E56" w:rsidRDefault="000F7E56" w:rsidP="000F7E56">
            <w:pPr>
              <w:autoSpaceDE w:val="0"/>
              <w:autoSpaceDN w:val="0"/>
              <w:adjustRightInd w:val="0"/>
              <w:rPr>
                <w:rFonts w:cstheme="minorHAnsi"/>
              </w:rPr>
            </w:pPr>
            <w:proofErr w:type="spellStart"/>
            <w:r w:rsidRPr="000F7E56">
              <w:rPr>
                <w:rFonts w:cstheme="minorHAnsi"/>
              </w:rPr>
              <w:t>Krushan</w:t>
            </w:r>
            <w:proofErr w:type="spellEnd"/>
          </w:p>
          <w:p w14:paraId="2CEAF558" w14:textId="77777777" w:rsidR="000F7E56" w:rsidRPr="000F7E56" w:rsidRDefault="000F7E56" w:rsidP="000F7E56">
            <w:pPr>
              <w:autoSpaceDE w:val="0"/>
              <w:autoSpaceDN w:val="0"/>
              <w:adjustRightInd w:val="0"/>
              <w:rPr>
                <w:rFonts w:cstheme="minorHAnsi"/>
              </w:rPr>
            </w:pPr>
          </w:p>
          <w:p w14:paraId="4CD2FD18" w14:textId="77777777" w:rsidR="000F7E56" w:rsidRPr="000F7E56" w:rsidRDefault="000F7E56" w:rsidP="000F7E56">
            <w:pPr>
              <w:autoSpaceDE w:val="0"/>
              <w:autoSpaceDN w:val="0"/>
              <w:adjustRightInd w:val="0"/>
              <w:rPr>
                <w:rFonts w:cstheme="minorHAnsi"/>
              </w:rPr>
            </w:pPr>
          </w:p>
        </w:tc>
        <w:tc>
          <w:tcPr>
            <w:tcW w:w="572" w:type="dxa"/>
          </w:tcPr>
          <w:p w14:paraId="55447089" w14:textId="77777777" w:rsidR="000F7E56" w:rsidRPr="000F7E56" w:rsidRDefault="000F7E56" w:rsidP="000F7E56">
            <w:pPr>
              <w:autoSpaceDE w:val="0"/>
              <w:autoSpaceDN w:val="0"/>
              <w:adjustRightInd w:val="0"/>
              <w:rPr>
                <w:rFonts w:cstheme="minorHAnsi"/>
              </w:rPr>
            </w:pPr>
            <w:r w:rsidRPr="000F7E56">
              <w:rPr>
                <w:rFonts w:cstheme="minorHAnsi"/>
              </w:rPr>
              <w:t>M</w:t>
            </w:r>
          </w:p>
        </w:tc>
        <w:tc>
          <w:tcPr>
            <w:tcW w:w="863" w:type="dxa"/>
          </w:tcPr>
          <w:p w14:paraId="3D9E2A69" w14:textId="77777777" w:rsidR="000F7E56" w:rsidRPr="000F7E56" w:rsidRDefault="000F7E56" w:rsidP="000F7E56">
            <w:pPr>
              <w:autoSpaceDE w:val="0"/>
              <w:autoSpaceDN w:val="0"/>
              <w:adjustRightInd w:val="0"/>
              <w:rPr>
                <w:rFonts w:cstheme="minorHAnsi"/>
              </w:rPr>
            </w:pPr>
            <w:r w:rsidRPr="000F7E56">
              <w:rPr>
                <w:rFonts w:cstheme="minorHAnsi"/>
              </w:rPr>
              <w:t>59</w:t>
            </w:r>
          </w:p>
        </w:tc>
        <w:tc>
          <w:tcPr>
            <w:tcW w:w="0" w:type="auto"/>
          </w:tcPr>
          <w:p w14:paraId="77CDD489" w14:textId="77777777" w:rsidR="000F7E56" w:rsidRPr="000F7E56" w:rsidRDefault="000F7E56" w:rsidP="000F7E56">
            <w:pPr>
              <w:autoSpaceDE w:val="0"/>
              <w:autoSpaceDN w:val="0"/>
              <w:adjustRightInd w:val="0"/>
              <w:rPr>
                <w:rFonts w:cstheme="minorHAnsi"/>
              </w:rPr>
            </w:pPr>
            <w:r w:rsidRPr="000F7E56">
              <w:rPr>
                <w:rFonts w:cstheme="minorHAnsi"/>
              </w:rPr>
              <w:t>Patient</w:t>
            </w:r>
          </w:p>
        </w:tc>
        <w:tc>
          <w:tcPr>
            <w:tcW w:w="0" w:type="auto"/>
          </w:tcPr>
          <w:p w14:paraId="2E5F762B" w14:textId="77777777" w:rsidR="000F7E56" w:rsidRPr="000F7E56" w:rsidRDefault="000F7E56" w:rsidP="000F7E56">
            <w:pPr>
              <w:autoSpaceDE w:val="0"/>
              <w:autoSpaceDN w:val="0"/>
              <w:adjustRightInd w:val="0"/>
              <w:rPr>
                <w:rFonts w:cstheme="minorHAnsi"/>
              </w:rPr>
            </w:pPr>
            <w:r w:rsidRPr="000F7E56">
              <w:rPr>
                <w:rFonts w:cstheme="minorHAnsi"/>
              </w:rPr>
              <w:t>Indian / Hindu</w:t>
            </w:r>
          </w:p>
        </w:tc>
        <w:tc>
          <w:tcPr>
            <w:tcW w:w="1210" w:type="dxa"/>
          </w:tcPr>
          <w:p w14:paraId="1F4526C4" w14:textId="77777777" w:rsidR="000F7E56" w:rsidRPr="000F7E56" w:rsidRDefault="000F7E56" w:rsidP="000F7E56">
            <w:pPr>
              <w:autoSpaceDE w:val="0"/>
              <w:autoSpaceDN w:val="0"/>
              <w:adjustRightInd w:val="0"/>
              <w:rPr>
                <w:rFonts w:cstheme="minorHAnsi"/>
              </w:rPr>
            </w:pPr>
            <w:r w:rsidRPr="000F7E56">
              <w:rPr>
                <w:rFonts w:cstheme="minorHAnsi"/>
              </w:rPr>
              <w:t>Home</w:t>
            </w:r>
          </w:p>
        </w:tc>
        <w:tc>
          <w:tcPr>
            <w:tcW w:w="1993" w:type="dxa"/>
          </w:tcPr>
          <w:p w14:paraId="3AECEA32" w14:textId="77777777" w:rsidR="000F7E56" w:rsidRPr="000F7E56" w:rsidRDefault="000F7E56" w:rsidP="000F7E56">
            <w:pPr>
              <w:autoSpaceDE w:val="0"/>
              <w:autoSpaceDN w:val="0"/>
              <w:adjustRightInd w:val="0"/>
              <w:rPr>
                <w:rFonts w:cstheme="minorHAnsi"/>
              </w:rPr>
            </w:pPr>
            <w:r w:rsidRPr="000F7E56">
              <w:rPr>
                <w:rFonts w:cstheme="minorHAnsi"/>
              </w:rPr>
              <w:t>Towards the latter end of his life</w:t>
            </w:r>
          </w:p>
        </w:tc>
        <w:tc>
          <w:tcPr>
            <w:tcW w:w="1564" w:type="dxa"/>
          </w:tcPr>
          <w:p w14:paraId="2DE15476" w14:textId="77777777" w:rsidR="000F7E56" w:rsidRPr="000F7E56" w:rsidRDefault="000F7E56" w:rsidP="000F7E56">
            <w:pPr>
              <w:autoSpaceDE w:val="0"/>
              <w:autoSpaceDN w:val="0"/>
              <w:adjustRightInd w:val="0"/>
              <w:rPr>
                <w:rFonts w:cstheme="minorHAnsi"/>
              </w:rPr>
            </w:pPr>
            <w:r w:rsidRPr="000F7E56">
              <w:rPr>
                <w:rFonts w:cstheme="minorHAnsi"/>
              </w:rPr>
              <w:t>Unspoken</w:t>
            </w:r>
          </w:p>
        </w:tc>
        <w:tc>
          <w:tcPr>
            <w:tcW w:w="5407" w:type="dxa"/>
          </w:tcPr>
          <w:p w14:paraId="3871F39B" w14:textId="77777777" w:rsidR="000F7E56" w:rsidRPr="000F7E56" w:rsidRDefault="000F7E56" w:rsidP="000F7E56">
            <w:pPr>
              <w:rPr>
                <w:rFonts w:eastAsia="Calibri" w:cstheme="minorHAnsi"/>
                <w:bCs/>
              </w:rPr>
            </w:pPr>
            <w:r w:rsidRPr="000F7E56">
              <w:rPr>
                <w:rFonts w:eastAsia="Calibri" w:cstheme="minorHAnsi"/>
                <w:bCs/>
              </w:rPr>
              <w:t>Pressures of community/family judgement</w:t>
            </w:r>
          </w:p>
          <w:p w14:paraId="069B58C1" w14:textId="77777777" w:rsidR="000F7E56" w:rsidRPr="000F7E56" w:rsidRDefault="000F7E56" w:rsidP="000F7E56">
            <w:pPr>
              <w:autoSpaceDE w:val="0"/>
              <w:autoSpaceDN w:val="0"/>
              <w:adjustRightInd w:val="0"/>
              <w:rPr>
                <w:rFonts w:cstheme="minorHAnsi"/>
              </w:rPr>
            </w:pPr>
          </w:p>
        </w:tc>
      </w:tr>
      <w:tr w:rsidR="000F7E56" w:rsidRPr="000F7E56" w14:paraId="1F40D55F" w14:textId="77777777" w:rsidTr="000F7E56">
        <w:trPr>
          <w:trHeight w:val="450"/>
        </w:trPr>
        <w:tc>
          <w:tcPr>
            <w:tcW w:w="1575" w:type="dxa"/>
          </w:tcPr>
          <w:p w14:paraId="2EA6EF36" w14:textId="77777777" w:rsidR="000F7E56" w:rsidRPr="000F7E56" w:rsidRDefault="000F7E56" w:rsidP="000F7E56">
            <w:pPr>
              <w:autoSpaceDE w:val="0"/>
              <w:autoSpaceDN w:val="0"/>
              <w:adjustRightInd w:val="0"/>
              <w:rPr>
                <w:rFonts w:cstheme="minorHAnsi"/>
              </w:rPr>
            </w:pPr>
            <w:r w:rsidRPr="000F7E56">
              <w:rPr>
                <w:rFonts w:cstheme="minorHAnsi"/>
              </w:rPr>
              <w:t>Hafsa</w:t>
            </w:r>
          </w:p>
          <w:p w14:paraId="5533ACDA" w14:textId="77777777" w:rsidR="000F7E56" w:rsidRPr="000F7E56" w:rsidRDefault="000F7E56" w:rsidP="000F7E56">
            <w:pPr>
              <w:autoSpaceDE w:val="0"/>
              <w:autoSpaceDN w:val="0"/>
              <w:adjustRightInd w:val="0"/>
              <w:rPr>
                <w:rFonts w:cstheme="minorHAnsi"/>
              </w:rPr>
            </w:pPr>
          </w:p>
          <w:p w14:paraId="3A7B16EA" w14:textId="77777777" w:rsidR="000F7E56" w:rsidRPr="000F7E56" w:rsidRDefault="000F7E56" w:rsidP="000F7E56">
            <w:pPr>
              <w:autoSpaceDE w:val="0"/>
              <w:autoSpaceDN w:val="0"/>
              <w:adjustRightInd w:val="0"/>
              <w:rPr>
                <w:rFonts w:cstheme="minorHAnsi"/>
              </w:rPr>
            </w:pPr>
          </w:p>
        </w:tc>
        <w:tc>
          <w:tcPr>
            <w:tcW w:w="572" w:type="dxa"/>
          </w:tcPr>
          <w:p w14:paraId="1F2AE22E" w14:textId="77777777" w:rsidR="000F7E56" w:rsidRPr="000F7E56" w:rsidRDefault="000F7E56" w:rsidP="000F7E56">
            <w:pPr>
              <w:autoSpaceDE w:val="0"/>
              <w:autoSpaceDN w:val="0"/>
              <w:adjustRightInd w:val="0"/>
              <w:rPr>
                <w:rFonts w:cstheme="minorHAnsi"/>
              </w:rPr>
            </w:pPr>
            <w:r w:rsidRPr="000F7E56">
              <w:rPr>
                <w:rFonts w:cstheme="minorHAnsi"/>
              </w:rPr>
              <w:t>F</w:t>
            </w:r>
          </w:p>
        </w:tc>
        <w:tc>
          <w:tcPr>
            <w:tcW w:w="863" w:type="dxa"/>
          </w:tcPr>
          <w:p w14:paraId="4B33CA03" w14:textId="77777777" w:rsidR="000F7E56" w:rsidRPr="000F7E56" w:rsidRDefault="000F7E56" w:rsidP="000F7E56">
            <w:pPr>
              <w:autoSpaceDE w:val="0"/>
              <w:autoSpaceDN w:val="0"/>
              <w:adjustRightInd w:val="0"/>
              <w:rPr>
                <w:rFonts w:cstheme="minorHAnsi"/>
              </w:rPr>
            </w:pPr>
            <w:r w:rsidRPr="000F7E56">
              <w:rPr>
                <w:rFonts w:cstheme="minorHAnsi"/>
              </w:rPr>
              <w:t>80</w:t>
            </w:r>
          </w:p>
        </w:tc>
        <w:tc>
          <w:tcPr>
            <w:tcW w:w="0" w:type="auto"/>
          </w:tcPr>
          <w:p w14:paraId="1CD9C3FC" w14:textId="77777777" w:rsidR="000F7E56" w:rsidRPr="000F7E56" w:rsidRDefault="000F7E56" w:rsidP="000F7E56">
            <w:pPr>
              <w:autoSpaceDE w:val="0"/>
              <w:autoSpaceDN w:val="0"/>
              <w:adjustRightInd w:val="0"/>
              <w:rPr>
                <w:rFonts w:cstheme="minorHAnsi"/>
              </w:rPr>
            </w:pPr>
            <w:r w:rsidRPr="000F7E56">
              <w:rPr>
                <w:rFonts w:cstheme="minorHAnsi"/>
              </w:rPr>
              <w:t>Patient</w:t>
            </w:r>
          </w:p>
        </w:tc>
        <w:tc>
          <w:tcPr>
            <w:tcW w:w="0" w:type="auto"/>
          </w:tcPr>
          <w:p w14:paraId="69406DCA" w14:textId="77777777" w:rsidR="000F7E56" w:rsidRPr="000F7E56" w:rsidRDefault="000F7E56" w:rsidP="000F7E56">
            <w:pPr>
              <w:autoSpaceDE w:val="0"/>
              <w:autoSpaceDN w:val="0"/>
              <w:adjustRightInd w:val="0"/>
              <w:rPr>
                <w:rFonts w:cstheme="minorHAnsi"/>
              </w:rPr>
            </w:pPr>
            <w:r w:rsidRPr="000F7E56">
              <w:rPr>
                <w:rFonts w:cstheme="minorHAnsi"/>
              </w:rPr>
              <w:t>Pakistani / Muslim</w:t>
            </w:r>
          </w:p>
        </w:tc>
        <w:tc>
          <w:tcPr>
            <w:tcW w:w="1210" w:type="dxa"/>
          </w:tcPr>
          <w:p w14:paraId="67C0D704" w14:textId="77777777" w:rsidR="000F7E56" w:rsidRPr="000F7E56" w:rsidRDefault="000F7E56" w:rsidP="000F7E56">
            <w:pPr>
              <w:autoSpaceDE w:val="0"/>
              <w:autoSpaceDN w:val="0"/>
              <w:adjustRightInd w:val="0"/>
              <w:rPr>
                <w:rFonts w:cstheme="minorHAnsi"/>
              </w:rPr>
            </w:pPr>
            <w:r w:rsidRPr="000F7E56">
              <w:rPr>
                <w:rFonts w:cstheme="minorHAnsi"/>
              </w:rPr>
              <w:t>Home</w:t>
            </w:r>
          </w:p>
        </w:tc>
        <w:tc>
          <w:tcPr>
            <w:tcW w:w="1993" w:type="dxa"/>
          </w:tcPr>
          <w:p w14:paraId="6C059F39" w14:textId="77777777" w:rsidR="000F7E56" w:rsidRPr="000F7E56" w:rsidRDefault="000F7E56" w:rsidP="000F7E56">
            <w:pPr>
              <w:autoSpaceDE w:val="0"/>
              <w:autoSpaceDN w:val="0"/>
              <w:adjustRightInd w:val="0"/>
              <w:rPr>
                <w:rFonts w:cstheme="minorHAnsi"/>
              </w:rPr>
            </w:pPr>
            <w:r w:rsidRPr="000F7E56">
              <w:rPr>
                <w:rFonts w:cstheme="minorHAnsi"/>
              </w:rPr>
              <w:t xml:space="preserve">Latter stages </w:t>
            </w:r>
          </w:p>
        </w:tc>
        <w:tc>
          <w:tcPr>
            <w:tcW w:w="1564" w:type="dxa"/>
          </w:tcPr>
          <w:p w14:paraId="2EBA47B1" w14:textId="77777777" w:rsidR="000F7E56" w:rsidRPr="000F7E56" w:rsidRDefault="000F7E56" w:rsidP="000F7E56">
            <w:pPr>
              <w:autoSpaceDE w:val="0"/>
              <w:autoSpaceDN w:val="0"/>
              <w:adjustRightInd w:val="0"/>
              <w:rPr>
                <w:rFonts w:cstheme="minorHAnsi"/>
              </w:rPr>
            </w:pPr>
            <w:r w:rsidRPr="000F7E56">
              <w:rPr>
                <w:rFonts w:cstheme="minorHAnsi"/>
              </w:rPr>
              <w:t>Heart disease</w:t>
            </w:r>
          </w:p>
        </w:tc>
        <w:tc>
          <w:tcPr>
            <w:tcW w:w="5407" w:type="dxa"/>
          </w:tcPr>
          <w:p w14:paraId="3B5D200D" w14:textId="77777777" w:rsidR="000F7E56" w:rsidRPr="000F7E56" w:rsidRDefault="000F7E56" w:rsidP="000F7E56">
            <w:pPr>
              <w:rPr>
                <w:rFonts w:cstheme="minorHAnsi"/>
                <w:bCs/>
              </w:rPr>
            </w:pPr>
            <w:r w:rsidRPr="000F7E56">
              <w:rPr>
                <w:rFonts w:cstheme="minorHAnsi"/>
                <w:bCs/>
              </w:rPr>
              <w:t>Autonomy and decision-making complexities of family culture. Knowing the patient.</w:t>
            </w:r>
          </w:p>
          <w:p w14:paraId="7EA368E3" w14:textId="77777777" w:rsidR="000F7E56" w:rsidRPr="000F7E56" w:rsidRDefault="000F7E56" w:rsidP="000F7E56">
            <w:pPr>
              <w:rPr>
                <w:rFonts w:cstheme="minorHAnsi"/>
                <w:bCs/>
              </w:rPr>
            </w:pPr>
            <w:r w:rsidRPr="000F7E56">
              <w:rPr>
                <w:rFonts w:cstheme="minorHAnsi"/>
                <w:bCs/>
              </w:rPr>
              <w:t>Communication</w:t>
            </w:r>
          </w:p>
          <w:p w14:paraId="5DFBC852" w14:textId="77777777" w:rsidR="000F7E56" w:rsidRPr="000F7E56" w:rsidRDefault="000F7E56" w:rsidP="000F7E56">
            <w:pPr>
              <w:autoSpaceDE w:val="0"/>
              <w:autoSpaceDN w:val="0"/>
              <w:adjustRightInd w:val="0"/>
              <w:rPr>
                <w:rFonts w:cstheme="minorHAnsi"/>
              </w:rPr>
            </w:pPr>
          </w:p>
        </w:tc>
      </w:tr>
      <w:tr w:rsidR="000F7E56" w:rsidRPr="000F7E56" w14:paraId="2FF5F73C" w14:textId="77777777" w:rsidTr="000F7E56">
        <w:trPr>
          <w:trHeight w:val="483"/>
        </w:trPr>
        <w:tc>
          <w:tcPr>
            <w:tcW w:w="1575" w:type="dxa"/>
          </w:tcPr>
          <w:p w14:paraId="1546605A" w14:textId="77777777" w:rsidR="000F7E56" w:rsidRPr="000F7E56" w:rsidRDefault="000F7E56" w:rsidP="000F7E56">
            <w:pPr>
              <w:autoSpaceDE w:val="0"/>
              <w:autoSpaceDN w:val="0"/>
              <w:adjustRightInd w:val="0"/>
              <w:rPr>
                <w:rFonts w:cstheme="minorHAnsi"/>
              </w:rPr>
            </w:pPr>
            <w:r w:rsidRPr="000F7E56">
              <w:rPr>
                <w:rFonts w:cstheme="minorHAnsi"/>
              </w:rPr>
              <w:t>Dave</w:t>
            </w:r>
          </w:p>
          <w:p w14:paraId="47EB1112" w14:textId="77777777" w:rsidR="000F7E56" w:rsidRPr="000F7E56" w:rsidRDefault="000F7E56" w:rsidP="000F7E56">
            <w:pPr>
              <w:autoSpaceDE w:val="0"/>
              <w:autoSpaceDN w:val="0"/>
              <w:adjustRightInd w:val="0"/>
              <w:rPr>
                <w:rFonts w:cstheme="minorHAnsi"/>
              </w:rPr>
            </w:pPr>
          </w:p>
          <w:p w14:paraId="1FFAB81B" w14:textId="77777777" w:rsidR="000F7E56" w:rsidRPr="000F7E56" w:rsidRDefault="000F7E56" w:rsidP="000F7E56">
            <w:pPr>
              <w:autoSpaceDE w:val="0"/>
              <w:autoSpaceDN w:val="0"/>
              <w:adjustRightInd w:val="0"/>
              <w:rPr>
                <w:rFonts w:cstheme="minorHAnsi"/>
              </w:rPr>
            </w:pPr>
          </w:p>
        </w:tc>
        <w:tc>
          <w:tcPr>
            <w:tcW w:w="572" w:type="dxa"/>
          </w:tcPr>
          <w:p w14:paraId="7075B21B" w14:textId="77777777" w:rsidR="000F7E56" w:rsidRPr="000F7E56" w:rsidRDefault="000F7E56" w:rsidP="000F7E56">
            <w:pPr>
              <w:autoSpaceDE w:val="0"/>
              <w:autoSpaceDN w:val="0"/>
              <w:adjustRightInd w:val="0"/>
              <w:rPr>
                <w:rFonts w:cstheme="minorHAnsi"/>
              </w:rPr>
            </w:pPr>
            <w:r w:rsidRPr="000F7E56">
              <w:rPr>
                <w:rFonts w:cstheme="minorHAnsi"/>
              </w:rPr>
              <w:t>M</w:t>
            </w:r>
          </w:p>
        </w:tc>
        <w:tc>
          <w:tcPr>
            <w:tcW w:w="863" w:type="dxa"/>
          </w:tcPr>
          <w:p w14:paraId="6E3EAEE4" w14:textId="77777777" w:rsidR="000F7E56" w:rsidRPr="000F7E56" w:rsidRDefault="000F7E56" w:rsidP="000F7E56">
            <w:pPr>
              <w:autoSpaceDE w:val="0"/>
              <w:autoSpaceDN w:val="0"/>
              <w:adjustRightInd w:val="0"/>
              <w:rPr>
                <w:rFonts w:cstheme="minorHAnsi"/>
              </w:rPr>
            </w:pPr>
            <w:r w:rsidRPr="000F7E56">
              <w:rPr>
                <w:rFonts w:cstheme="minorHAnsi"/>
              </w:rPr>
              <w:t>70</w:t>
            </w:r>
          </w:p>
        </w:tc>
        <w:tc>
          <w:tcPr>
            <w:tcW w:w="0" w:type="auto"/>
          </w:tcPr>
          <w:p w14:paraId="75C84F0B" w14:textId="77777777" w:rsidR="000F7E56" w:rsidRPr="000F7E56" w:rsidRDefault="000F7E56" w:rsidP="000F7E56">
            <w:pPr>
              <w:autoSpaceDE w:val="0"/>
              <w:autoSpaceDN w:val="0"/>
              <w:adjustRightInd w:val="0"/>
              <w:rPr>
                <w:rFonts w:cstheme="minorHAnsi"/>
              </w:rPr>
            </w:pPr>
            <w:r w:rsidRPr="000F7E56">
              <w:rPr>
                <w:rFonts w:cstheme="minorHAnsi"/>
              </w:rPr>
              <w:t>Patient</w:t>
            </w:r>
          </w:p>
        </w:tc>
        <w:tc>
          <w:tcPr>
            <w:tcW w:w="0" w:type="auto"/>
          </w:tcPr>
          <w:p w14:paraId="208D60B2" w14:textId="77777777" w:rsidR="000F7E56" w:rsidRPr="000F7E56" w:rsidRDefault="000F7E56" w:rsidP="000F7E56">
            <w:pPr>
              <w:autoSpaceDE w:val="0"/>
              <w:autoSpaceDN w:val="0"/>
              <w:adjustRightInd w:val="0"/>
              <w:rPr>
                <w:rFonts w:cstheme="minorHAnsi"/>
              </w:rPr>
            </w:pPr>
            <w:r w:rsidRPr="000F7E56">
              <w:rPr>
                <w:rFonts w:cstheme="minorHAnsi"/>
              </w:rPr>
              <w:t>Afro-Caribbean / Agnostic</w:t>
            </w:r>
          </w:p>
        </w:tc>
        <w:tc>
          <w:tcPr>
            <w:tcW w:w="1210" w:type="dxa"/>
          </w:tcPr>
          <w:p w14:paraId="6AC33E57" w14:textId="77777777" w:rsidR="000F7E56" w:rsidRPr="000F7E56" w:rsidRDefault="000F7E56" w:rsidP="000F7E56">
            <w:pPr>
              <w:autoSpaceDE w:val="0"/>
              <w:autoSpaceDN w:val="0"/>
              <w:adjustRightInd w:val="0"/>
              <w:rPr>
                <w:rFonts w:cstheme="minorHAnsi"/>
              </w:rPr>
            </w:pPr>
            <w:r w:rsidRPr="000F7E56">
              <w:rPr>
                <w:rFonts w:cstheme="minorHAnsi"/>
              </w:rPr>
              <w:t>Home</w:t>
            </w:r>
          </w:p>
        </w:tc>
        <w:tc>
          <w:tcPr>
            <w:tcW w:w="1993" w:type="dxa"/>
          </w:tcPr>
          <w:p w14:paraId="5F3B79DA" w14:textId="77777777" w:rsidR="000F7E56" w:rsidRPr="000F7E56" w:rsidRDefault="000F7E56" w:rsidP="000F7E56">
            <w:pPr>
              <w:autoSpaceDE w:val="0"/>
              <w:autoSpaceDN w:val="0"/>
              <w:adjustRightInd w:val="0"/>
              <w:rPr>
                <w:rFonts w:cstheme="minorHAnsi"/>
              </w:rPr>
            </w:pPr>
            <w:r w:rsidRPr="000F7E56">
              <w:rPr>
                <w:rFonts w:cstheme="minorHAnsi"/>
              </w:rPr>
              <w:t xml:space="preserve">In early to mid-stages </w:t>
            </w:r>
          </w:p>
        </w:tc>
        <w:tc>
          <w:tcPr>
            <w:tcW w:w="1564" w:type="dxa"/>
          </w:tcPr>
          <w:p w14:paraId="07BE8FC4" w14:textId="77777777" w:rsidR="000F7E56" w:rsidRPr="000F7E56" w:rsidRDefault="000F7E56" w:rsidP="000F7E56">
            <w:pPr>
              <w:autoSpaceDE w:val="0"/>
              <w:autoSpaceDN w:val="0"/>
              <w:adjustRightInd w:val="0"/>
              <w:rPr>
                <w:rFonts w:cstheme="minorHAnsi"/>
              </w:rPr>
            </w:pPr>
            <w:r w:rsidRPr="000F7E56">
              <w:rPr>
                <w:rFonts w:cstheme="minorHAnsi"/>
              </w:rPr>
              <w:t>Cancer</w:t>
            </w:r>
          </w:p>
        </w:tc>
        <w:tc>
          <w:tcPr>
            <w:tcW w:w="5407" w:type="dxa"/>
          </w:tcPr>
          <w:p w14:paraId="349E1770" w14:textId="77777777" w:rsidR="000F7E56" w:rsidRPr="000F7E56" w:rsidRDefault="000F7E56" w:rsidP="000F7E56">
            <w:pPr>
              <w:autoSpaceDE w:val="0"/>
              <w:autoSpaceDN w:val="0"/>
              <w:adjustRightInd w:val="0"/>
              <w:rPr>
                <w:rFonts w:cstheme="minorHAnsi"/>
              </w:rPr>
            </w:pPr>
            <w:r w:rsidRPr="000F7E56">
              <w:rPr>
                <w:rFonts w:cstheme="minorHAnsi"/>
                <w:bCs/>
              </w:rPr>
              <w:t>Lack of trust/misunderstanding</w:t>
            </w:r>
          </w:p>
        </w:tc>
      </w:tr>
      <w:tr w:rsidR="000F7E56" w:rsidRPr="000F7E56" w14:paraId="5CFE201C" w14:textId="77777777" w:rsidTr="000F7E56">
        <w:trPr>
          <w:trHeight w:val="812"/>
        </w:trPr>
        <w:tc>
          <w:tcPr>
            <w:tcW w:w="1575" w:type="dxa"/>
          </w:tcPr>
          <w:p w14:paraId="0A1A8095" w14:textId="77777777" w:rsidR="000F7E56" w:rsidRPr="000F7E56" w:rsidRDefault="000F7E56" w:rsidP="000F7E56">
            <w:pPr>
              <w:autoSpaceDE w:val="0"/>
              <w:autoSpaceDN w:val="0"/>
              <w:adjustRightInd w:val="0"/>
              <w:rPr>
                <w:rFonts w:cstheme="minorHAnsi"/>
              </w:rPr>
            </w:pPr>
            <w:proofErr w:type="spellStart"/>
            <w:r w:rsidRPr="000F7E56">
              <w:rPr>
                <w:rFonts w:cstheme="minorHAnsi"/>
              </w:rPr>
              <w:t>Balwinder</w:t>
            </w:r>
            <w:proofErr w:type="spellEnd"/>
          </w:p>
          <w:p w14:paraId="35C3880E" w14:textId="77777777" w:rsidR="000F7E56" w:rsidRPr="000F7E56" w:rsidRDefault="000F7E56" w:rsidP="000F7E56">
            <w:pPr>
              <w:autoSpaceDE w:val="0"/>
              <w:autoSpaceDN w:val="0"/>
              <w:adjustRightInd w:val="0"/>
              <w:rPr>
                <w:rFonts w:cstheme="minorHAnsi"/>
              </w:rPr>
            </w:pPr>
          </w:p>
          <w:p w14:paraId="29475635" w14:textId="77777777" w:rsidR="000F7E56" w:rsidRPr="000F7E56" w:rsidRDefault="000F7E56" w:rsidP="000F7E56">
            <w:pPr>
              <w:autoSpaceDE w:val="0"/>
              <w:autoSpaceDN w:val="0"/>
              <w:adjustRightInd w:val="0"/>
              <w:rPr>
                <w:rFonts w:cstheme="minorHAnsi"/>
              </w:rPr>
            </w:pPr>
          </w:p>
        </w:tc>
        <w:tc>
          <w:tcPr>
            <w:tcW w:w="572" w:type="dxa"/>
          </w:tcPr>
          <w:p w14:paraId="30C2EFEB" w14:textId="77777777" w:rsidR="000F7E56" w:rsidRPr="000F7E56" w:rsidRDefault="000F7E56" w:rsidP="000F7E56">
            <w:pPr>
              <w:autoSpaceDE w:val="0"/>
              <w:autoSpaceDN w:val="0"/>
              <w:adjustRightInd w:val="0"/>
              <w:rPr>
                <w:rFonts w:cstheme="minorHAnsi"/>
              </w:rPr>
            </w:pPr>
            <w:r w:rsidRPr="000F7E56">
              <w:rPr>
                <w:rFonts w:cstheme="minorHAnsi"/>
              </w:rPr>
              <w:t>F</w:t>
            </w:r>
          </w:p>
        </w:tc>
        <w:tc>
          <w:tcPr>
            <w:tcW w:w="863" w:type="dxa"/>
          </w:tcPr>
          <w:p w14:paraId="417ADAD8" w14:textId="77777777" w:rsidR="000F7E56" w:rsidRPr="000F7E56" w:rsidRDefault="000F7E56" w:rsidP="000F7E56">
            <w:pPr>
              <w:autoSpaceDE w:val="0"/>
              <w:autoSpaceDN w:val="0"/>
              <w:adjustRightInd w:val="0"/>
              <w:rPr>
                <w:rFonts w:cstheme="minorHAnsi"/>
              </w:rPr>
            </w:pPr>
            <w:r w:rsidRPr="000F7E56">
              <w:rPr>
                <w:rFonts w:cstheme="minorHAnsi"/>
              </w:rPr>
              <w:t>60 / 90</w:t>
            </w:r>
          </w:p>
          <w:p w14:paraId="212A6D75" w14:textId="77777777" w:rsidR="000F7E56" w:rsidRPr="000F7E56" w:rsidRDefault="000F7E56" w:rsidP="000F7E56">
            <w:pPr>
              <w:autoSpaceDE w:val="0"/>
              <w:autoSpaceDN w:val="0"/>
              <w:adjustRightInd w:val="0"/>
              <w:rPr>
                <w:rFonts w:cstheme="minorHAnsi"/>
              </w:rPr>
            </w:pPr>
          </w:p>
        </w:tc>
        <w:tc>
          <w:tcPr>
            <w:tcW w:w="0" w:type="auto"/>
          </w:tcPr>
          <w:p w14:paraId="73B5E4F0" w14:textId="77777777" w:rsidR="000F7E56" w:rsidRPr="000F7E56" w:rsidRDefault="000F7E56" w:rsidP="000F7E56">
            <w:pPr>
              <w:autoSpaceDE w:val="0"/>
              <w:autoSpaceDN w:val="0"/>
              <w:adjustRightInd w:val="0"/>
              <w:rPr>
                <w:rFonts w:cstheme="minorHAnsi"/>
              </w:rPr>
            </w:pPr>
            <w:r w:rsidRPr="000F7E56">
              <w:rPr>
                <w:rFonts w:cstheme="minorHAnsi"/>
              </w:rPr>
              <w:t>Daughter / Carer</w:t>
            </w:r>
          </w:p>
        </w:tc>
        <w:tc>
          <w:tcPr>
            <w:tcW w:w="0" w:type="auto"/>
          </w:tcPr>
          <w:p w14:paraId="241CB750" w14:textId="77777777" w:rsidR="000F7E56" w:rsidRPr="000F7E56" w:rsidRDefault="000F7E56" w:rsidP="000F7E56">
            <w:pPr>
              <w:autoSpaceDE w:val="0"/>
              <w:autoSpaceDN w:val="0"/>
              <w:adjustRightInd w:val="0"/>
              <w:rPr>
                <w:rFonts w:cstheme="minorHAnsi"/>
              </w:rPr>
            </w:pPr>
            <w:r w:rsidRPr="000F7E56">
              <w:rPr>
                <w:rFonts w:cstheme="minorHAnsi"/>
              </w:rPr>
              <w:t>Indian / Sikh</w:t>
            </w:r>
          </w:p>
        </w:tc>
        <w:tc>
          <w:tcPr>
            <w:tcW w:w="1210" w:type="dxa"/>
          </w:tcPr>
          <w:p w14:paraId="7CB12FBB" w14:textId="77777777" w:rsidR="000F7E56" w:rsidRPr="000F7E56" w:rsidRDefault="000F7E56" w:rsidP="000F7E56">
            <w:pPr>
              <w:autoSpaceDE w:val="0"/>
              <w:autoSpaceDN w:val="0"/>
              <w:adjustRightInd w:val="0"/>
              <w:rPr>
                <w:rFonts w:cstheme="minorHAnsi"/>
              </w:rPr>
            </w:pPr>
            <w:r w:rsidRPr="000F7E56">
              <w:rPr>
                <w:rFonts w:cstheme="minorHAnsi"/>
              </w:rPr>
              <w:t>Hospital</w:t>
            </w:r>
          </w:p>
        </w:tc>
        <w:tc>
          <w:tcPr>
            <w:tcW w:w="1993" w:type="dxa"/>
          </w:tcPr>
          <w:p w14:paraId="34811790" w14:textId="77777777" w:rsidR="000F7E56" w:rsidRPr="000F7E56" w:rsidRDefault="000F7E56" w:rsidP="000F7E56">
            <w:pPr>
              <w:autoSpaceDE w:val="0"/>
              <w:autoSpaceDN w:val="0"/>
              <w:adjustRightInd w:val="0"/>
              <w:rPr>
                <w:rFonts w:cstheme="minorHAnsi"/>
              </w:rPr>
            </w:pPr>
            <w:r w:rsidRPr="000F7E56">
              <w:rPr>
                <w:rFonts w:cstheme="minorHAnsi"/>
              </w:rPr>
              <w:t>At end-of-life</w:t>
            </w:r>
          </w:p>
        </w:tc>
        <w:tc>
          <w:tcPr>
            <w:tcW w:w="1564" w:type="dxa"/>
          </w:tcPr>
          <w:p w14:paraId="5771C840" w14:textId="77777777" w:rsidR="000F7E56" w:rsidRPr="000F7E56" w:rsidRDefault="000F7E56" w:rsidP="000F7E56">
            <w:pPr>
              <w:autoSpaceDE w:val="0"/>
              <w:autoSpaceDN w:val="0"/>
              <w:adjustRightInd w:val="0"/>
              <w:rPr>
                <w:rFonts w:cstheme="minorHAnsi"/>
              </w:rPr>
            </w:pPr>
            <w:r w:rsidRPr="000F7E56">
              <w:rPr>
                <w:rFonts w:cstheme="minorHAnsi"/>
              </w:rPr>
              <w:t>Unspoken</w:t>
            </w:r>
          </w:p>
        </w:tc>
        <w:tc>
          <w:tcPr>
            <w:tcW w:w="5407" w:type="dxa"/>
          </w:tcPr>
          <w:p w14:paraId="431C3064" w14:textId="77777777" w:rsidR="000F7E56" w:rsidRPr="000F7E56" w:rsidRDefault="000F7E56" w:rsidP="000F7E56">
            <w:pPr>
              <w:rPr>
                <w:rFonts w:cstheme="minorHAnsi"/>
                <w:bCs/>
              </w:rPr>
            </w:pPr>
            <w:r w:rsidRPr="000F7E56">
              <w:rPr>
                <w:rFonts w:cstheme="minorHAnsi"/>
                <w:bCs/>
              </w:rPr>
              <w:t>Carers duty and burdens. Language/communication barriers</w:t>
            </w:r>
          </w:p>
          <w:p w14:paraId="2B7950CF" w14:textId="77777777" w:rsidR="000F7E56" w:rsidRPr="000F7E56" w:rsidRDefault="000F7E56" w:rsidP="000F7E56">
            <w:pPr>
              <w:rPr>
                <w:rFonts w:cstheme="minorHAnsi"/>
                <w:bCs/>
              </w:rPr>
            </w:pPr>
            <w:r w:rsidRPr="000F7E56">
              <w:rPr>
                <w:rFonts w:cstheme="minorHAnsi"/>
                <w:bCs/>
              </w:rPr>
              <w:t>What’s going on below the surface.</w:t>
            </w:r>
          </w:p>
          <w:p w14:paraId="681DDEED" w14:textId="77777777" w:rsidR="000F7E56" w:rsidRPr="000F7E56" w:rsidRDefault="000F7E56" w:rsidP="000F7E56">
            <w:pPr>
              <w:autoSpaceDE w:val="0"/>
              <w:autoSpaceDN w:val="0"/>
              <w:adjustRightInd w:val="0"/>
              <w:rPr>
                <w:rFonts w:cstheme="minorHAnsi"/>
              </w:rPr>
            </w:pPr>
          </w:p>
        </w:tc>
      </w:tr>
      <w:tr w:rsidR="000F7E56" w:rsidRPr="000F7E56" w14:paraId="5A081809" w14:textId="77777777" w:rsidTr="000F7E56">
        <w:trPr>
          <w:trHeight w:val="907"/>
        </w:trPr>
        <w:tc>
          <w:tcPr>
            <w:tcW w:w="1575" w:type="dxa"/>
          </w:tcPr>
          <w:p w14:paraId="1C22AF3C" w14:textId="77777777" w:rsidR="000F7E56" w:rsidRPr="000F7E56" w:rsidRDefault="000F7E56" w:rsidP="000F7E56">
            <w:pPr>
              <w:autoSpaceDE w:val="0"/>
              <w:autoSpaceDN w:val="0"/>
              <w:adjustRightInd w:val="0"/>
              <w:rPr>
                <w:rFonts w:cstheme="minorHAnsi"/>
              </w:rPr>
            </w:pPr>
            <w:proofErr w:type="spellStart"/>
            <w:r w:rsidRPr="000F7E56">
              <w:rPr>
                <w:rFonts w:cstheme="minorHAnsi"/>
              </w:rPr>
              <w:t>Emilija</w:t>
            </w:r>
            <w:proofErr w:type="spellEnd"/>
          </w:p>
          <w:p w14:paraId="79A95B33" w14:textId="77777777" w:rsidR="000F7E56" w:rsidRPr="000F7E56" w:rsidRDefault="000F7E56" w:rsidP="000F7E56">
            <w:pPr>
              <w:autoSpaceDE w:val="0"/>
              <w:autoSpaceDN w:val="0"/>
              <w:adjustRightInd w:val="0"/>
              <w:rPr>
                <w:rFonts w:cstheme="minorHAnsi"/>
              </w:rPr>
            </w:pPr>
          </w:p>
        </w:tc>
        <w:tc>
          <w:tcPr>
            <w:tcW w:w="572" w:type="dxa"/>
          </w:tcPr>
          <w:p w14:paraId="711C9B86" w14:textId="77777777" w:rsidR="000F7E56" w:rsidRPr="000F7E56" w:rsidRDefault="000F7E56" w:rsidP="000F7E56">
            <w:pPr>
              <w:autoSpaceDE w:val="0"/>
              <w:autoSpaceDN w:val="0"/>
              <w:adjustRightInd w:val="0"/>
              <w:rPr>
                <w:rFonts w:cstheme="minorHAnsi"/>
              </w:rPr>
            </w:pPr>
            <w:r w:rsidRPr="000F7E56">
              <w:rPr>
                <w:rFonts w:cstheme="minorHAnsi"/>
              </w:rPr>
              <w:t>F</w:t>
            </w:r>
          </w:p>
        </w:tc>
        <w:tc>
          <w:tcPr>
            <w:tcW w:w="863" w:type="dxa"/>
          </w:tcPr>
          <w:p w14:paraId="71876860" w14:textId="77777777" w:rsidR="000F7E56" w:rsidRPr="000F7E56" w:rsidRDefault="000F7E56" w:rsidP="000F7E56">
            <w:pPr>
              <w:autoSpaceDE w:val="0"/>
              <w:autoSpaceDN w:val="0"/>
              <w:adjustRightInd w:val="0"/>
              <w:rPr>
                <w:rFonts w:cstheme="minorHAnsi"/>
              </w:rPr>
            </w:pPr>
            <w:r w:rsidRPr="000F7E56">
              <w:rPr>
                <w:rFonts w:cstheme="minorHAnsi"/>
              </w:rPr>
              <w:t>80</w:t>
            </w:r>
          </w:p>
        </w:tc>
        <w:tc>
          <w:tcPr>
            <w:tcW w:w="0" w:type="auto"/>
          </w:tcPr>
          <w:p w14:paraId="72BC1F16" w14:textId="77777777" w:rsidR="000F7E56" w:rsidRPr="000F7E56" w:rsidRDefault="000F7E56" w:rsidP="000F7E56">
            <w:pPr>
              <w:autoSpaceDE w:val="0"/>
              <w:autoSpaceDN w:val="0"/>
              <w:adjustRightInd w:val="0"/>
              <w:rPr>
                <w:rFonts w:cstheme="minorHAnsi"/>
              </w:rPr>
            </w:pPr>
            <w:r w:rsidRPr="000F7E56">
              <w:rPr>
                <w:rFonts w:cstheme="minorHAnsi"/>
              </w:rPr>
              <w:t>Patient</w:t>
            </w:r>
          </w:p>
        </w:tc>
        <w:tc>
          <w:tcPr>
            <w:tcW w:w="0" w:type="auto"/>
          </w:tcPr>
          <w:p w14:paraId="360184B5" w14:textId="77777777" w:rsidR="000F7E56" w:rsidRPr="000F7E56" w:rsidRDefault="000F7E56" w:rsidP="000F7E56">
            <w:pPr>
              <w:autoSpaceDE w:val="0"/>
              <w:autoSpaceDN w:val="0"/>
              <w:adjustRightInd w:val="0"/>
              <w:rPr>
                <w:rFonts w:cstheme="minorHAnsi"/>
              </w:rPr>
            </w:pPr>
            <w:r w:rsidRPr="000F7E56">
              <w:rPr>
                <w:rFonts w:cstheme="minorHAnsi"/>
              </w:rPr>
              <w:t>Latvian /</w:t>
            </w:r>
          </w:p>
          <w:p w14:paraId="734CD503" w14:textId="77777777" w:rsidR="000F7E56" w:rsidRPr="000F7E56" w:rsidRDefault="000F7E56" w:rsidP="000F7E56">
            <w:pPr>
              <w:autoSpaceDE w:val="0"/>
              <w:autoSpaceDN w:val="0"/>
              <w:adjustRightInd w:val="0"/>
              <w:rPr>
                <w:rFonts w:cstheme="minorHAnsi"/>
              </w:rPr>
            </w:pPr>
            <w:r w:rsidRPr="000F7E56">
              <w:rPr>
                <w:rFonts w:cstheme="minorHAnsi"/>
              </w:rPr>
              <w:t>Catholic</w:t>
            </w:r>
          </w:p>
        </w:tc>
        <w:tc>
          <w:tcPr>
            <w:tcW w:w="1210" w:type="dxa"/>
          </w:tcPr>
          <w:p w14:paraId="6594DC4F" w14:textId="77777777" w:rsidR="000F7E56" w:rsidRPr="000F7E56" w:rsidRDefault="000F7E56" w:rsidP="000F7E56">
            <w:pPr>
              <w:autoSpaceDE w:val="0"/>
              <w:autoSpaceDN w:val="0"/>
              <w:adjustRightInd w:val="0"/>
              <w:rPr>
                <w:rFonts w:cstheme="minorHAnsi"/>
              </w:rPr>
            </w:pPr>
            <w:r w:rsidRPr="000F7E56">
              <w:rPr>
                <w:rFonts w:cstheme="minorHAnsi"/>
              </w:rPr>
              <w:t>Hospice</w:t>
            </w:r>
          </w:p>
        </w:tc>
        <w:tc>
          <w:tcPr>
            <w:tcW w:w="1993" w:type="dxa"/>
          </w:tcPr>
          <w:p w14:paraId="1AD4A53C" w14:textId="77777777" w:rsidR="000F7E56" w:rsidRPr="000F7E56" w:rsidRDefault="000F7E56" w:rsidP="000F7E56">
            <w:pPr>
              <w:autoSpaceDE w:val="0"/>
              <w:autoSpaceDN w:val="0"/>
              <w:adjustRightInd w:val="0"/>
              <w:rPr>
                <w:rFonts w:cstheme="minorHAnsi"/>
              </w:rPr>
            </w:pPr>
            <w:r w:rsidRPr="000F7E56">
              <w:rPr>
                <w:rFonts w:cstheme="minorHAnsi"/>
              </w:rPr>
              <w:t>Towards the latter stages</w:t>
            </w:r>
          </w:p>
        </w:tc>
        <w:tc>
          <w:tcPr>
            <w:tcW w:w="1564" w:type="dxa"/>
          </w:tcPr>
          <w:p w14:paraId="6AD39CCD" w14:textId="77777777" w:rsidR="000F7E56" w:rsidRPr="000F7E56" w:rsidRDefault="000F7E56" w:rsidP="000F7E56">
            <w:pPr>
              <w:autoSpaceDE w:val="0"/>
              <w:autoSpaceDN w:val="0"/>
              <w:adjustRightInd w:val="0"/>
              <w:rPr>
                <w:rFonts w:cstheme="minorHAnsi"/>
              </w:rPr>
            </w:pPr>
            <w:r w:rsidRPr="000F7E56">
              <w:rPr>
                <w:rFonts w:cstheme="minorHAnsi"/>
              </w:rPr>
              <w:t>Unspoken</w:t>
            </w:r>
          </w:p>
        </w:tc>
        <w:tc>
          <w:tcPr>
            <w:tcW w:w="5407" w:type="dxa"/>
          </w:tcPr>
          <w:p w14:paraId="5333528B" w14:textId="77777777" w:rsidR="000F7E56" w:rsidRPr="000F7E56" w:rsidRDefault="000F7E56" w:rsidP="000F7E56">
            <w:pPr>
              <w:rPr>
                <w:rFonts w:cstheme="minorHAnsi"/>
                <w:bCs/>
              </w:rPr>
            </w:pPr>
            <w:r w:rsidRPr="000F7E56">
              <w:rPr>
                <w:rFonts w:cstheme="minorHAnsi"/>
                <w:bCs/>
              </w:rPr>
              <w:t xml:space="preserve">Offering the opportunity to discuss deterioration and dying at a time of readiness. </w:t>
            </w:r>
          </w:p>
          <w:p w14:paraId="72F271E3" w14:textId="77777777" w:rsidR="000F7E56" w:rsidRPr="000F7E56" w:rsidRDefault="000F7E56" w:rsidP="000F7E56">
            <w:pPr>
              <w:rPr>
                <w:rFonts w:cstheme="minorHAnsi"/>
                <w:bCs/>
              </w:rPr>
            </w:pPr>
            <w:r w:rsidRPr="000F7E56">
              <w:rPr>
                <w:rFonts w:cstheme="minorHAnsi"/>
                <w:bCs/>
              </w:rPr>
              <w:t>Aligning care to priorities of patient</w:t>
            </w:r>
          </w:p>
        </w:tc>
      </w:tr>
      <w:tr w:rsidR="000F7E56" w:rsidRPr="000F7E56" w14:paraId="044C2B6E" w14:textId="77777777" w:rsidTr="000F7E56">
        <w:trPr>
          <w:trHeight w:val="822"/>
        </w:trPr>
        <w:tc>
          <w:tcPr>
            <w:tcW w:w="1575" w:type="dxa"/>
          </w:tcPr>
          <w:p w14:paraId="038EF3CE" w14:textId="77777777" w:rsidR="000F7E56" w:rsidRPr="000F7E56" w:rsidRDefault="000F7E56" w:rsidP="000F7E56">
            <w:pPr>
              <w:autoSpaceDE w:val="0"/>
              <w:autoSpaceDN w:val="0"/>
              <w:adjustRightInd w:val="0"/>
              <w:rPr>
                <w:rFonts w:cstheme="minorHAnsi"/>
              </w:rPr>
            </w:pPr>
            <w:proofErr w:type="spellStart"/>
            <w:r w:rsidRPr="000F7E56">
              <w:rPr>
                <w:rFonts w:cstheme="minorHAnsi"/>
              </w:rPr>
              <w:t>Sharmarke</w:t>
            </w:r>
            <w:proofErr w:type="spellEnd"/>
          </w:p>
          <w:p w14:paraId="1E2BD3D8" w14:textId="77777777" w:rsidR="000F7E56" w:rsidRPr="000F7E56" w:rsidRDefault="000F7E56" w:rsidP="000F7E56">
            <w:pPr>
              <w:autoSpaceDE w:val="0"/>
              <w:autoSpaceDN w:val="0"/>
              <w:adjustRightInd w:val="0"/>
              <w:rPr>
                <w:rFonts w:cstheme="minorHAnsi"/>
              </w:rPr>
            </w:pPr>
          </w:p>
          <w:p w14:paraId="126ACD2E" w14:textId="77777777" w:rsidR="000F7E56" w:rsidRPr="000F7E56" w:rsidRDefault="000F7E56" w:rsidP="000F7E56">
            <w:pPr>
              <w:autoSpaceDE w:val="0"/>
              <w:autoSpaceDN w:val="0"/>
              <w:adjustRightInd w:val="0"/>
              <w:rPr>
                <w:rFonts w:cstheme="minorHAnsi"/>
              </w:rPr>
            </w:pPr>
          </w:p>
        </w:tc>
        <w:tc>
          <w:tcPr>
            <w:tcW w:w="572" w:type="dxa"/>
          </w:tcPr>
          <w:p w14:paraId="264E0AAB" w14:textId="77777777" w:rsidR="000F7E56" w:rsidRPr="000F7E56" w:rsidRDefault="000F7E56" w:rsidP="000F7E56">
            <w:pPr>
              <w:autoSpaceDE w:val="0"/>
              <w:autoSpaceDN w:val="0"/>
              <w:adjustRightInd w:val="0"/>
              <w:rPr>
                <w:rFonts w:cstheme="minorHAnsi"/>
              </w:rPr>
            </w:pPr>
            <w:r w:rsidRPr="000F7E56">
              <w:rPr>
                <w:rFonts w:cstheme="minorHAnsi"/>
              </w:rPr>
              <w:t>M</w:t>
            </w:r>
          </w:p>
        </w:tc>
        <w:tc>
          <w:tcPr>
            <w:tcW w:w="863" w:type="dxa"/>
          </w:tcPr>
          <w:p w14:paraId="1AFC1B5D" w14:textId="77777777" w:rsidR="000F7E56" w:rsidRPr="000F7E56" w:rsidRDefault="000F7E56" w:rsidP="000F7E56">
            <w:pPr>
              <w:autoSpaceDE w:val="0"/>
              <w:autoSpaceDN w:val="0"/>
              <w:adjustRightInd w:val="0"/>
              <w:rPr>
                <w:rFonts w:cstheme="minorHAnsi"/>
              </w:rPr>
            </w:pPr>
            <w:r w:rsidRPr="000F7E56">
              <w:rPr>
                <w:rFonts w:cstheme="minorHAnsi"/>
              </w:rPr>
              <w:t>25 / 50</w:t>
            </w:r>
          </w:p>
          <w:p w14:paraId="54B27F13" w14:textId="77777777" w:rsidR="000F7E56" w:rsidRPr="000F7E56" w:rsidRDefault="000F7E56" w:rsidP="000F7E56">
            <w:pPr>
              <w:autoSpaceDE w:val="0"/>
              <w:autoSpaceDN w:val="0"/>
              <w:adjustRightInd w:val="0"/>
              <w:rPr>
                <w:rFonts w:cstheme="minorHAnsi"/>
              </w:rPr>
            </w:pPr>
          </w:p>
        </w:tc>
        <w:tc>
          <w:tcPr>
            <w:tcW w:w="0" w:type="auto"/>
          </w:tcPr>
          <w:p w14:paraId="5EC1CFE5" w14:textId="77777777" w:rsidR="000F7E56" w:rsidRPr="000F7E56" w:rsidRDefault="000F7E56" w:rsidP="000F7E56">
            <w:pPr>
              <w:autoSpaceDE w:val="0"/>
              <w:autoSpaceDN w:val="0"/>
              <w:adjustRightInd w:val="0"/>
              <w:rPr>
                <w:rFonts w:cstheme="minorHAnsi"/>
              </w:rPr>
            </w:pPr>
            <w:r w:rsidRPr="000F7E56">
              <w:rPr>
                <w:rFonts w:cstheme="minorHAnsi"/>
              </w:rPr>
              <w:t>Son / Carer</w:t>
            </w:r>
          </w:p>
        </w:tc>
        <w:tc>
          <w:tcPr>
            <w:tcW w:w="0" w:type="auto"/>
          </w:tcPr>
          <w:p w14:paraId="4C5175C8" w14:textId="77777777" w:rsidR="000F7E56" w:rsidRPr="000F7E56" w:rsidRDefault="000F7E56" w:rsidP="000F7E56">
            <w:pPr>
              <w:autoSpaceDE w:val="0"/>
              <w:autoSpaceDN w:val="0"/>
              <w:adjustRightInd w:val="0"/>
              <w:rPr>
                <w:rFonts w:cstheme="minorHAnsi"/>
              </w:rPr>
            </w:pPr>
            <w:r w:rsidRPr="000F7E56">
              <w:rPr>
                <w:rFonts w:cstheme="minorHAnsi"/>
              </w:rPr>
              <w:t>African /</w:t>
            </w:r>
          </w:p>
          <w:p w14:paraId="6C206194" w14:textId="77777777" w:rsidR="000F7E56" w:rsidRPr="000F7E56" w:rsidRDefault="000F7E56" w:rsidP="000F7E56">
            <w:pPr>
              <w:autoSpaceDE w:val="0"/>
              <w:autoSpaceDN w:val="0"/>
              <w:adjustRightInd w:val="0"/>
              <w:rPr>
                <w:rFonts w:cstheme="minorHAnsi"/>
              </w:rPr>
            </w:pPr>
            <w:r w:rsidRPr="000F7E56">
              <w:rPr>
                <w:rFonts w:cstheme="minorHAnsi"/>
              </w:rPr>
              <w:t>Muslim</w:t>
            </w:r>
          </w:p>
        </w:tc>
        <w:tc>
          <w:tcPr>
            <w:tcW w:w="1210" w:type="dxa"/>
          </w:tcPr>
          <w:p w14:paraId="314C687F" w14:textId="77777777" w:rsidR="000F7E56" w:rsidRPr="000F7E56" w:rsidRDefault="000F7E56" w:rsidP="000F7E56">
            <w:pPr>
              <w:autoSpaceDE w:val="0"/>
              <w:autoSpaceDN w:val="0"/>
              <w:adjustRightInd w:val="0"/>
              <w:rPr>
                <w:rFonts w:cstheme="minorHAnsi"/>
              </w:rPr>
            </w:pPr>
            <w:r w:rsidRPr="000F7E56">
              <w:rPr>
                <w:rFonts w:cstheme="minorHAnsi"/>
              </w:rPr>
              <w:t>Hospital</w:t>
            </w:r>
          </w:p>
        </w:tc>
        <w:tc>
          <w:tcPr>
            <w:tcW w:w="1993" w:type="dxa"/>
          </w:tcPr>
          <w:p w14:paraId="5B51A22F" w14:textId="77777777" w:rsidR="000F7E56" w:rsidRPr="000F7E56" w:rsidRDefault="000F7E56" w:rsidP="000F7E56">
            <w:pPr>
              <w:autoSpaceDE w:val="0"/>
              <w:autoSpaceDN w:val="0"/>
              <w:adjustRightInd w:val="0"/>
              <w:rPr>
                <w:rFonts w:cstheme="minorHAnsi"/>
              </w:rPr>
            </w:pPr>
            <w:r w:rsidRPr="000F7E56">
              <w:rPr>
                <w:rFonts w:cstheme="minorHAnsi"/>
              </w:rPr>
              <w:t>Middle to latter stages</w:t>
            </w:r>
          </w:p>
        </w:tc>
        <w:tc>
          <w:tcPr>
            <w:tcW w:w="1564" w:type="dxa"/>
          </w:tcPr>
          <w:p w14:paraId="65C7BAF1" w14:textId="77777777" w:rsidR="000F7E56" w:rsidRPr="000F7E56" w:rsidRDefault="000F7E56" w:rsidP="000F7E56">
            <w:pPr>
              <w:autoSpaceDE w:val="0"/>
              <w:autoSpaceDN w:val="0"/>
              <w:adjustRightInd w:val="0"/>
              <w:rPr>
                <w:rFonts w:cstheme="minorHAnsi"/>
              </w:rPr>
            </w:pPr>
            <w:r w:rsidRPr="000F7E56">
              <w:rPr>
                <w:rFonts w:cstheme="minorHAnsi"/>
              </w:rPr>
              <w:t>Unspoken</w:t>
            </w:r>
          </w:p>
        </w:tc>
        <w:tc>
          <w:tcPr>
            <w:tcW w:w="5407" w:type="dxa"/>
          </w:tcPr>
          <w:p w14:paraId="3A5B8F89" w14:textId="77777777" w:rsidR="000F7E56" w:rsidRPr="000F7E56" w:rsidRDefault="000F7E56" w:rsidP="000F7E56">
            <w:pPr>
              <w:rPr>
                <w:rFonts w:cstheme="minorHAnsi"/>
                <w:bCs/>
              </w:rPr>
            </w:pPr>
            <w:r w:rsidRPr="000F7E56">
              <w:rPr>
                <w:rFonts w:cstheme="minorHAnsi"/>
                <w:bCs/>
              </w:rPr>
              <w:t>Complex life circumstances of migrants:  what lies beneath the surface.  Duty and misunderstandings.</w:t>
            </w:r>
          </w:p>
          <w:p w14:paraId="659E4865" w14:textId="77777777" w:rsidR="000F7E56" w:rsidRPr="000F7E56" w:rsidRDefault="000F7E56" w:rsidP="000F7E56">
            <w:pPr>
              <w:rPr>
                <w:rFonts w:cstheme="minorHAnsi"/>
                <w:bCs/>
              </w:rPr>
            </w:pPr>
            <w:r w:rsidRPr="000F7E56">
              <w:rPr>
                <w:rFonts w:cstheme="minorHAnsi"/>
                <w:bCs/>
              </w:rPr>
              <w:t>Taboos and fears. Knowing the systems.</w:t>
            </w:r>
          </w:p>
        </w:tc>
      </w:tr>
    </w:tbl>
    <w:p w14:paraId="792ABB2D" w14:textId="525D636F" w:rsidR="000F7E56" w:rsidRPr="000F7E56" w:rsidRDefault="0087146C" w:rsidP="00AA7983">
      <w:pPr>
        <w:pStyle w:val="Caption"/>
        <w:rPr>
          <w:iCs w:val="0"/>
        </w:rPr>
      </w:pPr>
      <w:bookmarkStart w:id="449" w:name="_Toc106701075"/>
      <w:bookmarkStart w:id="450" w:name="_Hlk106694207"/>
      <w:bookmarkStart w:id="451" w:name="_Toc89967523"/>
      <w:r>
        <w:t xml:space="preserve">TABLE </w:t>
      </w:r>
      <w:r w:rsidR="00D74EFC">
        <w:fldChar w:fldCharType="begin"/>
      </w:r>
      <w:r w:rsidR="00D74EFC">
        <w:instrText xml:space="preserve"> SEQ Table \* ARABIC </w:instrText>
      </w:r>
      <w:r w:rsidR="00D74EFC">
        <w:fldChar w:fldCharType="separate"/>
      </w:r>
      <w:r w:rsidR="00514EB4">
        <w:rPr>
          <w:noProof/>
        </w:rPr>
        <w:t>13</w:t>
      </w:r>
      <w:r w:rsidR="00D74EFC">
        <w:rPr>
          <w:noProof/>
        </w:rPr>
        <w:fldChar w:fldCharType="end"/>
      </w:r>
      <w:r>
        <w:t xml:space="preserve"> - Characteristics of fictionalised stories</w:t>
      </w:r>
      <w:bookmarkEnd w:id="449"/>
    </w:p>
    <w:bookmarkEnd w:id="450"/>
    <w:p w14:paraId="775BB198" w14:textId="77777777" w:rsidR="000F7E56" w:rsidRPr="000F7E56" w:rsidRDefault="000F7E56" w:rsidP="000F7E56">
      <w:pPr>
        <w:keepNext/>
        <w:spacing w:after="200" w:line="240" w:lineRule="auto"/>
        <w:jc w:val="both"/>
        <w:rPr>
          <w:rFonts w:cstheme="minorHAnsi"/>
          <w:iCs/>
          <w:color w:val="44546A" w:themeColor="text2"/>
        </w:rPr>
      </w:pPr>
    </w:p>
    <w:p w14:paraId="13B904FD" w14:textId="77777777" w:rsidR="000F7E56" w:rsidRPr="000F7E56" w:rsidRDefault="000F7E56" w:rsidP="000F7E56">
      <w:pPr>
        <w:keepNext/>
        <w:spacing w:after="200" w:line="240" w:lineRule="auto"/>
        <w:jc w:val="both"/>
        <w:rPr>
          <w:rFonts w:cstheme="minorHAnsi"/>
          <w:iCs/>
          <w:color w:val="44546A" w:themeColor="text2"/>
        </w:rPr>
        <w:sectPr w:rsidR="000F7E56" w:rsidRPr="000F7E56" w:rsidSect="000F7E56">
          <w:pgSz w:w="16838" w:h="11906" w:orient="landscape"/>
          <w:pgMar w:top="1134" w:right="1440" w:bottom="1134" w:left="1440" w:header="709" w:footer="709" w:gutter="0"/>
          <w:cols w:space="708"/>
          <w:docGrid w:linePitch="360"/>
        </w:sectPr>
      </w:pPr>
    </w:p>
    <w:p w14:paraId="3C011F9F" w14:textId="77777777" w:rsidR="000F7E56" w:rsidRPr="000F7E56" w:rsidRDefault="000F7E56" w:rsidP="000F7E56">
      <w:pPr>
        <w:keepNext/>
        <w:keepLines/>
        <w:spacing w:before="40" w:after="0" w:line="276" w:lineRule="auto"/>
        <w:outlineLvl w:val="2"/>
        <w:rPr>
          <w:rFonts w:asciiTheme="majorHAnsi" w:eastAsiaTheme="majorEastAsia" w:hAnsiTheme="majorHAnsi" w:cstheme="majorBidi"/>
          <w:color w:val="1F3763" w:themeColor="accent1" w:themeShade="7F"/>
          <w:sz w:val="24"/>
          <w:szCs w:val="24"/>
        </w:rPr>
      </w:pPr>
      <w:bookmarkStart w:id="452" w:name="_Toc89764028"/>
      <w:bookmarkStart w:id="453" w:name="_Toc106697873"/>
      <w:bookmarkEnd w:id="451"/>
      <w:r w:rsidRPr="000F7E56">
        <w:rPr>
          <w:rFonts w:asciiTheme="majorHAnsi" w:eastAsiaTheme="majorEastAsia" w:hAnsiTheme="majorHAnsi" w:cstheme="majorBidi"/>
          <w:color w:val="1F3763" w:themeColor="accent1" w:themeShade="7F"/>
          <w:sz w:val="24"/>
          <w:szCs w:val="24"/>
        </w:rPr>
        <w:lastRenderedPageBreak/>
        <w:t>Open access e-learning</w:t>
      </w:r>
      <w:bookmarkEnd w:id="452"/>
      <w:bookmarkEnd w:id="453"/>
    </w:p>
    <w:p w14:paraId="1226FC11" w14:textId="77777777" w:rsidR="000F7E56" w:rsidRPr="000F7E56" w:rsidRDefault="000F7E56" w:rsidP="000F7E56">
      <w:pPr>
        <w:autoSpaceDE w:val="0"/>
        <w:autoSpaceDN w:val="0"/>
        <w:adjustRightInd w:val="0"/>
        <w:spacing w:after="0" w:line="240" w:lineRule="auto"/>
        <w:rPr>
          <w:rFonts w:cstheme="minorHAnsi"/>
        </w:rPr>
      </w:pPr>
    </w:p>
    <w:p w14:paraId="7CA0E1D4" w14:textId="77777777" w:rsidR="000F7E56" w:rsidRPr="000F7E56" w:rsidRDefault="000F7E56" w:rsidP="000F7E56">
      <w:pPr>
        <w:autoSpaceDE w:val="0"/>
        <w:autoSpaceDN w:val="0"/>
        <w:adjustRightInd w:val="0"/>
        <w:spacing w:after="120" w:line="360" w:lineRule="auto"/>
        <w:rPr>
          <w:rFonts w:cstheme="minorHAnsi"/>
        </w:rPr>
      </w:pPr>
      <w:r w:rsidRPr="000F7E56">
        <w:rPr>
          <w:rFonts w:cstheme="minorHAnsi"/>
        </w:rPr>
        <w:t xml:space="preserve">A key objective of this project is to produce resources to be used in training and self-directed learning by health and social care professionals.  With NHS e-Learning for Health we have developed an e-learning module within the e-ELCA (End-of-Life Care for All) programme. The content of this module integrated findings from Work Streams 1 and 2 with the thematic analysis of the data from professional participants in work stream 3 informed by normalisation process theory and the use of behaviour change techniques. shape.  </w:t>
      </w:r>
    </w:p>
    <w:p w14:paraId="4304710F" w14:textId="77777777" w:rsidR="000F7E56" w:rsidRPr="000F7E56" w:rsidRDefault="000F7E56" w:rsidP="000F7E56">
      <w:pPr>
        <w:autoSpaceDE w:val="0"/>
        <w:autoSpaceDN w:val="0"/>
        <w:adjustRightInd w:val="0"/>
        <w:spacing w:after="120" w:line="360" w:lineRule="auto"/>
        <w:rPr>
          <w:rFonts w:cstheme="minorHAnsi"/>
        </w:rPr>
      </w:pPr>
      <w:r w:rsidRPr="000F7E56">
        <w:rPr>
          <w:rFonts w:cstheme="minorHAnsi"/>
        </w:rPr>
        <w:t xml:space="preserve">The module has also been shaped at various stages of development by feedback from professionals. </w:t>
      </w:r>
    </w:p>
    <w:p w14:paraId="1C722DC9" w14:textId="77777777" w:rsidR="000F7E56" w:rsidRPr="000F7E56" w:rsidRDefault="000F7E56" w:rsidP="000F7E56">
      <w:pPr>
        <w:autoSpaceDE w:val="0"/>
        <w:autoSpaceDN w:val="0"/>
        <w:adjustRightInd w:val="0"/>
        <w:spacing w:after="120" w:line="360" w:lineRule="auto"/>
        <w:rPr>
          <w:rFonts w:cstheme="minorHAnsi"/>
        </w:rPr>
      </w:pPr>
      <w:r w:rsidRPr="000F7E56">
        <w:rPr>
          <w:rFonts w:cstheme="minorHAnsi"/>
        </w:rPr>
        <w:t xml:space="preserve">The module is available free to health and social care staff at </w:t>
      </w:r>
      <w:hyperlink r:id="rId34" w:history="1">
        <w:r w:rsidRPr="000F7E56">
          <w:rPr>
            <w:rFonts w:cstheme="minorHAnsi"/>
            <w:color w:val="0563C1"/>
            <w:u w:val="single"/>
          </w:rPr>
          <w:t>https://www.e-lfh.org.uk/programmes/end-of-life-care/</w:t>
        </w:r>
      </w:hyperlink>
      <w:r w:rsidRPr="000F7E56">
        <w:rPr>
          <w:rFonts w:cstheme="minorHAnsi"/>
          <w:u w:val="single"/>
        </w:rPr>
        <w:t xml:space="preserve"> (NB in 2022)</w:t>
      </w:r>
    </w:p>
    <w:p w14:paraId="6353299F" w14:textId="77777777" w:rsidR="000F7E56" w:rsidRPr="000F7E56" w:rsidRDefault="000F7E56" w:rsidP="000F7E56">
      <w:pPr>
        <w:autoSpaceDE w:val="0"/>
        <w:autoSpaceDN w:val="0"/>
        <w:adjustRightInd w:val="0"/>
        <w:spacing w:after="0" w:line="240" w:lineRule="auto"/>
        <w:rPr>
          <w:rFonts w:cstheme="minorHAnsi"/>
        </w:rPr>
      </w:pPr>
    </w:p>
    <w:p w14:paraId="08709C0C" w14:textId="77777777" w:rsidR="000F7E56" w:rsidRPr="000F7E56" w:rsidRDefault="000F7E56" w:rsidP="000F7E56">
      <w:pPr>
        <w:spacing w:after="120" w:line="360" w:lineRule="auto"/>
        <w:rPr>
          <w:rFonts w:cstheme="minorHAnsi"/>
          <w:color w:val="4472C4" w:themeColor="accent1"/>
          <w:sz w:val="24"/>
          <w:szCs w:val="24"/>
        </w:rPr>
      </w:pPr>
      <w:r w:rsidRPr="000F7E56">
        <w:rPr>
          <w:rFonts w:cstheme="minorHAnsi"/>
          <w:color w:val="4472C4" w:themeColor="accent1"/>
          <w:sz w:val="24"/>
          <w:szCs w:val="24"/>
        </w:rPr>
        <w:t xml:space="preserve">National </w:t>
      </w:r>
      <w:proofErr w:type="spellStart"/>
      <w:r w:rsidRPr="000F7E56">
        <w:rPr>
          <w:rFonts w:cstheme="minorHAnsi"/>
          <w:color w:val="4472C4" w:themeColor="accent1"/>
          <w:sz w:val="24"/>
          <w:szCs w:val="24"/>
        </w:rPr>
        <w:t>PEoLC</w:t>
      </w:r>
      <w:proofErr w:type="spellEnd"/>
      <w:r w:rsidRPr="000F7E56">
        <w:rPr>
          <w:rFonts w:cstheme="minorHAnsi"/>
          <w:color w:val="4472C4" w:themeColor="accent1"/>
          <w:sz w:val="24"/>
          <w:szCs w:val="24"/>
        </w:rPr>
        <w:t xml:space="preserve"> Education Think Tank</w:t>
      </w:r>
    </w:p>
    <w:p w14:paraId="631F1F52" w14:textId="77777777" w:rsidR="000F7E56" w:rsidRPr="000F7E56" w:rsidRDefault="000F7E56" w:rsidP="000F7E56">
      <w:pPr>
        <w:spacing w:after="120" w:line="360" w:lineRule="auto"/>
        <w:rPr>
          <w:rFonts w:cstheme="minorHAnsi"/>
          <w:b/>
          <w:i/>
          <w:color w:val="4472C4" w:themeColor="accent1"/>
          <w:sz w:val="24"/>
          <w:szCs w:val="24"/>
        </w:rPr>
      </w:pPr>
      <w:r w:rsidRPr="000F7E56">
        <w:rPr>
          <w:rFonts w:cstheme="minorHAnsi"/>
          <w:b/>
          <w:i/>
          <w:color w:val="4472C4" w:themeColor="accent1"/>
          <w:sz w:val="24"/>
          <w:szCs w:val="24"/>
        </w:rPr>
        <w:t>All staff are prepared to care.</w:t>
      </w:r>
    </w:p>
    <w:p w14:paraId="3C017803" w14:textId="77777777" w:rsidR="000F7E56" w:rsidRPr="000F7E56" w:rsidRDefault="000F7E56" w:rsidP="000F7E56">
      <w:pPr>
        <w:spacing w:after="120" w:line="360" w:lineRule="auto"/>
        <w:rPr>
          <w:rFonts w:cstheme="minorHAnsi"/>
          <w:color w:val="4472C4" w:themeColor="accent1"/>
          <w:sz w:val="24"/>
          <w:szCs w:val="24"/>
        </w:rPr>
      </w:pPr>
      <w:r w:rsidRPr="000F7E56">
        <w:rPr>
          <w:rFonts w:cstheme="minorHAnsi"/>
          <w:b/>
          <w:i/>
          <w:color w:val="4472C4" w:themeColor="accent1"/>
          <w:sz w:val="24"/>
          <w:szCs w:val="24"/>
        </w:rPr>
        <w:t>“Wherever I am, health and care staff bring empathy, skills and expertise and give me competent, confident and compassionate care.”</w:t>
      </w:r>
    </w:p>
    <w:p w14:paraId="1F65E229" w14:textId="30E8D7E1" w:rsidR="000F7E56" w:rsidRPr="000F7E56" w:rsidRDefault="000F7E56" w:rsidP="000F7E56">
      <w:pPr>
        <w:spacing w:after="120" w:line="360" w:lineRule="auto"/>
        <w:rPr>
          <w:rFonts w:cstheme="minorHAnsi"/>
        </w:rPr>
      </w:pPr>
      <w:r w:rsidRPr="000F7E56">
        <w:rPr>
          <w:rFonts w:cstheme="minorHAnsi"/>
        </w:rPr>
        <w:t>Our impact plan for the project included the development of a new initiative to bring together high-level professionals across a diversity of stakeholder organisations which plan, commission, deliver and monitor training for HCPs and their competence in delivering patient care. We worked with the NHS England and Professor Bee Wee (NHS Improvement National Clinical Director for End-of-life Care), and Anita Hayes (the Hospice UK Head of Learning and workforce), to host two events.  The first event was face to face and was before the COVID-19 restrictions, and the second in November 2021 was virtual to meet COVID-19 restrictions. The organisations represented are shown in Box 2.</w:t>
      </w:r>
    </w:p>
    <w:p w14:paraId="22A1F4EC" w14:textId="68957E92" w:rsidR="000F7E56" w:rsidRPr="000F7E56" w:rsidRDefault="000F7E56" w:rsidP="000F7E56">
      <w:pPr>
        <w:spacing w:after="120" w:line="360" w:lineRule="auto"/>
        <w:rPr>
          <w:rFonts w:cstheme="minorHAnsi"/>
        </w:rPr>
      </w:pPr>
      <w:r w:rsidRPr="000F7E56">
        <w:rPr>
          <w:rFonts w:cstheme="minorHAnsi"/>
        </w:rPr>
        <w:t xml:space="preserve">The first event discussed what each organisation was doing towards ensuring workforce competence to achieve the pertinent stated ambitions endorsed by NHS England (Figures </w:t>
      </w:r>
      <w:r w:rsidR="00065310">
        <w:rPr>
          <w:rFonts w:cstheme="minorHAnsi"/>
        </w:rPr>
        <w:t>7</w:t>
      </w:r>
      <w:r w:rsidR="00065310" w:rsidRPr="000F7E56">
        <w:rPr>
          <w:rFonts w:cstheme="minorHAnsi"/>
        </w:rPr>
        <w:t xml:space="preserve"> </w:t>
      </w:r>
      <w:r w:rsidRPr="000F7E56">
        <w:rPr>
          <w:rFonts w:cstheme="minorHAnsi"/>
        </w:rPr>
        <w:t xml:space="preserve">and </w:t>
      </w:r>
      <w:r w:rsidR="00065310">
        <w:rPr>
          <w:rFonts w:cstheme="minorHAnsi"/>
        </w:rPr>
        <w:t>8</w:t>
      </w:r>
      <w:r w:rsidRPr="000F7E56">
        <w:rPr>
          <w:rFonts w:cstheme="minorHAnsi"/>
        </w:rPr>
        <w:t xml:space="preserve">) and competence in personalised </w:t>
      </w:r>
      <w:proofErr w:type="spellStart"/>
      <w:r w:rsidRPr="000F7E56">
        <w:rPr>
          <w:rFonts w:cstheme="minorHAnsi"/>
        </w:rPr>
        <w:t>PEoLC</w:t>
      </w:r>
      <w:proofErr w:type="spellEnd"/>
      <w:r w:rsidRPr="000F7E56">
        <w:rPr>
          <w:rFonts w:cstheme="minorHAnsi"/>
        </w:rPr>
        <w:t xml:space="preserve"> as described in the NHS Long Term Plan which focusses especially on increasing the percentage of people who have been offered personalised care and support planning at the end-of-life.</w:t>
      </w:r>
      <w:r w:rsidRPr="000F7E56">
        <w:rPr>
          <w:rFonts w:cstheme="minorHAnsi"/>
        </w:rPr>
        <w:fldChar w:fldCharType="begin"/>
      </w:r>
      <w:r w:rsidR="000D5597">
        <w:rPr>
          <w:rFonts w:cstheme="minorHAnsi"/>
        </w:rPr>
        <w:instrText xml:space="preserve"> ADDIN ZOTERO_ITEM CSL_CITATION {"citationID":"av35ebqdcv","properties":{"formattedCitation":"\\super 143,204\\nosupersub{}","plainCitation":"143,204","noteIndex":0},"citationItems":[{"id":1773,"uris":["http://zotero.org/users/8748280/items/9IX52NZQ"],"itemData":{"id":1773,"type":"webpage","container-title":"Association of Chartered Physiotherapists in Oncology and Palliative Care","language":"en","title":"Ambitions for Palliative and End of Life Care: National Framework for Local Action (2021 - 2026)","title-short":"Ambitions for Palliative and End of Life Care","URL":"https://acpopc.csp.org.uk/documents/ambitions-palliative-end-life-care-national-framework-local-action-2021-2026","accessed":{"date-parts":[["2021",12,8]]}}},{"id":1569,"uris":["http://zotero.org/users/8748280/items/2Y76HG9G"],"itemData":{"id":1569,"type":"webpage","title":"The NHS Long term Plan","URL":"https://www.longtermplan.nhs.uk/wp-content/uploads/2019/08/nhs-long-term-plan-version-1.2.pdf","author":[{"family":"NHS","given":""}]}}],"schema":"https://github.com/citation-style-language/schema/raw/master/csl-citation.json"} </w:instrText>
      </w:r>
      <w:r w:rsidRPr="000F7E56">
        <w:rPr>
          <w:rFonts w:cstheme="minorHAnsi"/>
        </w:rPr>
        <w:fldChar w:fldCharType="separate"/>
      </w:r>
      <w:r w:rsidR="000D5597" w:rsidRPr="000D5597">
        <w:rPr>
          <w:rFonts w:ascii="Calibri" w:hAnsi="Calibri" w:cs="Times New Roman"/>
          <w:szCs w:val="24"/>
          <w:vertAlign w:val="superscript"/>
        </w:rPr>
        <w:t>143,204</w:t>
      </w:r>
      <w:r w:rsidRPr="000F7E56">
        <w:rPr>
          <w:rFonts w:cstheme="minorHAnsi"/>
        </w:rPr>
        <w:fldChar w:fldCharType="end"/>
      </w:r>
    </w:p>
    <w:p w14:paraId="3A3DB3CA" w14:textId="77777777" w:rsidR="000F7E56" w:rsidRPr="000F7E56" w:rsidRDefault="000F7E56" w:rsidP="000F7E56">
      <w:pPr>
        <w:rPr>
          <w:rFonts w:cstheme="minorHAnsi"/>
        </w:rPr>
      </w:pPr>
      <w:r w:rsidRPr="000F7E56">
        <w:rPr>
          <w:rFonts w:cstheme="minorHAnsi"/>
          <w:noProof/>
        </w:rPr>
        <w:lastRenderedPageBreak/>
        <w:drawing>
          <wp:inline distT="0" distB="0" distL="0" distR="0" wp14:anchorId="55693154" wp14:editId="3F965568">
            <wp:extent cx="3917950" cy="2972537"/>
            <wp:effectExtent l="0" t="0" r="635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3921732" cy="2975406"/>
                    </a:xfrm>
                    <a:prstGeom prst="rect">
                      <a:avLst/>
                    </a:prstGeom>
                  </pic:spPr>
                </pic:pic>
              </a:graphicData>
            </a:graphic>
          </wp:inline>
        </w:drawing>
      </w:r>
    </w:p>
    <w:p w14:paraId="6C270CBE" w14:textId="77777777" w:rsidR="000F7E56" w:rsidRPr="000F7E56" w:rsidRDefault="000F7E56" w:rsidP="000F7E56">
      <w:pPr>
        <w:keepNext/>
        <w:spacing w:after="200" w:line="240" w:lineRule="auto"/>
        <w:jc w:val="both"/>
        <w:rPr>
          <w:rFonts w:cstheme="minorHAnsi"/>
          <w:iCs/>
          <w:color w:val="44546A" w:themeColor="text2"/>
        </w:rPr>
      </w:pPr>
      <w:bookmarkStart w:id="454" w:name="_Toc89966705"/>
      <w:bookmarkStart w:id="455" w:name="_Toc90545006"/>
      <w:r w:rsidRPr="000F7E56">
        <w:rPr>
          <w:rFonts w:cstheme="minorHAnsi"/>
          <w:iCs/>
          <w:color w:val="44546A" w:themeColor="text2"/>
        </w:rPr>
        <w:t xml:space="preserve">FIGURE </w:t>
      </w:r>
      <w:r w:rsidRPr="000F7E56">
        <w:rPr>
          <w:rFonts w:cstheme="minorHAnsi"/>
          <w:iCs/>
          <w:color w:val="44546A" w:themeColor="text2"/>
        </w:rPr>
        <w:fldChar w:fldCharType="begin"/>
      </w:r>
      <w:r w:rsidRPr="000F7E56">
        <w:rPr>
          <w:rFonts w:cstheme="minorHAnsi"/>
          <w:iCs/>
          <w:color w:val="44546A" w:themeColor="text2"/>
        </w:rPr>
        <w:instrText xml:space="preserve"> SEQ Figure \* ARABIC </w:instrText>
      </w:r>
      <w:r w:rsidRPr="000F7E56">
        <w:rPr>
          <w:rFonts w:cstheme="minorHAnsi"/>
          <w:iCs/>
          <w:color w:val="44546A" w:themeColor="text2"/>
        </w:rPr>
        <w:fldChar w:fldCharType="separate"/>
      </w:r>
      <w:r w:rsidRPr="000F7E56">
        <w:rPr>
          <w:rFonts w:cstheme="minorHAnsi"/>
          <w:iCs/>
          <w:noProof/>
          <w:color w:val="44546A" w:themeColor="text2"/>
        </w:rPr>
        <w:t>7</w:t>
      </w:r>
      <w:r w:rsidRPr="000F7E56">
        <w:rPr>
          <w:rFonts w:cstheme="minorHAnsi"/>
          <w:iCs/>
          <w:noProof/>
          <w:color w:val="44546A" w:themeColor="text2"/>
        </w:rPr>
        <w:fldChar w:fldCharType="end"/>
      </w:r>
      <w:r w:rsidRPr="000F7E56">
        <w:rPr>
          <w:rFonts w:cstheme="minorHAnsi"/>
          <w:iCs/>
          <w:noProof/>
          <w:color w:val="44546A" w:themeColor="text2"/>
        </w:rPr>
        <w:t xml:space="preserve"> -</w:t>
      </w:r>
      <w:r w:rsidRPr="000F7E56">
        <w:rPr>
          <w:rFonts w:cstheme="minorHAnsi"/>
          <w:iCs/>
          <w:color w:val="44546A" w:themeColor="text2"/>
        </w:rPr>
        <w:t xml:space="preserve"> The Six Ambitions for </w:t>
      </w:r>
      <w:proofErr w:type="spellStart"/>
      <w:r w:rsidRPr="000F7E56">
        <w:rPr>
          <w:rFonts w:cstheme="minorHAnsi"/>
          <w:iCs/>
          <w:color w:val="44546A" w:themeColor="text2"/>
        </w:rPr>
        <w:t>PEoLC</w:t>
      </w:r>
      <w:proofErr w:type="spellEnd"/>
      <w:r w:rsidRPr="000F7E56">
        <w:rPr>
          <w:rFonts w:cstheme="minorHAnsi"/>
          <w:iCs/>
          <w:color w:val="44546A" w:themeColor="text2"/>
        </w:rPr>
        <w:t>, National Palliative and End-of-Life Care Partnership</w:t>
      </w:r>
      <w:bookmarkEnd w:id="454"/>
      <w:bookmarkEnd w:id="455"/>
    </w:p>
    <w:p w14:paraId="3120D65A" w14:textId="77777777" w:rsidR="000F7E56" w:rsidRPr="000F7E56" w:rsidRDefault="000F7E56" w:rsidP="000F7E56">
      <w:pPr>
        <w:rPr>
          <w:rFonts w:cstheme="minorHAnsi"/>
        </w:rPr>
      </w:pPr>
      <w:r w:rsidRPr="000F7E56">
        <w:rPr>
          <w:rFonts w:cstheme="minorHAnsi"/>
          <w:noProof/>
        </w:rPr>
        <w:drawing>
          <wp:inline distT="0" distB="0" distL="0" distR="0" wp14:anchorId="05575439" wp14:editId="0246AF3B">
            <wp:extent cx="4684277" cy="3524885"/>
            <wp:effectExtent l="0" t="0" r="254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4706130" cy="3541330"/>
                    </a:xfrm>
                    <a:prstGeom prst="rect">
                      <a:avLst/>
                    </a:prstGeom>
                  </pic:spPr>
                </pic:pic>
              </a:graphicData>
            </a:graphic>
          </wp:inline>
        </w:drawing>
      </w:r>
    </w:p>
    <w:p w14:paraId="53CC01F4" w14:textId="6CC347B6" w:rsidR="000F7E56" w:rsidRDefault="000F7E56" w:rsidP="000F7E56">
      <w:pPr>
        <w:keepNext/>
        <w:spacing w:after="200" w:line="240" w:lineRule="auto"/>
        <w:jc w:val="both"/>
        <w:rPr>
          <w:rFonts w:cstheme="minorHAnsi"/>
          <w:iCs/>
          <w:color w:val="44546A" w:themeColor="text2"/>
        </w:rPr>
      </w:pPr>
      <w:bookmarkStart w:id="456" w:name="_Toc89966706"/>
      <w:bookmarkStart w:id="457" w:name="_Toc90545007"/>
      <w:r w:rsidRPr="000F7E56">
        <w:rPr>
          <w:rFonts w:cstheme="minorHAnsi"/>
          <w:iCs/>
          <w:color w:val="44546A" w:themeColor="text2"/>
        </w:rPr>
        <w:t xml:space="preserve">FIGURE </w:t>
      </w:r>
      <w:r w:rsidRPr="000F7E56">
        <w:rPr>
          <w:rFonts w:cstheme="minorHAnsi"/>
          <w:iCs/>
          <w:color w:val="44546A" w:themeColor="text2"/>
        </w:rPr>
        <w:fldChar w:fldCharType="begin"/>
      </w:r>
      <w:r w:rsidRPr="000F7E56">
        <w:rPr>
          <w:rFonts w:cstheme="minorHAnsi"/>
          <w:iCs/>
          <w:color w:val="44546A" w:themeColor="text2"/>
        </w:rPr>
        <w:instrText xml:space="preserve"> SEQ Figure \* ARABIC </w:instrText>
      </w:r>
      <w:r w:rsidRPr="000F7E56">
        <w:rPr>
          <w:rFonts w:cstheme="minorHAnsi"/>
          <w:iCs/>
          <w:color w:val="44546A" w:themeColor="text2"/>
        </w:rPr>
        <w:fldChar w:fldCharType="separate"/>
      </w:r>
      <w:r w:rsidRPr="000F7E56">
        <w:rPr>
          <w:rFonts w:cstheme="minorHAnsi"/>
          <w:iCs/>
          <w:noProof/>
          <w:color w:val="44546A" w:themeColor="text2"/>
        </w:rPr>
        <w:t>8</w:t>
      </w:r>
      <w:r w:rsidRPr="000F7E56">
        <w:rPr>
          <w:rFonts w:cstheme="minorHAnsi"/>
          <w:iCs/>
          <w:noProof/>
          <w:color w:val="44546A" w:themeColor="text2"/>
        </w:rPr>
        <w:fldChar w:fldCharType="end"/>
      </w:r>
      <w:r w:rsidRPr="000F7E56">
        <w:rPr>
          <w:rFonts w:cstheme="minorHAnsi"/>
          <w:iCs/>
          <w:noProof/>
          <w:color w:val="44546A" w:themeColor="text2"/>
        </w:rPr>
        <w:t xml:space="preserve"> -</w:t>
      </w:r>
      <w:r w:rsidRPr="000F7E56">
        <w:rPr>
          <w:rFonts w:cstheme="minorHAnsi"/>
          <w:iCs/>
          <w:color w:val="44546A" w:themeColor="text2"/>
        </w:rPr>
        <w:t xml:space="preserve"> The Building Blocks for Ambitions: All Staff are Prepared to Care</w:t>
      </w:r>
      <w:bookmarkEnd w:id="456"/>
      <w:bookmarkEnd w:id="457"/>
    </w:p>
    <w:p w14:paraId="1AA3076E" w14:textId="7B60D99B" w:rsidR="00EE6E1F" w:rsidRDefault="00EE6E1F" w:rsidP="000F7E56">
      <w:pPr>
        <w:keepNext/>
        <w:spacing w:after="200" w:line="240" w:lineRule="auto"/>
        <w:jc w:val="both"/>
        <w:rPr>
          <w:rFonts w:cstheme="minorHAnsi"/>
          <w:iCs/>
          <w:color w:val="44546A" w:themeColor="text2"/>
        </w:rPr>
      </w:pPr>
    </w:p>
    <w:p w14:paraId="4D88F68F" w14:textId="1A67B17B" w:rsidR="00EE6E1F" w:rsidRDefault="00EE6E1F" w:rsidP="000F7E56">
      <w:pPr>
        <w:keepNext/>
        <w:spacing w:after="200" w:line="240" w:lineRule="auto"/>
        <w:jc w:val="both"/>
        <w:rPr>
          <w:rFonts w:cstheme="minorHAnsi"/>
          <w:iCs/>
          <w:color w:val="44546A" w:themeColor="text2"/>
        </w:rPr>
      </w:pPr>
    </w:p>
    <w:p w14:paraId="171073E2" w14:textId="6D3A616B" w:rsidR="00EE6E1F" w:rsidRDefault="00EE6E1F" w:rsidP="000F7E56">
      <w:pPr>
        <w:keepNext/>
        <w:spacing w:after="200" w:line="240" w:lineRule="auto"/>
        <w:jc w:val="both"/>
        <w:rPr>
          <w:rFonts w:cstheme="minorHAnsi"/>
          <w:iCs/>
          <w:color w:val="44546A" w:themeColor="text2"/>
        </w:rPr>
      </w:pPr>
    </w:p>
    <w:p w14:paraId="7235FA1E" w14:textId="77777777" w:rsidR="00EE6E1F" w:rsidRDefault="00EE6E1F" w:rsidP="000F7E56">
      <w:pPr>
        <w:spacing w:after="120" w:line="360" w:lineRule="auto"/>
        <w:rPr>
          <w:rFonts w:cstheme="minorHAnsi"/>
          <w:iCs/>
          <w:color w:val="44546A" w:themeColor="text2"/>
        </w:rPr>
      </w:pPr>
    </w:p>
    <w:p w14:paraId="12A121FF" w14:textId="77777777" w:rsidR="00EE6E1F" w:rsidRDefault="00EE6E1F" w:rsidP="000F7E56">
      <w:pPr>
        <w:spacing w:after="120" w:line="360" w:lineRule="auto"/>
        <w:rPr>
          <w:rFonts w:cstheme="minorHAnsi"/>
        </w:rPr>
      </w:pPr>
    </w:p>
    <w:p w14:paraId="5473BD83" w14:textId="1BC93FCB" w:rsidR="000F7E56" w:rsidRPr="000F7E56" w:rsidRDefault="000F7E56" w:rsidP="000F7E56">
      <w:pPr>
        <w:spacing w:after="120" w:line="360" w:lineRule="auto"/>
        <w:rPr>
          <w:rFonts w:cstheme="minorHAnsi"/>
        </w:rPr>
      </w:pPr>
      <w:r w:rsidRPr="000F7E56">
        <w:rPr>
          <w:rFonts w:cstheme="minorHAnsi"/>
        </w:rPr>
        <w:lastRenderedPageBreak/>
        <w:t>Themes that were discussed were:</w:t>
      </w:r>
    </w:p>
    <w:p w14:paraId="773A3C8D" w14:textId="77777777" w:rsidR="000F7E56" w:rsidRPr="000F7E56" w:rsidRDefault="000F7E56" w:rsidP="000C7E4F">
      <w:pPr>
        <w:numPr>
          <w:ilvl w:val="0"/>
          <w:numId w:val="11"/>
        </w:numPr>
        <w:spacing w:after="120" w:line="360" w:lineRule="auto"/>
        <w:contextualSpacing/>
        <w:rPr>
          <w:rFonts w:cstheme="minorHAnsi"/>
        </w:rPr>
      </w:pPr>
      <w:r w:rsidRPr="000F7E56">
        <w:rPr>
          <w:rFonts w:cstheme="minorHAnsi"/>
        </w:rPr>
        <w:t>barriers and enablers to preparing staff to care;</w:t>
      </w:r>
    </w:p>
    <w:p w14:paraId="1031F7FE" w14:textId="77777777" w:rsidR="000F7E56" w:rsidRPr="000F7E56" w:rsidRDefault="000F7E56" w:rsidP="000C7E4F">
      <w:pPr>
        <w:numPr>
          <w:ilvl w:val="0"/>
          <w:numId w:val="11"/>
        </w:numPr>
        <w:spacing w:after="120" w:line="360" w:lineRule="auto"/>
        <w:contextualSpacing/>
        <w:rPr>
          <w:rFonts w:cstheme="minorHAnsi"/>
        </w:rPr>
      </w:pPr>
      <w:r w:rsidRPr="000F7E56">
        <w:rPr>
          <w:rFonts w:cstheme="minorHAnsi"/>
        </w:rPr>
        <w:t xml:space="preserve">the NHS culture for staff learning about </w:t>
      </w:r>
      <w:proofErr w:type="spellStart"/>
      <w:r w:rsidRPr="000F7E56">
        <w:rPr>
          <w:rFonts w:cstheme="minorHAnsi"/>
        </w:rPr>
        <w:t>EoLC</w:t>
      </w:r>
      <w:proofErr w:type="spellEnd"/>
      <w:r w:rsidRPr="000F7E56">
        <w:rPr>
          <w:rFonts w:cstheme="minorHAnsi"/>
        </w:rPr>
        <w:t xml:space="preserve"> and using their skills effectively;</w:t>
      </w:r>
    </w:p>
    <w:p w14:paraId="68038E08" w14:textId="77777777" w:rsidR="000F7E56" w:rsidRPr="000F7E56" w:rsidRDefault="000F7E56" w:rsidP="000C7E4F">
      <w:pPr>
        <w:numPr>
          <w:ilvl w:val="0"/>
          <w:numId w:val="11"/>
        </w:numPr>
        <w:spacing w:after="120" w:line="360" w:lineRule="auto"/>
        <w:contextualSpacing/>
        <w:rPr>
          <w:rFonts w:cstheme="minorHAnsi"/>
        </w:rPr>
      </w:pPr>
      <w:r w:rsidRPr="000F7E56">
        <w:rPr>
          <w:rFonts w:cstheme="minorHAnsi"/>
        </w:rPr>
        <w:t xml:space="preserve">developing competence in honest conversations; </w:t>
      </w:r>
    </w:p>
    <w:p w14:paraId="6B6CC309" w14:textId="77777777" w:rsidR="000F7E56" w:rsidRPr="000F7E56" w:rsidRDefault="000F7E56" w:rsidP="000C7E4F">
      <w:pPr>
        <w:numPr>
          <w:ilvl w:val="0"/>
          <w:numId w:val="11"/>
        </w:numPr>
        <w:spacing w:after="120" w:line="360" w:lineRule="auto"/>
        <w:contextualSpacing/>
        <w:rPr>
          <w:rFonts w:cstheme="minorHAnsi"/>
        </w:rPr>
      </w:pPr>
      <w:r w:rsidRPr="000F7E56">
        <w:rPr>
          <w:rFonts w:cstheme="minorHAnsi"/>
        </w:rPr>
        <w:t>using technologies in learning and assessment;</w:t>
      </w:r>
    </w:p>
    <w:p w14:paraId="46833352" w14:textId="4F12CA4D" w:rsidR="000F7E56" w:rsidRDefault="000F7E56" w:rsidP="000C7E4F">
      <w:pPr>
        <w:numPr>
          <w:ilvl w:val="0"/>
          <w:numId w:val="11"/>
        </w:numPr>
        <w:spacing w:after="120" w:line="360" w:lineRule="auto"/>
        <w:contextualSpacing/>
        <w:rPr>
          <w:rFonts w:cstheme="minorHAnsi"/>
        </w:rPr>
      </w:pPr>
      <w:r w:rsidRPr="000F7E56">
        <w:rPr>
          <w:rFonts w:cstheme="minorHAnsi"/>
        </w:rPr>
        <w:t>Implementation of standards and guidance in practice.</w:t>
      </w:r>
    </w:p>
    <w:p w14:paraId="1EE7C98F" w14:textId="77777777" w:rsidR="00835B60" w:rsidRPr="000F7E56" w:rsidRDefault="00835B60" w:rsidP="000C7E4F">
      <w:pPr>
        <w:numPr>
          <w:ilvl w:val="0"/>
          <w:numId w:val="11"/>
        </w:numPr>
        <w:spacing w:after="120" w:line="360" w:lineRule="auto"/>
        <w:contextualSpacing/>
        <w:rPr>
          <w:rFonts w:cstheme="minorHAnsi"/>
        </w:rPr>
      </w:pPr>
    </w:p>
    <w:p w14:paraId="32549ECA" w14:textId="77777777" w:rsidR="000F7E56" w:rsidRPr="000F7E56" w:rsidRDefault="000F7E56" w:rsidP="000F7E56">
      <w:pPr>
        <w:spacing w:after="120" w:line="360" w:lineRule="auto"/>
        <w:rPr>
          <w:rFonts w:cstheme="minorHAnsi"/>
        </w:rPr>
      </w:pPr>
      <w:r w:rsidRPr="000F7E56">
        <w:rPr>
          <w:rFonts w:cstheme="minorHAnsi"/>
        </w:rPr>
        <w:t>The group agreed that the meeting had been very useful and that there was a real need to improve education and training, and a value to do this in a collaborative way.</w:t>
      </w:r>
    </w:p>
    <w:p w14:paraId="735C8897" w14:textId="77777777" w:rsidR="000F7E56" w:rsidRPr="000F7E56" w:rsidRDefault="000F7E56" w:rsidP="000F7E56">
      <w:pPr>
        <w:spacing w:after="120" w:line="360" w:lineRule="auto"/>
        <w:rPr>
          <w:rFonts w:cstheme="minorHAnsi"/>
        </w:rPr>
      </w:pPr>
      <w:r w:rsidRPr="000F7E56">
        <w:rPr>
          <w:rFonts w:cstheme="minorHAnsi"/>
        </w:rPr>
        <w:t>A common focus was desired, and this was agreed as enhancing the workforce delivery of skilled Honest and Open conversations including about deterioration and dying to prepare staff to achieve Ambition 1:  Each person is seen as an individual: everybody should have the opportunity for honest and well-informed conversations about dying, death and bereavement and the NHS plan for personalised end-of-life care.</w:t>
      </w:r>
    </w:p>
    <w:p w14:paraId="3FF1078F" w14:textId="77777777" w:rsidR="000F7E56" w:rsidRPr="000F7E56" w:rsidRDefault="000F7E56" w:rsidP="000F7E56">
      <w:pPr>
        <w:spacing w:after="120" w:line="360" w:lineRule="auto"/>
        <w:rPr>
          <w:rFonts w:cstheme="minorHAnsi"/>
        </w:rPr>
      </w:pPr>
      <w:r w:rsidRPr="000F7E56">
        <w:rPr>
          <w:rFonts w:cstheme="minorHAnsi"/>
        </w:rPr>
        <w:t>The importance of the competence of the health care workforce in having open and honest conversations with patients and their families about deterioration and dying, and offering opportunities for personalised care planning was dramatically foregrounded by the COVID-19 pandemic. The number of patients who were at risk of deterioration, the forced remote consultations, the diversity of staff who were caring for dying or very vulnerable patients meant that gaining skills and confidence in such conversations became a priority and greatly accelerated development of resources and training.</w:t>
      </w:r>
    </w:p>
    <w:p w14:paraId="1CBBD8C9" w14:textId="77777777" w:rsidR="000F7E56" w:rsidRPr="000F7E56" w:rsidRDefault="000F7E56" w:rsidP="000F7E56">
      <w:pPr>
        <w:autoSpaceDE w:val="0"/>
        <w:autoSpaceDN w:val="0"/>
        <w:adjustRightInd w:val="0"/>
        <w:spacing w:after="120" w:line="360" w:lineRule="auto"/>
        <w:rPr>
          <w:rFonts w:cstheme="minorHAnsi"/>
        </w:rPr>
      </w:pPr>
      <w:r w:rsidRPr="000F7E56">
        <w:rPr>
          <w:rFonts w:cstheme="minorHAnsi"/>
        </w:rPr>
        <w:t>The second event, delayed because of the impacts of COVID-19 pandemic, was held in November 2021 and focussed on supporting people from diverse ethnic and faith backgrounds.  (NB a further sentence or two will be added after report submission to summarise impacts/actions).</w:t>
      </w:r>
    </w:p>
    <w:p w14:paraId="6D7856B5" w14:textId="77777777" w:rsidR="000F7E56" w:rsidRPr="000F7E56" w:rsidRDefault="000F7E56" w:rsidP="000F7E56">
      <w:pPr>
        <w:autoSpaceDE w:val="0"/>
        <w:autoSpaceDN w:val="0"/>
        <w:adjustRightInd w:val="0"/>
        <w:spacing w:after="120" w:line="360" w:lineRule="auto"/>
        <w:rPr>
          <w:rFonts w:cstheme="minorHAnsi"/>
        </w:rPr>
      </w:pPr>
    </w:p>
    <w:p w14:paraId="3CA346BB" w14:textId="77777777" w:rsidR="000F7E56" w:rsidRPr="000F7E56" w:rsidRDefault="000F7E56" w:rsidP="000F7E56">
      <w:pPr>
        <w:autoSpaceDE w:val="0"/>
        <w:autoSpaceDN w:val="0"/>
        <w:adjustRightInd w:val="0"/>
        <w:spacing w:after="120" w:line="360" w:lineRule="auto"/>
        <w:rPr>
          <w:rFonts w:cstheme="minorHAnsi"/>
        </w:rPr>
      </w:pPr>
    </w:p>
    <w:p w14:paraId="5EDD39D7" w14:textId="77777777" w:rsidR="000F7E56" w:rsidRPr="000F7E56" w:rsidRDefault="000F7E56" w:rsidP="000F7E56">
      <w:pPr>
        <w:autoSpaceDE w:val="0"/>
        <w:autoSpaceDN w:val="0"/>
        <w:adjustRightInd w:val="0"/>
        <w:spacing w:after="120" w:line="360" w:lineRule="auto"/>
        <w:rPr>
          <w:rFonts w:cstheme="minorHAnsi"/>
        </w:rPr>
      </w:pPr>
    </w:p>
    <w:p w14:paraId="6800D900" w14:textId="77777777" w:rsidR="000F7E56" w:rsidRPr="000F7E56" w:rsidRDefault="000F7E56" w:rsidP="000F7E56">
      <w:pPr>
        <w:autoSpaceDE w:val="0"/>
        <w:autoSpaceDN w:val="0"/>
        <w:adjustRightInd w:val="0"/>
        <w:spacing w:after="120" w:line="360" w:lineRule="auto"/>
        <w:rPr>
          <w:rFonts w:cstheme="minorHAnsi"/>
        </w:rPr>
      </w:pPr>
    </w:p>
    <w:p w14:paraId="0391C46C" w14:textId="77777777" w:rsidR="000F7E56" w:rsidRPr="000F7E56" w:rsidRDefault="000F7E56" w:rsidP="000F7E56">
      <w:pPr>
        <w:autoSpaceDE w:val="0"/>
        <w:autoSpaceDN w:val="0"/>
        <w:adjustRightInd w:val="0"/>
        <w:spacing w:after="120" w:line="360" w:lineRule="auto"/>
        <w:rPr>
          <w:rFonts w:cstheme="minorHAnsi"/>
        </w:rPr>
      </w:pPr>
    </w:p>
    <w:p w14:paraId="0A291A89" w14:textId="77777777" w:rsidR="000F7E56" w:rsidRPr="000F7E56" w:rsidRDefault="000F7E56" w:rsidP="000F7E56">
      <w:pPr>
        <w:autoSpaceDE w:val="0"/>
        <w:autoSpaceDN w:val="0"/>
        <w:adjustRightInd w:val="0"/>
        <w:spacing w:after="120" w:line="360" w:lineRule="auto"/>
        <w:rPr>
          <w:rFonts w:cstheme="minorHAnsi"/>
        </w:rPr>
      </w:pPr>
    </w:p>
    <w:p w14:paraId="65EBAF31" w14:textId="77777777" w:rsidR="000F7E56" w:rsidRPr="000F7E56" w:rsidRDefault="000F7E56" w:rsidP="000F7E56">
      <w:pPr>
        <w:autoSpaceDE w:val="0"/>
        <w:autoSpaceDN w:val="0"/>
        <w:adjustRightInd w:val="0"/>
        <w:spacing w:after="120" w:line="360" w:lineRule="auto"/>
        <w:rPr>
          <w:rFonts w:cstheme="minorHAnsi"/>
        </w:rPr>
      </w:pPr>
    </w:p>
    <w:p w14:paraId="1DACD833" w14:textId="77777777" w:rsidR="000F7E56" w:rsidRPr="000F7E56" w:rsidRDefault="000F7E56" w:rsidP="000F7E56">
      <w:pPr>
        <w:autoSpaceDE w:val="0"/>
        <w:autoSpaceDN w:val="0"/>
        <w:adjustRightInd w:val="0"/>
        <w:spacing w:after="120" w:line="360" w:lineRule="auto"/>
        <w:rPr>
          <w:rFonts w:cstheme="minorHAnsi"/>
        </w:rPr>
      </w:pPr>
    </w:p>
    <w:p w14:paraId="0AEED780" w14:textId="77777777" w:rsidR="000F7E56" w:rsidRPr="000F7E56" w:rsidRDefault="000F7E56" w:rsidP="000F7E56">
      <w:pPr>
        <w:autoSpaceDE w:val="0"/>
        <w:autoSpaceDN w:val="0"/>
        <w:adjustRightInd w:val="0"/>
        <w:spacing w:after="120" w:line="360" w:lineRule="auto"/>
        <w:rPr>
          <w:rFonts w:cstheme="minorHAnsi"/>
        </w:rPr>
      </w:pPr>
    </w:p>
    <w:p w14:paraId="07CDFB1B" w14:textId="77777777" w:rsidR="000F7E56" w:rsidRPr="000F7E56" w:rsidRDefault="000F7E56" w:rsidP="000F7E56">
      <w:pPr>
        <w:autoSpaceDE w:val="0"/>
        <w:autoSpaceDN w:val="0"/>
        <w:adjustRightInd w:val="0"/>
        <w:spacing w:after="120" w:line="360" w:lineRule="auto"/>
        <w:rPr>
          <w:rFonts w:cstheme="minorHAnsi"/>
        </w:rPr>
      </w:pPr>
    </w:p>
    <w:p w14:paraId="0426F7BB" w14:textId="77777777" w:rsidR="000F7E56" w:rsidRPr="000F7E56" w:rsidRDefault="000F7E56" w:rsidP="000F7E56">
      <w:pPr>
        <w:autoSpaceDE w:val="0"/>
        <w:autoSpaceDN w:val="0"/>
        <w:adjustRightInd w:val="0"/>
        <w:spacing w:after="120" w:line="360" w:lineRule="auto"/>
        <w:rPr>
          <w:rFonts w:cstheme="minorHAnsi"/>
        </w:rPr>
      </w:pPr>
    </w:p>
    <w:p w14:paraId="65FA67E5" w14:textId="77777777" w:rsidR="000F7E56" w:rsidRPr="000F7E56" w:rsidRDefault="000F7E56" w:rsidP="000F7E56">
      <w:pPr>
        <w:autoSpaceDE w:val="0"/>
        <w:autoSpaceDN w:val="0"/>
        <w:adjustRightInd w:val="0"/>
        <w:spacing w:after="120" w:line="360" w:lineRule="auto"/>
        <w:rPr>
          <w:rFonts w:cstheme="minorHAnsi"/>
        </w:rPr>
      </w:pPr>
    </w:p>
    <w:p w14:paraId="5270A76A" w14:textId="77777777" w:rsidR="000F7E56" w:rsidRPr="000F7E56" w:rsidRDefault="000F7E56" w:rsidP="000F7E56">
      <w:pPr>
        <w:autoSpaceDE w:val="0"/>
        <w:autoSpaceDN w:val="0"/>
        <w:adjustRightInd w:val="0"/>
        <w:spacing w:after="120" w:line="360" w:lineRule="auto"/>
        <w:rPr>
          <w:rFonts w:cstheme="minorHAnsi"/>
        </w:rPr>
      </w:pPr>
    </w:p>
    <w:p w14:paraId="46D36493" w14:textId="77777777" w:rsidR="000F7E56" w:rsidRPr="000F7E56" w:rsidRDefault="000F7E56" w:rsidP="000F7E56">
      <w:pPr>
        <w:pBdr>
          <w:top w:val="single" w:sz="24" w:space="1" w:color="4472C4" w:themeColor="accent1"/>
          <w:left w:val="single" w:sz="24" w:space="4" w:color="4472C4" w:themeColor="accent1"/>
          <w:bottom w:val="single" w:sz="24" w:space="1" w:color="4472C4" w:themeColor="accent1"/>
          <w:right w:val="single" w:sz="24" w:space="4" w:color="4472C4" w:themeColor="accent1"/>
        </w:pBdr>
        <w:rPr>
          <w:rFonts w:cstheme="minorHAnsi"/>
        </w:rPr>
      </w:pPr>
      <w:r w:rsidRPr="000F7E56">
        <w:rPr>
          <w:rFonts w:cstheme="minorHAnsi"/>
        </w:rPr>
        <w:t>NHS England</w:t>
      </w:r>
      <w:r w:rsidRPr="000F7E56">
        <w:rPr>
          <w:rFonts w:cstheme="minorHAnsi"/>
        </w:rPr>
        <w:tab/>
      </w:r>
      <w:r w:rsidRPr="000F7E56">
        <w:rPr>
          <w:rFonts w:cstheme="minorHAnsi"/>
        </w:rPr>
        <w:tab/>
      </w:r>
      <w:r w:rsidRPr="000F7E56">
        <w:rPr>
          <w:rFonts w:cstheme="minorHAnsi"/>
        </w:rPr>
        <w:tab/>
      </w:r>
      <w:r w:rsidRPr="000F7E56">
        <w:rPr>
          <w:rFonts w:cstheme="minorHAnsi"/>
        </w:rPr>
        <w:tab/>
        <w:t>Care Quality Commission</w:t>
      </w:r>
    </w:p>
    <w:p w14:paraId="36C637CA" w14:textId="77777777" w:rsidR="000F7E56" w:rsidRPr="000F7E56" w:rsidRDefault="000F7E56" w:rsidP="000F7E56">
      <w:pPr>
        <w:pBdr>
          <w:top w:val="single" w:sz="24" w:space="1" w:color="4472C4" w:themeColor="accent1"/>
          <w:left w:val="single" w:sz="24" w:space="4" w:color="4472C4" w:themeColor="accent1"/>
          <w:bottom w:val="single" w:sz="24" w:space="1" w:color="4472C4" w:themeColor="accent1"/>
          <w:right w:val="single" w:sz="24" w:space="4" w:color="4472C4" w:themeColor="accent1"/>
        </w:pBdr>
        <w:rPr>
          <w:rFonts w:cstheme="minorHAnsi"/>
        </w:rPr>
      </w:pPr>
      <w:r w:rsidRPr="000F7E56">
        <w:rPr>
          <w:rFonts w:cstheme="minorHAnsi"/>
        </w:rPr>
        <w:t>General Medical Council</w:t>
      </w:r>
      <w:r w:rsidRPr="000F7E56">
        <w:rPr>
          <w:rFonts w:cstheme="minorHAnsi"/>
        </w:rPr>
        <w:tab/>
      </w:r>
      <w:r w:rsidRPr="000F7E56">
        <w:rPr>
          <w:rFonts w:cstheme="minorHAnsi"/>
        </w:rPr>
        <w:tab/>
        <w:t>NHS e-Learning for Health</w:t>
      </w:r>
    </w:p>
    <w:p w14:paraId="6D5718CC" w14:textId="77777777" w:rsidR="000F7E56" w:rsidRPr="000F7E56" w:rsidRDefault="000F7E56" w:rsidP="000F7E56">
      <w:pPr>
        <w:pBdr>
          <w:top w:val="single" w:sz="24" w:space="1" w:color="4472C4" w:themeColor="accent1"/>
          <w:left w:val="single" w:sz="24" w:space="4" w:color="4472C4" w:themeColor="accent1"/>
          <w:bottom w:val="single" w:sz="24" w:space="1" w:color="4472C4" w:themeColor="accent1"/>
          <w:right w:val="single" w:sz="24" w:space="4" w:color="4472C4" w:themeColor="accent1"/>
        </w:pBdr>
        <w:rPr>
          <w:rFonts w:cstheme="minorHAnsi"/>
        </w:rPr>
      </w:pPr>
      <w:r w:rsidRPr="000F7E56">
        <w:rPr>
          <w:rFonts w:cstheme="minorHAnsi"/>
        </w:rPr>
        <w:t>Foundation Programme</w:t>
      </w:r>
      <w:r w:rsidRPr="000F7E56">
        <w:rPr>
          <w:rFonts w:cstheme="minorHAnsi"/>
        </w:rPr>
        <w:tab/>
      </w:r>
      <w:r w:rsidRPr="000F7E56">
        <w:rPr>
          <w:rFonts w:cstheme="minorHAnsi"/>
        </w:rPr>
        <w:tab/>
      </w:r>
      <w:r w:rsidRPr="000F7E56">
        <w:rPr>
          <w:rFonts w:cstheme="minorHAnsi"/>
        </w:rPr>
        <w:tab/>
        <w:t>Association for Palliative Medicine Great Britain and Ireland</w:t>
      </w:r>
    </w:p>
    <w:p w14:paraId="415F30D6" w14:textId="77777777" w:rsidR="000F7E56" w:rsidRPr="000F7E56" w:rsidRDefault="000F7E56" w:rsidP="000F7E56">
      <w:pPr>
        <w:pBdr>
          <w:top w:val="single" w:sz="24" w:space="1" w:color="4472C4" w:themeColor="accent1"/>
          <w:left w:val="single" w:sz="24" w:space="4" w:color="4472C4" w:themeColor="accent1"/>
          <w:bottom w:val="single" w:sz="24" w:space="1" w:color="4472C4" w:themeColor="accent1"/>
          <w:right w:val="single" w:sz="24" w:space="4" w:color="4472C4" w:themeColor="accent1"/>
        </w:pBdr>
        <w:rPr>
          <w:rFonts w:cstheme="minorHAnsi"/>
        </w:rPr>
      </w:pPr>
      <w:r w:rsidRPr="000F7E56">
        <w:rPr>
          <w:rFonts w:cstheme="minorHAnsi"/>
        </w:rPr>
        <w:t>Nursing and Midwifery Council</w:t>
      </w:r>
      <w:r w:rsidRPr="000F7E56">
        <w:rPr>
          <w:rFonts w:cstheme="minorHAnsi"/>
        </w:rPr>
        <w:tab/>
      </w:r>
      <w:r w:rsidRPr="000F7E56">
        <w:rPr>
          <w:rFonts w:cstheme="minorHAnsi"/>
        </w:rPr>
        <w:tab/>
        <w:t>NHS England and NHS Improvement</w:t>
      </w:r>
      <w:r w:rsidRPr="000F7E56" w:rsidDel="005178FC">
        <w:rPr>
          <w:rFonts w:cstheme="minorHAnsi"/>
        </w:rPr>
        <w:t xml:space="preserve"> </w:t>
      </w:r>
    </w:p>
    <w:p w14:paraId="7BE15CC7" w14:textId="77777777" w:rsidR="000F7E56" w:rsidRPr="000F7E56" w:rsidRDefault="000F7E56" w:rsidP="000F7E56">
      <w:pPr>
        <w:pBdr>
          <w:top w:val="single" w:sz="24" w:space="1" w:color="4472C4" w:themeColor="accent1"/>
          <w:left w:val="single" w:sz="24" w:space="4" w:color="4472C4" w:themeColor="accent1"/>
          <w:bottom w:val="single" w:sz="24" w:space="1" w:color="4472C4" w:themeColor="accent1"/>
          <w:right w:val="single" w:sz="24" w:space="4" w:color="4472C4" w:themeColor="accent1"/>
        </w:pBdr>
        <w:rPr>
          <w:rFonts w:cstheme="minorHAnsi"/>
        </w:rPr>
      </w:pPr>
      <w:r w:rsidRPr="000F7E56">
        <w:rPr>
          <w:rFonts w:cstheme="minorHAnsi"/>
        </w:rPr>
        <w:t>Macmillan Cancer Support</w:t>
      </w:r>
      <w:r w:rsidRPr="000F7E56">
        <w:rPr>
          <w:rFonts w:cstheme="minorHAnsi"/>
        </w:rPr>
        <w:tab/>
      </w:r>
      <w:r w:rsidRPr="000F7E56">
        <w:rPr>
          <w:rFonts w:cstheme="minorHAnsi"/>
        </w:rPr>
        <w:tab/>
        <w:t>Health Education England</w:t>
      </w:r>
    </w:p>
    <w:p w14:paraId="0FB132BC" w14:textId="77777777" w:rsidR="000F7E56" w:rsidRPr="000F7E56" w:rsidRDefault="000F7E56" w:rsidP="000F7E56">
      <w:pPr>
        <w:pBdr>
          <w:top w:val="single" w:sz="24" w:space="1" w:color="4472C4" w:themeColor="accent1"/>
          <w:left w:val="single" w:sz="24" w:space="4" w:color="4472C4" w:themeColor="accent1"/>
          <w:bottom w:val="single" w:sz="24" w:space="1" w:color="4472C4" w:themeColor="accent1"/>
          <w:right w:val="single" w:sz="24" w:space="4" w:color="4472C4" w:themeColor="accent1"/>
        </w:pBdr>
        <w:rPr>
          <w:rFonts w:cstheme="minorHAnsi"/>
        </w:rPr>
      </w:pPr>
      <w:r w:rsidRPr="000F7E56">
        <w:rPr>
          <w:rFonts w:cstheme="minorHAnsi"/>
        </w:rPr>
        <w:t>Hospice UK</w:t>
      </w:r>
      <w:r w:rsidRPr="000F7E56">
        <w:rPr>
          <w:rFonts w:cstheme="minorHAnsi"/>
        </w:rPr>
        <w:tab/>
      </w:r>
      <w:r w:rsidRPr="000F7E56">
        <w:rPr>
          <w:rFonts w:cstheme="minorHAnsi"/>
        </w:rPr>
        <w:tab/>
      </w:r>
      <w:r w:rsidRPr="000F7E56">
        <w:rPr>
          <w:rFonts w:cstheme="minorHAnsi"/>
        </w:rPr>
        <w:tab/>
      </w:r>
      <w:r w:rsidRPr="000F7E56">
        <w:rPr>
          <w:rFonts w:cstheme="minorHAnsi"/>
        </w:rPr>
        <w:tab/>
        <w:t>National Institute for Health and Care Excellence</w:t>
      </w:r>
    </w:p>
    <w:p w14:paraId="7DBA307E" w14:textId="77777777" w:rsidR="000F7E56" w:rsidRPr="000F7E56" w:rsidRDefault="000F7E56" w:rsidP="000F7E56">
      <w:pPr>
        <w:pBdr>
          <w:top w:val="single" w:sz="24" w:space="1" w:color="4472C4" w:themeColor="accent1"/>
          <w:left w:val="single" w:sz="24" w:space="4" w:color="4472C4" w:themeColor="accent1"/>
          <w:bottom w:val="single" w:sz="24" w:space="1" w:color="4472C4" w:themeColor="accent1"/>
          <w:right w:val="single" w:sz="24" w:space="4" w:color="4472C4" w:themeColor="accent1"/>
        </w:pBdr>
        <w:rPr>
          <w:rFonts w:cstheme="minorHAnsi"/>
        </w:rPr>
      </w:pPr>
      <w:r w:rsidRPr="000F7E56">
        <w:rPr>
          <w:rFonts w:cstheme="minorHAnsi"/>
        </w:rPr>
        <w:t>Sue Ryder</w:t>
      </w:r>
      <w:r w:rsidRPr="000F7E56">
        <w:rPr>
          <w:rFonts w:cstheme="minorHAnsi"/>
        </w:rPr>
        <w:tab/>
      </w:r>
      <w:r w:rsidRPr="000F7E56">
        <w:rPr>
          <w:rFonts w:cstheme="minorHAnsi"/>
        </w:rPr>
        <w:tab/>
      </w:r>
      <w:r w:rsidRPr="000F7E56">
        <w:rPr>
          <w:rFonts w:cstheme="minorHAnsi"/>
        </w:rPr>
        <w:tab/>
      </w:r>
      <w:r w:rsidRPr="000F7E56">
        <w:rPr>
          <w:rFonts w:cstheme="minorHAnsi"/>
        </w:rPr>
        <w:tab/>
        <w:t>Cicely Saunders Institute</w:t>
      </w:r>
    </w:p>
    <w:p w14:paraId="6AE35006" w14:textId="77777777" w:rsidR="000F7E56" w:rsidRPr="000F7E56" w:rsidRDefault="000F7E56" w:rsidP="000F7E56">
      <w:pPr>
        <w:pBdr>
          <w:top w:val="single" w:sz="24" w:space="1" w:color="4472C4" w:themeColor="accent1"/>
          <w:left w:val="single" w:sz="24" w:space="4" w:color="4472C4" w:themeColor="accent1"/>
          <w:bottom w:val="single" w:sz="24" w:space="1" w:color="4472C4" w:themeColor="accent1"/>
          <w:right w:val="single" w:sz="24" w:space="4" w:color="4472C4" w:themeColor="accent1"/>
        </w:pBdr>
        <w:rPr>
          <w:rFonts w:cstheme="minorHAnsi"/>
        </w:rPr>
      </w:pPr>
      <w:r w:rsidRPr="000F7E56">
        <w:rPr>
          <w:rFonts w:cstheme="minorHAnsi"/>
        </w:rPr>
        <w:t>South East Coast Ambulance Service</w:t>
      </w:r>
      <w:r w:rsidRPr="000F7E56">
        <w:rPr>
          <w:rFonts w:cstheme="minorHAnsi"/>
        </w:rPr>
        <w:tab/>
        <w:t>Walsall Acute Trust</w:t>
      </w:r>
    </w:p>
    <w:p w14:paraId="6E379AF3" w14:textId="77777777" w:rsidR="000F7E56" w:rsidRPr="000F7E56" w:rsidRDefault="000F7E56" w:rsidP="000F7E56">
      <w:pPr>
        <w:pBdr>
          <w:top w:val="single" w:sz="24" w:space="1" w:color="4472C4" w:themeColor="accent1"/>
          <w:left w:val="single" w:sz="24" w:space="4" w:color="4472C4" w:themeColor="accent1"/>
          <w:bottom w:val="single" w:sz="24" w:space="1" w:color="4472C4" w:themeColor="accent1"/>
          <w:right w:val="single" w:sz="24" w:space="4" w:color="4472C4" w:themeColor="accent1"/>
        </w:pBdr>
        <w:rPr>
          <w:rFonts w:cstheme="minorHAnsi"/>
        </w:rPr>
      </w:pPr>
      <w:r w:rsidRPr="000F7E56">
        <w:rPr>
          <w:rFonts w:cstheme="minorHAnsi"/>
        </w:rPr>
        <w:t>National Association of Clinical Tutors</w:t>
      </w:r>
      <w:r w:rsidRPr="000F7E56">
        <w:rPr>
          <w:rFonts w:cstheme="minorHAnsi"/>
        </w:rPr>
        <w:tab/>
        <w:t>LOROS Hospice</w:t>
      </w:r>
    </w:p>
    <w:p w14:paraId="664049F8" w14:textId="77777777" w:rsidR="000F7E56" w:rsidRPr="000F7E56" w:rsidRDefault="000F7E56" w:rsidP="000F7E56">
      <w:pPr>
        <w:pBdr>
          <w:top w:val="single" w:sz="24" w:space="1" w:color="4472C4" w:themeColor="accent1"/>
          <w:left w:val="single" w:sz="24" w:space="4" w:color="4472C4" w:themeColor="accent1"/>
          <w:bottom w:val="single" w:sz="24" w:space="1" w:color="4472C4" w:themeColor="accent1"/>
          <w:right w:val="single" w:sz="24" w:space="4" w:color="4472C4" w:themeColor="accent1"/>
        </w:pBdr>
        <w:rPr>
          <w:rFonts w:cstheme="minorHAnsi"/>
        </w:rPr>
      </w:pPr>
      <w:r w:rsidRPr="000F7E56">
        <w:rPr>
          <w:rFonts w:cstheme="minorHAnsi"/>
        </w:rPr>
        <w:t xml:space="preserve">British Islamic Medical Association </w:t>
      </w:r>
      <w:r w:rsidRPr="000F7E56">
        <w:rPr>
          <w:rFonts w:cstheme="minorHAnsi"/>
        </w:rPr>
        <w:tab/>
        <w:t>Derbyshire Community Health Trust</w:t>
      </w:r>
      <w:r w:rsidRPr="000F7E56">
        <w:rPr>
          <w:rFonts w:cstheme="minorHAnsi"/>
        </w:rPr>
        <w:tab/>
      </w:r>
    </w:p>
    <w:p w14:paraId="4B62AC4C" w14:textId="77777777" w:rsidR="000F7E56" w:rsidRPr="000F7E56" w:rsidRDefault="000F7E56" w:rsidP="000F7E56">
      <w:pPr>
        <w:pBdr>
          <w:top w:val="single" w:sz="24" w:space="1" w:color="4472C4" w:themeColor="accent1"/>
          <w:left w:val="single" w:sz="24" w:space="4" w:color="4472C4" w:themeColor="accent1"/>
          <w:bottom w:val="single" w:sz="24" w:space="1" w:color="4472C4" w:themeColor="accent1"/>
          <w:right w:val="single" w:sz="24" w:space="4" w:color="4472C4" w:themeColor="accent1"/>
        </w:pBdr>
        <w:rPr>
          <w:rFonts w:cstheme="minorHAnsi"/>
        </w:rPr>
      </w:pPr>
      <w:r w:rsidRPr="000F7E56">
        <w:rPr>
          <w:rFonts w:cstheme="minorHAnsi"/>
        </w:rPr>
        <w:t>Cicely Saunders Institute</w:t>
      </w:r>
      <w:r w:rsidRPr="000F7E56">
        <w:rPr>
          <w:rFonts w:cstheme="minorHAnsi"/>
        </w:rPr>
        <w:tab/>
      </w:r>
      <w:r w:rsidRPr="000F7E56">
        <w:rPr>
          <w:rFonts w:cstheme="minorHAnsi"/>
        </w:rPr>
        <w:tab/>
        <w:t>University Hospitals of Leicester</w:t>
      </w:r>
    </w:p>
    <w:p w14:paraId="2378CD75" w14:textId="7E520200" w:rsidR="000F7E56" w:rsidRDefault="000F7E56" w:rsidP="000F7E56">
      <w:pPr>
        <w:pBdr>
          <w:top w:val="single" w:sz="24" w:space="1" w:color="4472C4" w:themeColor="accent1"/>
          <w:left w:val="single" w:sz="24" w:space="4" w:color="4472C4" w:themeColor="accent1"/>
          <w:bottom w:val="single" w:sz="24" w:space="1" w:color="4472C4" w:themeColor="accent1"/>
          <w:right w:val="single" w:sz="24" w:space="4" w:color="4472C4" w:themeColor="accent1"/>
        </w:pBdr>
        <w:rPr>
          <w:rFonts w:cstheme="minorHAnsi"/>
        </w:rPr>
      </w:pPr>
      <w:r w:rsidRPr="000F7E56">
        <w:rPr>
          <w:rFonts w:cstheme="minorHAnsi"/>
        </w:rPr>
        <w:t>Medical Schools Council</w:t>
      </w:r>
      <w:r w:rsidRPr="000F7E56">
        <w:rPr>
          <w:rFonts w:cstheme="minorHAnsi"/>
        </w:rPr>
        <w:tab/>
      </w:r>
      <w:r w:rsidRPr="000F7E56">
        <w:rPr>
          <w:rFonts w:cstheme="minorHAnsi"/>
        </w:rPr>
        <w:tab/>
      </w:r>
      <w:r w:rsidRPr="000F7E56">
        <w:rPr>
          <w:rFonts w:cstheme="minorHAnsi"/>
        </w:rPr>
        <w:tab/>
        <w:t>Together for short Lives</w:t>
      </w:r>
      <w:r w:rsidRPr="000F7E56">
        <w:rPr>
          <w:rFonts w:cstheme="minorHAnsi"/>
        </w:rPr>
        <w:tab/>
      </w:r>
    </w:p>
    <w:p w14:paraId="2B23A36D" w14:textId="4D990FBD" w:rsidR="006E25AF" w:rsidRDefault="006E25AF" w:rsidP="000F7E56">
      <w:pPr>
        <w:pBdr>
          <w:top w:val="single" w:sz="24" w:space="1" w:color="4472C4" w:themeColor="accent1"/>
          <w:left w:val="single" w:sz="24" w:space="4" w:color="4472C4" w:themeColor="accent1"/>
          <w:bottom w:val="single" w:sz="24" w:space="1" w:color="4472C4" w:themeColor="accent1"/>
          <w:right w:val="single" w:sz="24" w:space="4" w:color="4472C4" w:themeColor="accent1"/>
        </w:pBdr>
        <w:rPr>
          <w:rFonts w:cstheme="minorHAnsi"/>
        </w:rPr>
      </w:pPr>
      <w:r w:rsidRPr="006E25AF">
        <w:rPr>
          <w:rFonts w:cstheme="minorHAnsi"/>
        </w:rPr>
        <w:t>Colleges of Paramedics, Physicians, Nursing and GPs</w:t>
      </w:r>
    </w:p>
    <w:p w14:paraId="03FDA7E5" w14:textId="57C68CEA" w:rsidR="006E25AF" w:rsidRPr="000F7E56" w:rsidRDefault="006E25AF" w:rsidP="000F7E56">
      <w:pPr>
        <w:pBdr>
          <w:top w:val="single" w:sz="24" w:space="1" w:color="4472C4" w:themeColor="accent1"/>
          <w:left w:val="single" w:sz="24" w:space="4" w:color="4472C4" w:themeColor="accent1"/>
          <w:bottom w:val="single" w:sz="24" w:space="1" w:color="4472C4" w:themeColor="accent1"/>
          <w:right w:val="single" w:sz="24" w:space="4" w:color="4472C4" w:themeColor="accent1"/>
        </w:pBdr>
        <w:rPr>
          <w:rFonts w:cstheme="minorHAnsi"/>
        </w:rPr>
      </w:pPr>
      <w:r w:rsidRPr="006E25AF">
        <w:rPr>
          <w:rFonts w:cstheme="minorHAnsi"/>
        </w:rPr>
        <w:t>Universities of Hertfordshire, Leicester, Nottingham, York</w:t>
      </w:r>
    </w:p>
    <w:p w14:paraId="6C6EBFEB" w14:textId="29DA724B" w:rsidR="000F7E56" w:rsidRPr="000F7E56" w:rsidRDefault="000F7E56" w:rsidP="000F7E56">
      <w:pPr>
        <w:keepNext/>
        <w:spacing w:after="200" w:line="240" w:lineRule="auto"/>
        <w:jc w:val="both"/>
        <w:rPr>
          <w:rFonts w:cstheme="minorHAnsi"/>
          <w:b/>
          <w:iCs/>
          <w:color w:val="44546A" w:themeColor="text2"/>
        </w:rPr>
      </w:pPr>
      <w:bookmarkStart w:id="458" w:name="_Toc106701722"/>
      <w:r w:rsidRPr="000F7E56">
        <w:rPr>
          <w:rFonts w:cstheme="minorHAnsi"/>
          <w:iCs/>
          <w:color w:val="44546A" w:themeColor="text2"/>
        </w:rPr>
        <w:t xml:space="preserve">Box </w:t>
      </w:r>
      <w:r w:rsidRPr="000F7E56">
        <w:rPr>
          <w:rFonts w:cstheme="minorHAnsi"/>
          <w:iCs/>
          <w:color w:val="44546A" w:themeColor="text2"/>
        </w:rPr>
        <w:fldChar w:fldCharType="begin"/>
      </w:r>
      <w:r w:rsidRPr="000F7E56">
        <w:rPr>
          <w:rFonts w:cstheme="minorHAnsi"/>
          <w:iCs/>
          <w:color w:val="44546A" w:themeColor="text2"/>
        </w:rPr>
        <w:instrText xml:space="preserve"> SEQ Box \* ARABIC </w:instrText>
      </w:r>
      <w:r w:rsidRPr="000F7E56">
        <w:rPr>
          <w:rFonts w:cstheme="minorHAnsi"/>
          <w:iCs/>
          <w:color w:val="44546A" w:themeColor="text2"/>
        </w:rPr>
        <w:fldChar w:fldCharType="separate"/>
      </w:r>
      <w:r w:rsidR="002E1980">
        <w:rPr>
          <w:rFonts w:cstheme="minorHAnsi"/>
          <w:iCs/>
          <w:noProof/>
          <w:color w:val="44546A" w:themeColor="text2"/>
        </w:rPr>
        <w:t>2</w:t>
      </w:r>
      <w:r w:rsidRPr="000F7E56">
        <w:rPr>
          <w:rFonts w:cstheme="minorHAnsi"/>
          <w:iCs/>
          <w:noProof/>
          <w:color w:val="44546A" w:themeColor="text2"/>
        </w:rPr>
        <w:fldChar w:fldCharType="end"/>
      </w:r>
      <w:r w:rsidRPr="000F7E56">
        <w:rPr>
          <w:rFonts w:cstheme="minorHAnsi"/>
          <w:iCs/>
          <w:color w:val="44546A" w:themeColor="text2"/>
        </w:rPr>
        <w:t xml:space="preserve"> - Organisations represented at the Palliative and End-of-Life-Care (</w:t>
      </w:r>
      <w:proofErr w:type="spellStart"/>
      <w:r w:rsidRPr="000F7E56">
        <w:rPr>
          <w:rFonts w:cstheme="minorHAnsi"/>
          <w:iCs/>
          <w:color w:val="44546A" w:themeColor="text2"/>
        </w:rPr>
        <w:t>PEoLC</w:t>
      </w:r>
      <w:proofErr w:type="spellEnd"/>
      <w:r w:rsidRPr="000F7E56">
        <w:rPr>
          <w:rFonts w:cstheme="minorHAnsi"/>
          <w:iCs/>
          <w:color w:val="44546A" w:themeColor="text2"/>
        </w:rPr>
        <w:t>) Education Think Tank</w:t>
      </w:r>
      <w:bookmarkEnd w:id="458"/>
    </w:p>
    <w:p w14:paraId="6FC57FF9" w14:textId="77777777" w:rsidR="000F7E56" w:rsidRPr="000F7E56" w:rsidRDefault="000F7E56" w:rsidP="000F7E56">
      <w:r w:rsidRPr="000F7E56">
        <w:br w:type="page"/>
      </w:r>
    </w:p>
    <w:p w14:paraId="06CB58FD" w14:textId="77777777" w:rsidR="000F7E56" w:rsidRPr="000F7E56" w:rsidRDefault="000F7E56" w:rsidP="000F7E56">
      <w:pPr>
        <w:keepNext/>
        <w:keepLines/>
        <w:spacing w:before="240" w:after="0" w:line="360" w:lineRule="auto"/>
        <w:jc w:val="center"/>
        <w:outlineLvl w:val="0"/>
        <w:rPr>
          <w:rFonts w:asciiTheme="majorHAnsi" w:eastAsiaTheme="majorEastAsia" w:hAnsiTheme="majorHAnsi" w:cstheme="majorBidi"/>
          <w:color w:val="2F5496" w:themeColor="accent1" w:themeShade="BF"/>
          <w:sz w:val="56"/>
          <w:szCs w:val="56"/>
          <w:lang w:eastAsia="en-GB"/>
        </w:rPr>
      </w:pPr>
      <w:bookmarkStart w:id="459" w:name="_Toc38365693"/>
      <w:bookmarkStart w:id="460" w:name="_Toc106697874"/>
      <w:r w:rsidRPr="000F7E56">
        <w:rPr>
          <w:rFonts w:asciiTheme="majorHAnsi" w:eastAsiaTheme="majorEastAsia" w:hAnsiTheme="majorHAnsi" w:cstheme="majorBidi"/>
          <w:color w:val="2F5496" w:themeColor="accent1" w:themeShade="BF"/>
          <w:sz w:val="56"/>
          <w:szCs w:val="56"/>
          <w:lang w:eastAsia="en-GB"/>
        </w:rPr>
        <w:lastRenderedPageBreak/>
        <w:t>Acknowledgements</w:t>
      </w:r>
      <w:bookmarkEnd w:id="459"/>
      <w:bookmarkEnd w:id="460"/>
    </w:p>
    <w:p w14:paraId="42219A2E" w14:textId="3C820AB4" w:rsidR="000F7E56" w:rsidRPr="000F7E56" w:rsidRDefault="000F7E56" w:rsidP="000F7E56">
      <w:pPr>
        <w:spacing w:after="120" w:line="360" w:lineRule="auto"/>
      </w:pPr>
      <w:r w:rsidRPr="000F7E56">
        <w:t xml:space="preserve">This project was funded by the NIHR Health Services </w:t>
      </w:r>
      <w:r w:rsidR="0040750B">
        <w:t xml:space="preserve">and Delivery </w:t>
      </w:r>
      <w:r w:rsidRPr="000F7E56">
        <w:t xml:space="preserve">Research Programme (project number: 17/05/30) </w:t>
      </w:r>
    </w:p>
    <w:p w14:paraId="1E24C05D" w14:textId="77777777" w:rsidR="000F7E56" w:rsidRPr="000F7E56" w:rsidRDefault="000F7E56" w:rsidP="000F7E56">
      <w:pPr>
        <w:spacing w:after="120" w:line="360" w:lineRule="auto"/>
      </w:pPr>
      <w:r w:rsidRPr="000F7E56">
        <w:t xml:space="preserve">This report presents independent research commissioned by the National Institute of Health Research (NIHR). The views and opinions expressed by authors in this publication are those of the authors and do not necessarily reflect those of the NHS, the NIHR, NETSCC, the Health Services Research Programme or the Department of Health. </w:t>
      </w:r>
    </w:p>
    <w:p w14:paraId="02F4679C" w14:textId="77777777" w:rsidR="000F7E56" w:rsidRPr="000F7E56" w:rsidRDefault="000F7E56" w:rsidP="000F7E56">
      <w:pPr>
        <w:spacing w:after="120" w:line="360" w:lineRule="auto"/>
      </w:pPr>
      <w:r w:rsidRPr="000F7E56">
        <w:t>We thank the patients and family care givers for their generosity in taking part in the study during a very difficult period in their lives and especially when their time was so precious. Without their contributions, this study would not have been possible. We also wish to thank those members of the public and of community and faith organisations who participated in workshops or completed workbooks</w:t>
      </w:r>
    </w:p>
    <w:p w14:paraId="75378B82" w14:textId="77777777" w:rsidR="000F7E56" w:rsidRPr="000F7E56" w:rsidRDefault="000F7E56" w:rsidP="000F7E56">
      <w:pPr>
        <w:spacing w:after="120" w:line="360" w:lineRule="auto"/>
      </w:pPr>
      <w:r w:rsidRPr="000F7E56">
        <w:t xml:space="preserve">We acknowledge with thanks the input of the health professionals who took part as interviewees, those in organisations in Leicestershire and Nottinghamshire who recruited patients and family care givers and those who took part in workshops to share their views.  </w:t>
      </w:r>
    </w:p>
    <w:p w14:paraId="6EEFF123" w14:textId="77777777" w:rsidR="000F7E56" w:rsidRPr="000F7E56" w:rsidRDefault="000F7E56" w:rsidP="000F7E56">
      <w:pPr>
        <w:spacing w:after="120" w:line="360" w:lineRule="auto"/>
      </w:pPr>
      <w:r w:rsidRPr="000F7E56">
        <w:t xml:space="preserve">Throughout the study, we have benefited from the invaluable support, wisdom and involvement of members of the patient, carer and bereaved relative PPI group. Members have been involved in the project from the outset, commenting on the study design, ethics and participant materials including those for the workshop. They have also contributed to the interpretation of the data and the development of the narrative outputs.   </w:t>
      </w:r>
    </w:p>
    <w:p w14:paraId="0602C6AD" w14:textId="77777777" w:rsidR="000F7E56" w:rsidRPr="000F7E56" w:rsidRDefault="000F7E56" w:rsidP="000F7E56">
      <w:pPr>
        <w:spacing w:after="120" w:line="360" w:lineRule="auto"/>
      </w:pPr>
      <w:r w:rsidRPr="000F7E56">
        <w:t xml:space="preserve">We are grateful for the substantial and creative input of </w:t>
      </w:r>
      <w:proofErr w:type="spellStart"/>
      <w:r w:rsidRPr="000F7E56">
        <w:t>Irfhan</w:t>
      </w:r>
      <w:proofErr w:type="spellEnd"/>
      <w:r w:rsidRPr="000F7E56">
        <w:t xml:space="preserve"> </w:t>
      </w:r>
      <w:proofErr w:type="spellStart"/>
      <w:r w:rsidRPr="000F7E56">
        <w:t>Mururajani</w:t>
      </w:r>
      <w:proofErr w:type="spellEnd"/>
      <w:r w:rsidRPr="000F7E56">
        <w:t xml:space="preserve"> who is a co-applicant on the grant and has worked on all aspects of the study as an integral member of the project team and has been instrumental in the sharing of findings and building further dialogue with diverse ethnic communities. We are also grateful to our Community Network Liaison Workers for their support in disseminating the findings to local communities. </w:t>
      </w:r>
    </w:p>
    <w:p w14:paraId="338C912C" w14:textId="77777777" w:rsidR="000F7E56" w:rsidRPr="000F7E56" w:rsidRDefault="000F7E56" w:rsidP="000F7E56">
      <w:pPr>
        <w:spacing w:after="120" w:line="360" w:lineRule="auto"/>
        <w:rPr>
          <w:lang w:eastAsia="en-GB"/>
        </w:rPr>
      </w:pPr>
      <w:r w:rsidRPr="000F7E56">
        <w:t xml:space="preserve">We are grateful for the support of the members of the Study Steering Committee and especially the Chair Dr Jonathan </w:t>
      </w:r>
      <w:proofErr w:type="spellStart"/>
      <w:r w:rsidRPr="000F7E56">
        <w:t>Koffman</w:t>
      </w:r>
      <w:proofErr w:type="spellEnd"/>
      <w:r w:rsidRPr="000F7E56">
        <w:t>.  We have also benefited from the support of the study advisors and wish to express our thanks to them all.</w:t>
      </w:r>
    </w:p>
    <w:p w14:paraId="32AA12E9" w14:textId="77777777" w:rsidR="000F7E56" w:rsidRPr="000F7E56" w:rsidRDefault="000F7E56" w:rsidP="000F7E56">
      <w:pPr>
        <w:spacing w:after="120" w:line="360" w:lineRule="auto"/>
      </w:pPr>
      <w:r w:rsidRPr="000F7E56">
        <w:t xml:space="preserve">The audio recorded stories were written and produced by Andy Barrett for Excavate. They were read by </w:t>
      </w:r>
      <w:proofErr w:type="spellStart"/>
      <w:r w:rsidRPr="000F7E56">
        <w:t>Sokari</w:t>
      </w:r>
      <w:proofErr w:type="spellEnd"/>
      <w:r w:rsidRPr="000F7E56">
        <w:t xml:space="preserve"> </w:t>
      </w:r>
      <w:proofErr w:type="spellStart"/>
      <w:r w:rsidRPr="000F7E56">
        <w:t>Erekosima</w:t>
      </w:r>
      <w:proofErr w:type="spellEnd"/>
      <w:r w:rsidRPr="000F7E56">
        <w:t xml:space="preserve">, Jim Findley, Gurpreet Grewal-Santini, Violet </w:t>
      </w:r>
      <w:proofErr w:type="spellStart"/>
      <w:r w:rsidRPr="000F7E56">
        <w:t>Hais</w:t>
      </w:r>
      <w:proofErr w:type="spellEnd"/>
      <w:r w:rsidRPr="000F7E56">
        <w:t xml:space="preserve">, </w:t>
      </w:r>
      <w:proofErr w:type="spellStart"/>
      <w:r w:rsidRPr="000F7E56">
        <w:t>Mufaro</w:t>
      </w:r>
      <w:proofErr w:type="spellEnd"/>
      <w:r w:rsidRPr="000F7E56">
        <w:t xml:space="preserve"> </w:t>
      </w:r>
      <w:proofErr w:type="spellStart"/>
      <w:r w:rsidRPr="000F7E56">
        <w:t>Makubika</w:t>
      </w:r>
      <w:proofErr w:type="spellEnd"/>
      <w:r w:rsidRPr="000F7E56">
        <w:t xml:space="preserve">, </w:t>
      </w:r>
      <w:proofErr w:type="spellStart"/>
      <w:r w:rsidRPr="000F7E56">
        <w:t>Irfhan</w:t>
      </w:r>
      <w:proofErr w:type="spellEnd"/>
      <w:r w:rsidRPr="000F7E56">
        <w:t xml:space="preserve"> Ali </w:t>
      </w:r>
      <w:proofErr w:type="spellStart"/>
      <w:r w:rsidRPr="000F7E56">
        <w:t>Mururajani</w:t>
      </w:r>
      <w:proofErr w:type="spellEnd"/>
      <w:r w:rsidRPr="000F7E56">
        <w:t xml:space="preserve">, Dipti Patel and Ling Peng.  </w:t>
      </w:r>
      <w:hyperlink r:id="rId37" w:history="1">
        <w:r w:rsidRPr="000F7E56">
          <w:rPr>
            <w:color w:val="0563C1"/>
            <w:u w:val="single"/>
          </w:rPr>
          <w:t>www.excavate.org.uk</w:t>
        </w:r>
      </w:hyperlink>
      <w:r w:rsidRPr="000F7E56">
        <w:t>. We are grateful for the collaboration with Andy and we would like to applaud and thank the readers of the stories.</w:t>
      </w:r>
    </w:p>
    <w:p w14:paraId="41A44AE3" w14:textId="0FB30E42" w:rsidR="000F7E56" w:rsidRPr="000F7E56" w:rsidRDefault="000F7E56" w:rsidP="000F7E56">
      <w:pPr>
        <w:spacing w:after="120" w:line="360" w:lineRule="auto"/>
        <w:rPr>
          <w:lang w:eastAsia="en-GB"/>
        </w:rPr>
      </w:pPr>
      <w:r w:rsidRPr="000F7E56">
        <w:rPr>
          <w:lang w:eastAsia="en-GB"/>
        </w:rPr>
        <w:lastRenderedPageBreak/>
        <w:t xml:space="preserve">The work would not have been possible without the research team at LOROS Hospice and we would like to thank Emma Bowler, Wendy Gamble and Natalie Ayton, Caroline </w:t>
      </w:r>
      <w:proofErr w:type="spellStart"/>
      <w:r w:rsidRPr="000F7E56">
        <w:rPr>
          <w:lang w:eastAsia="en-GB"/>
        </w:rPr>
        <w:t>Cupit</w:t>
      </w:r>
      <w:proofErr w:type="spellEnd"/>
      <w:r w:rsidRPr="000F7E56">
        <w:rPr>
          <w:lang w:eastAsia="en-GB"/>
        </w:rPr>
        <w:t xml:space="preserve"> and Penny Smith</w:t>
      </w:r>
      <w:r w:rsidRPr="000F7E56">
        <w:t xml:space="preserve"> for their </w:t>
      </w:r>
      <w:r w:rsidRPr="000F7E56">
        <w:rPr>
          <w:lang w:eastAsia="en-GB"/>
        </w:rPr>
        <w:t xml:space="preserve">hard work. We would also like to thank co-applicants Alison Pilsworth and Simon Royal for their expertise and input. We should also like to acknowledge the Board of Trustees, the Senior management team and many departments in LOROS Hospice who have given enthusiastic support to the delivery of this huge endeavour. </w:t>
      </w:r>
    </w:p>
    <w:p w14:paraId="56D9C2ED" w14:textId="77777777" w:rsidR="000F7E56" w:rsidRPr="000F7E56" w:rsidRDefault="000F7E56" w:rsidP="000F7E56">
      <w:pPr>
        <w:keepNext/>
        <w:keepLines/>
        <w:spacing w:after="120" w:line="360" w:lineRule="auto"/>
        <w:outlineLvl w:val="1"/>
        <w:rPr>
          <w:rFonts w:asciiTheme="majorHAnsi" w:eastAsiaTheme="majorEastAsia" w:hAnsiTheme="majorHAnsi" w:cstheme="majorBidi"/>
          <w:color w:val="2F5496" w:themeColor="accent1" w:themeShade="BF"/>
          <w:sz w:val="24"/>
          <w:szCs w:val="24"/>
          <w:lang w:eastAsia="en-GB"/>
        </w:rPr>
      </w:pPr>
      <w:bookmarkStart w:id="461" w:name="_Toc38365694"/>
      <w:bookmarkStart w:id="462" w:name="_Toc106697875"/>
      <w:r w:rsidRPr="000F7E56">
        <w:rPr>
          <w:rFonts w:asciiTheme="majorHAnsi" w:eastAsiaTheme="majorEastAsia" w:hAnsiTheme="majorHAnsi" w:cstheme="majorBidi"/>
          <w:color w:val="2F5496" w:themeColor="accent1" w:themeShade="BF"/>
          <w:sz w:val="24"/>
          <w:szCs w:val="24"/>
          <w:bdr w:val="none" w:sz="0" w:space="0" w:color="auto" w:frame="1"/>
          <w:lang w:eastAsia="en-GB"/>
        </w:rPr>
        <w:t>Contribution of authors</w:t>
      </w:r>
      <w:bookmarkEnd w:id="461"/>
      <w:bookmarkEnd w:id="462"/>
    </w:p>
    <w:p w14:paraId="7B17DD7A" w14:textId="77777777" w:rsidR="000F7E56" w:rsidRPr="000F7E56" w:rsidRDefault="000F7E56" w:rsidP="000F7E56">
      <w:pPr>
        <w:spacing w:after="120" w:line="360" w:lineRule="auto"/>
        <w:rPr>
          <w:rFonts w:eastAsia="Times New Roman" w:cs="Times New Roman"/>
          <w:color w:val="000000"/>
          <w:bdr w:val="none" w:sz="0" w:space="0" w:color="auto" w:frame="1"/>
          <w:lang w:eastAsia="en-GB"/>
        </w:rPr>
      </w:pPr>
      <w:proofErr w:type="spellStart"/>
      <w:r w:rsidRPr="000F7E56">
        <w:rPr>
          <w:rFonts w:eastAsia="Times New Roman" w:cs="Times New Roman"/>
          <w:b/>
          <w:bCs/>
          <w:color w:val="000000"/>
          <w:bdr w:val="none" w:sz="0" w:space="0" w:color="auto" w:frame="1"/>
          <w:lang w:eastAsia="en-GB"/>
        </w:rPr>
        <w:t>Zoebia</w:t>
      </w:r>
      <w:proofErr w:type="spellEnd"/>
      <w:r w:rsidRPr="000F7E56">
        <w:rPr>
          <w:rFonts w:eastAsia="Times New Roman" w:cs="Times New Roman"/>
          <w:b/>
          <w:bCs/>
          <w:color w:val="000000"/>
          <w:bdr w:val="none" w:sz="0" w:space="0" w:color="auto" w:frame="1"/>
          <w:lang w:eastAsia="en-GB"/>
        </w:rPr>
        <w:t xml:space="preserve"> Islam</w:t>
      </w:r>
      <w:r w:rsidRPr="000F7E56">
        <w:rPr>
          <w:rFonts w:eastAsia="Times New Roman" w:cs="Times New Roman"/>
          <w:color w:val="000000"/>
          <w:bdr w:val="none" w:sz="0" w:space="0" w:color="auto" w:frame="1"/>
          <w:lang w:eastAsia="en-GB"/>
        </w:rPr>
        <w:t xml:space="preserve"> (Senior Research Fellow LOROS Hospice, Leicester): Study conception, project management, design, data collection, analysis and writing of final report.</w:t>
      </w:r>
    </w:p>
    <w:p w14:paraId="5D989A4A" w14:textId="77777777" w:rsidR="000F7E56" w:rsidRPr="000F7E56" w:rsidRDefault="000F7E56" w:rsidP="000F7E56">
      <w:pPr>
        <w:spacing w:after="120" w:line="360" w:lineRule="auto"/>
        <w:rPr>
          <w:rFonts w:eastAsia="Times New Roman" w:cs="Times New Roman"/>
          <w:color w:val="000000"/>
          <w:lang w:eastAsia="en-GB"/>
        </w:rPr>
      </w:pPr>
      <w:r w:rsidRPr="000F7E56">
        <w:rPr>
          <w:rFonts w:eastAsia="Times New Roman" w:cs="Times New Roman"/>
          <w:b/>
          <w:bCs/>
          <w:color w:val="000000"/>
          <w:bdr w:val="none" w:sz="0" w:space="0" w:color="auto" w:frame="1"/>
          <w:lang w:eastAsia="en-GB"/>
        </w:rPr>
        <w:t>Kristian Pollock</w:t>
      </w:r>
      <w:r w:rsidRPr="000F7E56">
        <w:rPr>
          <w:rFonts w:eastAsia="Times New Roman" w:cs="Times New Roman"/>
          <w:color w:val="000000"/>
          <w:bdr w:val="none" w:sz="0" w:space="0" w:color="auto" w:frame="1"/>
          <w:lang w:eastAsia="en-GB"/>
        </w:rPr>
        <w:t xml:space="preserve"> (Professor of Medical Sociology, School of Health Sciences, University of Nottingham): </w:t>
      </w:r>
      <w:bookmarkStart w:id="463" w:name="_Hlk89937186"/>
      <w:r w:rsidRPr="000F7E56">
        <w:rPr>
          <w:rFonts w:eastAsia="Times New Roman" w:cs="Times New Roman"/>
          <w:color w:val="000000"/>
          <w:bdr w:val="none" w:sz="0" w:space="0" w:color="auto" w:frame="1"/>
          <w:lang w:eastAsia="en-GB"/>
        </w:rPr>
        <w:t>study conception, design and delivery, data analysis, writing of final report.</w:t>
      </w:r>
      <w:bookmarkEnd w:id="463"/>
    </w:p>
    <w:p w14:paraId="4263E438" w14:textId="77777777" w:rsidR="000F7E56" w:rsidRPr="000F7E56" w:rsidRDefault="000F7E56" w:rsidP="000F7E56">
      <w:pPr>
        <w:spacing w:after="120" w:line="360" w:lineRule="auto"/>
        <w:rPr>
          <w:rFonts w:eastAsia="Times New Roman" w:cs="Times New Roman"/>
          <w:color w:val="000000"/>
          <w:lang w:eastAsia="en-GB"/>
        </w:rPr>
      </w:pPr>
      <w:r w:rsidRPr="000F7E56">
        <w:rPr>
          <w:rFonts w:eastAsia="Times New Roman" w:cs="Times New Roman"/>
          <w:b/>
          <w:bCs/>
          <w:color w:val="000000"/>
          <w:bdr w:val="none" w:sz="0" w:space="0" w:color="auto" w:frame="1"/>
          <w:lang w:eastAsia="en-GB"/>
        </w:rPr>
        <w:t>Anne Patterson</w:t>
      </w:r>
      <w:r w:rsidRPr="000F7E56">
        <w:rPr>
          <w:rFonts w:eastAsia="Times New Roman" w:cs="Times New Roman"/>
          <w:color w:val="000000"/>
          <w:bdr w:val="none" w:sz="0" w:space="0" w:color="auto" w:frame="1"/>
          <w:lang w:eastAsia="en-GB"/>
        </w:rPr>
        <w:t xml:space="preserve"> (Research Fellow LOROS Hospice, Leicester,): data collection, analysis and writing of final report.</w:t>
      </w:r>
    </w:p>
    <w:p w14:paraId="0D37224C" w14:textId="77777777" w:rsidR="000F7E56" w:rsidRPr="000F7E56" w:rsidRDefault="000F7E56" w:rsidP="000F7E56">
      <w:pPr>
        <w:spacing w:after="120" w:line="360" w:lineRule="auto"/>
        <w:rPr>
          <w:rFonts w:eastAsia="Times New Roman" w:cs="Times New Roman"/>
          <w:color w:val="000000"/>
          <w:bdr w:val="none" w:sz="0" w:space="0" w:color="auto" w:frame="1"/>
          <w:lang w:eastAsia="en-GB"/>
        </w:rPr>
      </w:pPr>
      <w:r w:rsidRPr="000F7E56">
        <w:rPr>
          <w:rFonts w:eastAsia="Times New Roman" w:cs="Times New Roman"/>
          <w:b/>
          <w:bCs/>
          <w:color w:val="000000"/>
          <w:bdr w:val="none" w:sz="0" w:space="0" w:color="auto" w:frame="1"/>
          <w:lang w:eastAsia="en-GB"/>
        </w:rPr>
        <w:t xml:space="preserve">Matilda </w:t>
      </w:r>
      <w:proofErr w:type="spellStart"/>
      <w:r w:rsidRPr="000F7E56">
        <w:rPr>
          <w:rFonts w:eastAsia="Times New Roman" w:cs="Times New Roman"/>
          <w:b/>
          <w:bCs/>
          <w:color w:val="000000"/>
          <w:bdr w:val="none" w:sz="0" w:space="0" w:color="auto" w:frame="1"/>
          <w:lang w:eastAsia="en-GB"/>
        </w:rPr>
        <w:t>Hanjari</w:t>
      </w:r>
      <w:proofErr w:type="spellEnd"/>
      <w:r w:rsidRPr="000F7E56">
        <w:rPr>
          <w:rFonts w:eastAsia="Times New Roman" w:cs="Times New Roman"/>
          <w:b/>
          <w:bCs/>
          <w:color w:val="000000"/>
          <w:bdr w:val="none" w:sz="0" w:space="0" w:color="auto" w:frame="1"/>
          <w:lang w:eastAsia="en-GB"/>
        </w:rPr>
        <w:t xml:space="preserve"> </w:t>
      </w:r>
      <w:r w:rsidRPr="000F7E56">
        <w:rPr>
          <w:rFonts w:eastAsia="Times New Roman" w:cs="Times New Roman"/>
          <w:color w:val="000000"/>
          <w:bdr w:val="none" w:sz="0" w:space="0" w:color="auto" w:frame="1"/>
          <w:lang w:eastAsia="en-GB"/>
        </w:rPr>
        <w:t>(Research Assistant LOROS Hospice, Leicester,): Community engagement, data collection, analysis and writing of final report.</w:t>
      </w:r>
    </w:p>
    <w:p w14:paraId="172B6AF2" w14:textId="77777777" w:rsidR="000F7E56" w:rsidRPr="000F7E56" w:rsidRDefault="000F7E56" w:rsidP="000F7E56">
      <w:pPr>
        <w:spacing w:after="120" w:line="360" w:lineRule="auto"/>
        <w:rPr>
          <w:rFonts w:eastAsia="Times New Roman" w:cs="Times New Roman"/>
          <w:color w:val="000000"/>
          <w:lang w:eastAsia="en-GB"/>
        </w:rPr>
      </w:pPr>
      <w:r w:rsidRPr="000F7E56">
        <w:rPr>
          <w:rFonts w:eastAsia="Times New Roman" w:cs="Times New Roman"/>
          <w:b/>
          <w:color w:val="000000"/>
          <w:lang w:eastAsia="en-GB"/>
        </w:rPr>
        <w:t>Louise Wallace</w:t>
      </w:r>
      <w:r w:rsidRPr="000F7E56">
        <w:rPr>
          <w:rFonts w:eastAsia="Times New Roman" w:cs="Times New Roman"/>
          <w:color w:val="000000"/>
          <w:lang w:eastAsia="en-GB"/>
        </w:rPr>
        <w:t xml:space="preserve"> (Professor of Psychology and Health, The Open University): Project oversight and advisory support, data analysis and writing of final report.</w:t>
      </w:r>
    </w:p>
    <w:p w14:paraId="77B27544" w14:textId="77777777" w:rsidR="000F7E56" w:rsidRPr="000F7E56" w:rsidRDefault="000F7E56" w:rsidP="000F7E56">
      <w:pPr>
        <w:spacing w:after="120" w:line="360" w:lineRule="auto"/>
        <w:rPr>
          <w:rFonts w:eastAsia="Times New Roman" w:cs="Times New Roman"/>
          <w:color w:val="000000"/>
          <w:lang w:eastAsia="en-GB"/>
        </w:rPr>
      </w:pPr>
      <w:proofErr w:type="spellStart"/>
      <w:r w:rsidRPr="000F7E56">
        <w:rPr>
          <w:rFonts w:eastAsia="Times New Roman" w:cs="Times New Roman"/>
          <w:b/>
          <w:bCs/>
          <w:color w:val="000000"/>
          <w:bdr w:val="none" w:sz="0" w:space="0" w:color="auto" w:frame="1"/>
          <w:lang w:eastAsia="en-GB"/>
        </w:rPr>
        <w:t>Irfhan</w:t>
      </w:r>
      <w:proofErr w:type="spellEnd"/>
      <w:r w:rsidRPr="000F7E56">
        <w:rPr>
          <w:rFonts w:eastAsia="Times New Roman" w:cs="Times New Roman"/>
          <w:b/>
          <w:bCs/>
          <w:color w:val="000000"/>
          <w:bdr w:val="none" w:sz="0" w:space="0" w:color="auto" w:frame="1"/>
          <w:lang w:eastAsia="en-GB"/>
        </w:rPr>
        <w:t xml:space="preserve"> </w:t>
      </w:r>
      <w:proofErr w:type="spellStart"/>
      <w:r w:rsidRPr="000F7E56">
        <w:rPr>
          <w:rFonts w:eastAsia="Times New Roman" w:cs="Times New Roman"/>
          <w:b/>
          <w:bCs/>
          <w:color w:val="000000"/>
          <w:bdr w:val="none" w:sz="0" w:space="0" w:color="auto" w:frame="1"/>
          <w:lang w:eastAsia="en-GB"/>
        </w:rPr>
        <w:t>Mururajani</w:t>
      </w:r>
      <w:proofErr w:type="spellEnd"/>
      <w:r w:rsidRPr="000F7E56">
        <w:rPr>
          <w:rFonts w:eastAsia="Times New Roman" w:cs="Times New Roman"/>
          <w:b/>
          <w:bCs/>
          <w:color w:val="000000"/>
          <w:bdr w:val="none" w:sz="0" w:space="0" w:color="auto" w:frame="1"/>
          <w:lang w:eastAsia="en-GB"/>
        </w:rPr>
        <w:t xml:space="preserve"> </w:t>
      </w:r>
      <w:r w:rsidRPr="000F7E56">
        <w:rPr>
          <w:rFonts w:eastAsia="Times New Roman" w:cs="Times New Roman"/>
          <w:color w:val="000000"/>
          <w:bdr w:val="none" w:sz="0" w:space="0" w:color="auto" w:frame="1"/>
          <w:lang w:eastAsia="en-GB"/>
        </w:rPr>
        <w:t xml:space="preserve">(PPI Representative,): Project oversight and advisory support, data analysis and dissemination, writing of final report. </w:t>
      </w:r>
    </w:p>
    <w:p w14:paraId="1449AA1E" w14:textId="77777777" w:rsidR="000F7E56" w:rsidRPr="000F7E56" w:rsidRDefault="000F7E56" w:rsidP="000F7E56">
      <w:pPr>
        <w:spacing w:after="120" w:line="360" w:lineRule="auto"/>
        <w:rPr>
          <w:rFonts w:eastAsia="Times New Roman" w:cs="Times New Roman"/>
          <w:color w:val="000000"/>
          <w:bdr w:val="none" w:sz="0" w:space="0" w:color="auto" w:frame="1"/>
          <w:lang w:eastAsia="en-GB"/>
        </w:rPr>
      </w:pPr>
      <w:bookmarkStart w:id="464" w:name="_Hlk89937557"/>
      <w:r w:rsidRPr="000F7E56">
        <w:rPr>
          <w:rFonts w:eastAsia="Times New Roman" w:cs="Times New Roman"/>
          <w:b/>
          <w:bCs/>
          <w:color w:val="000000"/>
          <w:bdr w:val="none" w:sz="0" w:space="0" w:color="auto" w:frame="1"/>
          <w:lang w:eastAsia="en-GB"/>
        </w:rPr>
        <w:t>Simon Conroy</w:t>
      </w:r>
      <w:r w:rsidRPr="000F7E56">
        <w:rPr>
          <w:rFonts w:eastAsia="Times New Roman" w:cs="Times New Roman"/>
          <w:color w:val="000000"/>
          <w:bdr w:val="none" w:sz="0" w:space="0" w:color="auto" w:frame="1"/>
          <w:lang w:eastAsia="en-GB"/>
        </w:rPr>
        <w:t xml:space="preserve"> </w:t>
      </w:r>
      <w:bookmarkEnd w:id="464"/>
      <w:r w:rsidRPr="000F7E56">
        <w:rPr>
          <w:rFonts w:eastAsia="Times New Roman" w:cs="Times New Roman"/>
          <w:color w:val="000000"/>
          <w:bdr w:val="none" w:sz="0" w:space="0" w:color="auto" w:frame="1"/>
          <w:lang w:eastAsia="en-GB"/>
        </w:rPr>
        <w:t>(Professor of Primary Health Care, Faculty of Medicine and Health Sciences, University of Nottingham): project oversight, clinical expertise and advisory support, facilitation of recruitment and liaison with health professionals and services, review of findings and final report.</w:t>
      </w:r>
    </w:p>
    <w:p w14:paraId="690FF07A" w14:textId="77777777" w:rsidR="000F7E56" w:rsidRPr="000F7E56" w:rsidRDefault="000F7E56" w:rsidP="000F7E56">
      <w:pPr>
        <w:spacing w:after="120" w:line="360" w:lineRule="auto"/>
        <w:rPr>
          <w:rFonts w:eastAsia="Times New Roman" w:cs="Times New Roman"/>
          <w:color w:val="000000"/>
          <w:lang w:eastAsia="en-GB"/>
        </w:rPr>
      </w:pPr>
      <w:r w:rsidRPr="000F7E56">
        <w:rPr>
          <w:rFonts w:eastAsia="Times New Roman" w:cs="Times New Roman"/>
          <w:b/>
          <w:bCs/>
          <w:color w:val="000000"/>
          <w:bdr w:val="none" w:sz="0" w:space="0" w:color="auto" w:frame="1"/>
          <w:lang w:eastAsia="en-GB"/>
        </w:rPr>
        <w:t>Christina Faull</w:t>
      </w:r>
      <w:r w:rsidRPr="000F7E56">
        <w:rPr>
          <w:rFonts w:eastAsia="Times New Roman" w:cs="Times New Roman"/>
          <w:color w:val="000000"/>
          <w:bdr w:val="none" w:sz="0" w:space="0" w:color="auto" w:frame="1"/>
          <w:lang w:eastAsia="en-GB"/>
        </w:rPr>
        <w:t xml:space="preserve"> (Consultant in Palliative Medicine, LOROS Hospice, and University Hospitals, Leicester): Study conception, design, data collection, data analysis, clinical expertise and writing of final report. </w:t>
      </w:r>
    </w:p>
    <w:p w14:paraId="23895F46" w14:textId="77777777" w:rsidR="000F7E56" w:rsidRPr="000F7E56" w:rsidRDefault="000F7E56" w:rsidP="000F7E56">
      <w:pPr>
        <w:keepNext/>
        <w:keepLines/>
        <w:spacing w:after="120" w:line="360" w:lineRule="auto"/>
        <w:outlineLvl w:val="1"/>
        <w:rPr>
          <w:rFonts w:asciiTheme="majorHAnsi" w:eastAsiaTheme="majorEastAsia" w:hAnsiTheme="majorHAnsi" w:cstheme="majorBidi"/>
          <w:color w:val="2F5496" w:themeColor="accent1" w:themeShade="BF"/>
          <w:sz w:val="24"/>
          <w:szCs w:val="24"/>
          <w:bdr w:val="none" w:sz="0" w:space="0" w:color="auto" w:frame="1"/>
          <w:lang w:eastAsia="en-GB"/>
        </w:rPr>
      </w:pPr>
      <w:bookmarkStart w:id="465" w:name="_Toc38365695"/>
      <w:bookmarkStart w:id="466" w:name="_Toc106697876"/>
      <w:r w:rsidRPr="000F7E56">
        <w:rPr>
          <w:rFonts w:asciiTheme="majorHAnsi" w:eastAsiaTheme="majorEastAsia" w:hAnsiTheme="majorHAnsi" w:cstheme="majorBidi"/>
          <w:color w:val="2F5496" w:themeColor="accent1" w:themeShade="BF"/>
          <w:sz w:val="24"/>
          <w:szCs w:val="24"/>
          <w:bdr w:val="none" w:sz="0" w:space="0" w:color="auto" w:frame="1"/>
          <w:lang w:eastAsia="en-GB"/>
        </w:rPr>
        <w:t>Data sharing</w:t>
      </w:r>
      <w:bookmarkEnd w:id="465"/>
      <w:bookmarkEnd w:id="466"/>
      <w:r w:rsidRPr="000F7E56">
        <w:rPr>
          <w:rFonts w:asciiTheme="majorHAnsi" w:eastAsiaTheme="majorEastAsia" w:hAnsiTheme="majorHAnsi" w:cstheme="majorBidi"/>
          <w:color w:val="2F5496" w:themeColor="accent1" w:themeShade="BF"/>
          <w:sz w:val="24"/>
          <w:szCs w:val="24"/>
          <w:bdr w:val="none" w:sz="0" w:space="0" w:color="auto" w:frame="1"/>
          <w:lang w:eastAsia="en-GB"/>
        </w:rPr>
        <w:t xml:space="preserve"> </w:t>
      </w:r>
    </w:p>
    <w:p w14:paraId="6818C9EF" w14:textId="75B3A48D" w:rsidR="000F7E56" w:rsidRDefault="000F7E56" w:rsidP="000F7E56">
      <w:pPr>
        <w:spacing w:after="120" w:line="360" w:lineRule="auto"/>
        <w:rPr>
          <w:rFonts w:eastAsia="Times New Roman" w:cs="Times New Roman"/>
          <w:color w:val="000000"/>
          <w:bdr w:val="none" w:sz="0" w:space="0" w:color="auto" w:frame="1"/>
          <w:lang w:eastAsia="en-GB"/>
        </w:rPr>
      </w:pPr>
      <w:r w:rsidRPr="000F7E56">
        <w:rPr>
          <w:rFonts w:eastAsia="Times New Roman" w:cs="Times New Roman"/>
          <w:color w:val="000000"/>
          <w:bdr w:val="none" w:sz="0" w:space="0" w:color="auto" w:frame="1"/>
          <w:lang w:eastAsia="en-GB"/>
        </w:rPr>
        <w:t>This is a qualitative study and therefore the data generated is not suitable for sharing beyond that contained within the report. Further information can be obtained from the corresponding author.</w:t>
      </w:r>
    </w:p>
    <w:p w14:paraId="6B8E10A2" w14:textId="5903EAE0" w:rsidR="009D746F" w:rsidRDefault="009D746F" w:rsidP="009D746F">
      <w:pPr>
        <w:rPr>
          <w:color w:val="4472C4" w:themeColor="accent1"/>
        </w:rPr>
      </w:pPr>
      <w:r w:rsidRPr="00D74EFC">
        <w:rPr>
          <w:color w:val="4472C4" w:themeColor="accent1"/>
        </w:rPr>
        <w:t>Ethics statement</w:t>
      </w:r>
    </w:p>
    <w:p w14:paraId="4A12B4E4" w14:textId="35A233DE" w:rsidR="0087146C" w:rsidRPr="000F7E56" w:rsidRDefault="00E5161E" w:rsidP="0087146C">
      <w:pPr>
        <w:keepNext/>
        <w:keepLines/>
        <w:spacing w:before="40" w:after="0" w:line="360" w:lineRule="auto"/>
        <w:outlineLvl w:val="1"/>
        <w:rPr>
          <w:rFonts w:asciiTheme="majorHAnsi" w:eastAsiaTheme="majorEastAsia" w:hAnsiTheme="majorHAnsi" w:cstheme="majorBidi"/>
          <w:color w:val="2F5496" w:themeColor="accent1" w:themeShade="BF"/>
          <w:sz w:val="24"/>
          <w:szCs w:val="24"/>
        </w:rPr>
      </w:pPr>
      <w:r w:rsidRPr="00F74B53">
        <w:rPr>
          <w:rFonts w:cstheme="minorHAnsi"/>
          <w:lang w:val="en-US"/>
        </w:rPr>
        <w:t>NHS Research Ethics Committee approval was obtained in December 2018 (Ref: 18/WM/0310)</w:t>
      </w:r>
      <w:r>
        <w:rPr>
          <w:rFonts w:cstheme="minorHAnsi"/>
          <w:lang w:val="en-US"/>
        </w:rPr>
        <w:t xml:space="preserve"> from </w:t>
      </w:r>
      <w:r w:rsidR="00B731BA">
        <w:rPr>
          <w:rFonts w:cstheme="minorHAnsi"/>
          <w:lang w:val="en-US"/>
        </w:rPr>
        <w:t>West Midlands Coventry and Warwickshire Research Ethics Commit</w:t>
      </w:r>
      <w:bookmarkStart w:id="467" w:name="_Toc106697877"/>
      <w:bookmarkStart w:id="468" w:name="_Hlk90048107"/>
      <w:r w:rsidR="0087146C" w:rsidRPr="000F7E56">
        <w:rPr>
          <w:rFonts w:asciiTheme="majorHAnsi" w:eastAsiaTheme="majorEastAsia" w:hAnsiTheme="majorHAnsi" w:cstheme="majorBidi"/>
          <w:color w:val="2F5496" w:themeColor="accent1" w:themeShade="BF"/>
          <w:sz w:val="24"/>
          <w:szCs w:val="24"/>
        </w:rPr>
        <w:t>References</w:t>
      </w:r>
      <w:bookmarkEnd w:id="467"/>
    </w:p>
    <w:bookmarkEnd w:id="468"/>
    <w:p w14:paraId="1EC4BB09" w14:textId="77777777" w:rsidR="000F7E56" w:rsidRDefault="000F7E56" w:rsidP="000F7E56">
      <w:pPr>
        <w:rPr>
          <w:rFonts w:ascii="Calibri" w:hAnsi="Calibri"/>
        </w:rPr>
      </w:pPr>
    </w:p>
    <w:p w14:paraId="7330B099" w14:textId="77777777" w:rsidR="008C4C05" w:rsidRPr="008C4C05" w:rsidRDefault="0087146C" w:rsidP="008C4C05">
      <w:pPr>
        <w:pStyle w:val="Bibliography"/>
        <w:rPr>
          <w:rFonts w:ascii="Calibri" w:hAnsi="Calibri"/>
        </w:rPr>
      </w:pPr>
      <w:r>
        <w:rPr>
          <w:rFonts w:ascii="Calibri" w:eastAsia="Calibri" w:hAnsi="Calibri" w:cs="Calibri"/>
        </w:rPr>
        <w:lastRenderedPageBreak/>
        <w:fldChar w:fldCharType="begin"/>
      </w:r>
      <w:r w:rsidR="008C4C05">
        <w:rPr>
          <w:rFonts w:ascii="Calibri" w:eastAsia="Calibri" w:hAnsi="Calibri" w:cs="Calibri"/>
        </w:rPr>
        <w:instrText xml:space="preserve"> ADDIN ZOTERO_BIBL {"uncited":[],"omitted":[],"custom":[]} CSL_BIBLIOGRAPHY </w:instrText>
      </w:r>
      <w:r>
        <w:rPr>
          <w:rFonts w:ascii="Calibri" w:eastAsia="Calibri" w:hAnsi="Calibri" w:cs="Calibri"/>
        </w:rPr>
        <w:fldChar w:fldCharType="separate"/>
      </w:r>
      <w:r w:rsidR="008C4C05" w:rsidRPr="008C4C05">
        <w:rPr>
          <w:rFonts w:ascii="Calibri" w:hAnsi="Calibri"/>
        </w:rPr>
        <w:t>1</w:t>
      </w:r>
      <w:r w:rsidR="008C4C05" w:rsidRPr="008C4C05">
        <w:rPr>
          <w:rFonts w:ascii="Calibri" w:hAnsi="Calibri"/>
        </w:rPr>
        <w:tab/>
      </w:r>
      <w:r w:rsidR="008C4C05" w:rsidRPr="008C4C05">
        <w:rPr>
          <w:rFonts w:ascii="Calibri" w:hAnsi="Calibri"/>
          <w:i/>
          <w:iCs/>
        </w:rPr>
        <w:t>Writing about ethnicity</w:t>
      </w:r>
      <w:r w:rsidR="008C4C05" w:rsidRPr="008C4C05">
        <w:rPr>
          <w:rFonts w:ascii="Calibri" w:hAnsi="Calibri"/>
        </w:rPr>
        <w:t>. n.d. URL: https://www.ethnicity-facts-figures.service.gov.uk/style-guide/writing-about-ethnicity (Accessed 9 November 2021).</w:t>
      </w:r>
    </w:p>
    <w:p w14:paraId="2DF3C2A9" w14:textId="77777777" w:rsidR="008C4C05" w:rsidRPr="008C4C05" w:rsidRDefault="008C4C05" w:rsidP="008C4C05">
      <w:pPr>
        <w:pStyle w:val="Bibliography"/>
        <w:rPr>
          <w:rFonts w:ascii="Calibri" w:hAnsi="Calibri"/>
        </w:rPr>
      </w:pPr>
      <w:r w:rsidRPr="008C4C05">
        <w:rPr>
          <w:rFonts w:ascii="Calibri" w:hAnsi="Calibri"/>
        </w:rPr>
        <w:t>2</w:t>
      </w:r>
      <w:r w:rsidRPr="008C4C05">
        <w:rPr>
          <w:rFonts w:ascii="Calibri" w:hAnsi="Calibri"/>
        </w:rPr>
        <w:tab/>
        <w:t xml:space="preserve">Department for Constitutional Affairs,. </w:t>
      </w:r>
      <w:r w:rsidRPr="008C4C05">
        <w:rPr>
          <w:rFonts w:ascii="Calibri" w:hAnsi="Calibri"/>
          <w:i/>
          <w:iCs/>
        </w:rPr>
        <w:t>Mental Capacity Act 2005: Code of Practice 2007</w:t>
      </w:r>
      <w:r w:rsidRPr="008C4C05">
        <w:rPr>
          <w:rFonts w:ascii="Calibri" w:hAnsi="Calibri"/>
        </w:rPr>
        <w:t>. GOV.UK. n.d. URL: https://www.gov.uk/government/publications/mental-capacity-act-code-of-practice (Accessed 10 July 2021).</w:t>
      </w:r>
    </w:p>
    <w:p w14:paraId="7B7FA894" w14:textId="77777777" w:rsidR="008C4C05" w:rsidRPr="008C4C05" w:rsidRDefault="008C4C05" w:rsidP="008C4C05">
      <w:pPr>
        <w:pStyle w:val="Bibliography"/>
        <w:rPr>
          <w:rFonts w:ascii="Calibri" w:hAnsi="Calibri"/>
        </w:rPr>
      </w:pPr>
      <w:r w:rsidRPr="008C4C05">
        <w:rPr>
          <w:rFonts w:ascii="Calibri" w:hAnsi="Calibri"/>
        </w:rPr>
        <w:t>3</w:t>
      </w:r>
      <w:r w:rsidRPr="008C4C05">
        <w:rPr>
          <w:rFonts w:ascii="Calibri" w:hAnsi="Calibri"/>
        </w:rPr>
        <w:tab/>
        <w:t>Department of Health. End of Life Care Strategy - Promoting high quality care of all adults at the end of life. 2008:171.</w:t>
      </w:r>
    </w:p>
    <w:p w14:paraId="6B733823" w14:textId="77777777" w:rsidR="008C4C05" w:rsidRPr="008C4C05" w:rsidRDefault="008C4C05" w:rsidP="008C4C05">
      <w:pPr>
        <w:pStyle w:val="Bibliography"/>
        <w:rPr>
          <w:rFonts w:ascii="Calibri" w:hAnsi="Calibri"/>
        </w:rPr>
      </w:pPr>
      <w:r w:rsidRPr="008C4C05">
        <w:rPr>
          <w:rFonts w:ascii="Calibri" w:hAnsi="Calibri"/>
        </w:rPr>
        <w:t>4</w:t>
      </w:r>
      <w:r w:rsidRPr="008C4C05">
        <w:rPr>
          <w:rFonts w:ascii="Calibri" w:hAnsi="Calibri"/>
        </w:rPr>
        <w:tab/>
        <w:t xml:space="preserve">National Palliative and End of Life Care Partnership. </w:t>
      </w:r>
      <w:r w:rsidRPr="008C4C05">
        <w:rPr>
          <w:rFonts w:ascii="Calibri" w:hAnsi="Calibri"/>
          <w:i/>
          <w:iCs/>
        </w:rPr>
        <w:t>Ambitions for Palliative and End of Life Care</w:t>
      </w:r>
      <w:r w:rsidRPr="008C4C05">
        <w:rPr>
          <w:rFonts w:ascii="Calibri" w:hAnsi="Calibri"/>
        </w:rPr>
        <w:t>. 2015.</w:t>
      </w:r>
    </w:p>
    <w:p w14:paraId="3E3D9904" w14:textId="77777777" w:rsidR="008C4C05" w:rsidRPr="008C4C05" w:rsidRDefault="008C4C05" w:rsidP="008C4C05">
      <w:pPr>
        <w:pStyle w:val="Bibliography"/>
        <w:rPr>
          <w:rFonts w:ascii="Calibri" w:hAnsi="Calibri"/>
        </w:rPr>
      </w:pPr>
      <w:r w:rsidRPr="008C4C05">
        <w:rPr>
          <w:rFonts w:ascii="Calibri" w:hAnsi="Calibri"/>
        </w:rPr>
        <w:t>5</w:t>
      </w:r>
      <w:r w:rsidRPr="008C4C05">
        <w:rPr>
          <w:rFonts w:ascii="Calibri" w:hAnsi="Calibri"/>
        </w:rPr>
        <w:tab/>
        <w:t>National Institute for Health and Clinical Excellence: Quality Standard for end of life care for adults, QS13, 2011.</w:t>
      </w:r>
    </w:p>
    <w:p w14:paraId="5C24037F" w14:textId="77777777" w:rsidR="008C4C05" w:rsidRPr="008C4C05" w:rsidRDefault="008C4C05" w:rsidP="008C4C05">
      <w:pPr>
        <w:pStyle w:val="Bibliography"/>
        <w:rPr>
          <w:rFonts w:ascii="Calibri" w:hAnsi="Calibri"/>
        </w:rPr>
      </w:pPr>
      <w:r w:rsidRPr="008C4C05">
        <w:rPr>
          <w:rFonts w:ascii="Calibri" w:hAnsi="Calibri"/>
        </w:rPr>
        <w:t>6</w:t>
      </w:r>
      <w:r w:rsidRPr="008C4C05">
        <w:rPr>
          <w:rFonts w:ascii="Calibri" w:hAnsi="Calibri"/>
        </w:rPr>
        <w:tab/>
        <w:t>National Institute for Health Clinical Excellence: Clinical Guideline on Care of the Dying Adult in the Last Days of Life, NG31, 2015.</w:t>
      </w:r>
    </w:p>
    <w:p w14:paraId="6CA6FF31" w14:textId="77777777" w:rsidR="008C4C05" w:rsidRPr="008C4C05" w:rsidRDefault="008C4C05" w:rsidP="008C4C05">
      <w:pPr>
        <w:pStyle w:val="Bibliography"/>
        <w:rPr>
          <w:rFonts w:ascii="Calibri" w:hAnsi="Calibri"/>
        </w:rPr>
      </w:pPr>
      <w:r w:rsidRPr="008C4C05">
        <w:rPr>
          <w:rFonts w:ascii="Calibri" w:hAnsi="Calibri"/>
        </w:rPr>
        <w:t>7</w:t>
      </w:r>
      <w:r w:rsidRPr="008C4C05">
        <w:rPr>
          <w:rFonts w:ascii="Calibri" w:hAnsi="Calibri"/>
        </w:rPr>
        <w:tab/>
        <w:t>General Medical Council: Treatment and care at the end of life Treatment and care towards the end of life: good practice in decision making 2010.</w:t>
      </w:r>
    </w:p>
    <w:p w14:paraId="5D98F5C2" w14:textId="77777777" w:rsidR="008C4C05" w:rsidRPr="008C4C05" w:rsidRDefault="008C4C05" w:rsidP="008C4C05">
      <w:pPr>
        <w:pStyle w:val="Bibliography"/>
        <w:rPr>
          <w:rFonts w:ascii="Calibri" w:hAnsi="Calibri"/>
        </w:rPr>
      </w:pPr>
      <w:r w:rsidRPr="008C4C05">
        <w:rPr>
          <w:rFonts w:ascii="Calibri" w:hAnsi="Calibri"/>
        </w:rPr>
        <w:t>8</w:t>
      </w:r>
      <w:r w:rsidRPr="008C4C05">
        <w:rPr>
          <w:rFonts w:ascii="Calibri" w:hAnsi="Calibri"/>
        </w:rPr>
        <w:tab/>
        <w:t xml:space="preserve">Department of Health. </w:t>
      </w:r>
      <w:r w:rsidRPr="008C4C05">
        <w:rPr>
          <w:rFonts w:ascii="Calibri" w:hAnsi="Calibri"/>
          <w:i/>
          <w:iCs/>
        </w:rPr>
        <w:t>Our commitment to you for end of life care: the government response to the review of choice in end of life care</w:t>
      </w:r>
      <w:r w:rsidRPr="008C4C05">
        <w:rPr>
          <w:rFonts w:ascii="Calibri" w:hAnsi="Calibri"/>
        </w:rPr>
        <w:t>. 2016.</w:t>
      </w:r>
    </w:p>
    <w:p w14:paraId="5018F02A" w14:textId="77777777" w:rsidR="008C4C05" w:rsidRPr="008C4C05" w:rsidRDefault="008C4C05" w:rsidP="008C4C05">
      <w:pPr>
        <w:pStyle w:val="Bibliography"/>
        <w:rPr>
          <w:rFonts w:ascii="Calibri" w:hAnsi="Calibri"/>
        </w:rPr>
      </w:pPr>
      <w:r w:rsidRPr="008C4C05">
        <w:rPr>
          <w:rFonts w:ascii="Calibri" w:hAnsi="Calibri"/>
        </w:rPr>
        <w:t>9</w:t>
      </w:r>
      <w:r w:rsidRPr="008C4C05">
        <w:rPr>
          <w:rFonts w:ascii="Calibri" w:hAnsi="Calibri"/>
        </w:rPr>
        <w:tab/>
      </w:r>
      <w:proofErr w:type="spellStart"/>
      <w:r w:rsidRPr="008C4C05">
        <w:rPr>
          <w:rFonts w:ascii="Calibri" w:hAnsi="Calibri"/>
        </w:rPr>
        <w:t>Rietjens</w:t>
      </w:r>
      <w:proofErr w:type="spellEnd"/>
      <w:r w:rsidRPr="008C4C05">
        <w:rPr>
          <w:rFonts w:ascii="Calibri" w:hAnsi="Calibri"/>
        </w:rPr>
        <w:t xml:space="preserve"> JAC, </w:t>
      </w:r>
      <w:proofErr w:type="spellStart"/>
      <w:r w:rsidRPr="008C4C05">
        <w:rPr>
          <w:rFonts w:ascii="Calibri" w:hAnsi="Calibri"/>
        </w:rPr>
        <w:t>Sudore</w:t>
      </w:r>
      <w:proofErr w:type="spellEnd"/>
      <w:r w:rsidRPr="008C4C05">
        <w:rPr>
          <w:rFonts w:ascii="Calibri" w:hAnsi="Calibri"/>
        </w:rPr>
        <w:t xml:space="preserve"> RL, Connolly M, van </w:t>
      </w:r>
      <w:proofErr w:type="spellStart"/>
      <w:r w:rsidRPr="008C4C05">
        <w:rPr>
          <w:rFonts w:ascii="Calibri" w:hAnsi="Calibri"/>
        </w:rPr>
        <w:t>Delden</w:t>
      </w:r>
      <w:proofErr w:type="spellEnd"/>
      <w:r w:rsidRPr="008C4C05">
        <w:rPr>
          <w:rFonts w:ascii="Calibri" w:hAnsi="Calibri"/>
        </w:rPr>
        <w:t xml:space="preserve"> JJ, </w:t>
      </w:r>
      <w:proofErr w:type="spellStart"/>
      <w:r w:rsidRPr="008C4C05">
        <w:rPr>
          <w:rFonts w:ascii="Calibri" w:hAnsi="Calibri"/>
        </w:rPr>
        <w:t>Drickamer</w:t>
      </w:r>
      <w:proofErr w:type="spellEnd"/>
      <w:r w:rsidRPr="008C4C05">
        <w:rPr>
          <w:rFonts w:ascii="Calibri" w:hAnsi="Calibri"/>
        </w:rPr>
        <w:t xml:space="preserve"> MA, </w:t>
      </w:r>
      <w:proofErr w:type="spellStart"/>
      <w:r w:rsidRPr="008C4C05">
        <w:rPr>
          <w:rFonts w:ascii="Calibri" w:hAnsi="Calibri"/>
        </w:rPr>
        <w:t>Droger</w:t>
      </w:r>
      <w:proofErr w:type="spellEnd"/>
      <w:r w:rsidRPr="008C4C05">
        <w:rPr>
          <w:rFonts w:ascii="Calibri" w:hAnsi="Calibri"/>
        </w:rPr>
        <w:t xml:space="preserve"> M, </w:t>
      </w:r>
      <w:r w:rsidRPr="008C4C05">
        <w:rPr>
          <w:rFonts w:ascii="Calibri" w:hAnsi="Calibri"/>
          <w:i/>
          <w:iCs/>
        </w:rPr>
        <w:t>et al.</w:t>
      </w:r>
      <w:r w:rsidRPr="008C4C05">
        <w:rPr>
          <w:rFonts w:ascii="Calibri" w:hAnsi="Calibri"/>
        </w:rPr>
        <w:t xml:space="preserve"> Definition and recommendations for advance care planning: an international consensus supported by the European Association for Palliative Care. </w:t>
      </w:r>
      <w:r w:rsidRPr="008C4C05">
        <w:rPr>
          <w:rFonts w:ascii="Calibri" w:hAnsi="Calibri"/>
          <w:i/>
          <w:iCs/>
        </w:rPr>
        <w:t>The Lancet Oncology</w:t>
      </w:r>
      <w:r w:rsidRPr="008C4C05">
        <w:rPr>
          <w:rFonts w:ascii="Calibri" w:hAnsi="Calibri"/>
        </w:rPr>
        <w:t xml:space="preserve"> 2017;</w:t>
      </w:r>
      <w:r w:rsidRPr="008C4C05">
        <w:rPr>
          <w:rFonts w:ascii="Calibri" w:hAnsi="Calibri"/>
          <w:b/>
          <w:bCs/>
        </w:rPr>
        <w:t>18</w:t>
      </w:r>
      <w:r w:rsidRPr="008C4C05">
        <w:rPr>
          <w:rFonts w:ascii="Calibri" w:hAnsi="Calibri"/>
        </w:rPr>
        <w:t>:e543–51. https://doi.org/10.1016/S1470-2045(17)30582-X.</w:t>
      </w:r>
    </w:p>
    <w:p w14:paraId="67C2492E" w14:textId="77777777" w:rsidR="008C4C05" w:rsidRPr="008C4C05" w:rsidRDefault="008C4C05" w:rsidP="008C4C05">
      <w:pPr>
        <w:pStyle w:val="Bibliography"/>
        <w:rPr>
          <w:rFonts w:ascii="Calibri" w:hAnsi="Calibri"/>
        </w:rPr>
      </w:pPr>
      <w:r w:rsidRPr="008C4C05">
        <w:rPr>
          <w:rFonts w:ascii="Calibri" w:hAnsi="Calibri"/>
        </w:rPr>
        <w:t>10</w:t>
      </w:r>
      <w:r w:rsidRPr="008C4C05">
        <w:rPr>
          <w:rFonts w:ascii="Calibri" w:hAnsi="Calibri"/>
        </w:rPr>
        <w:tab/>
        <w:t>The Choice in End of Life Care, Programme Board. What’s important to me. A Review of Choice in End of Life Care 2015.</w:t>
      </w:r>
    </w:p>
    <w:p w14:paraId="237E6652" w14:textId="77777777" w:rsidR="008C4C05" w:rsidRPr="008C4C05" w:rsidRDefault="008C4C05" w:rsidP="008C4C05">
      <w:pPr>
        <w:pStyle w:val="Bibliography"/>
        <w:rPr>
          <w:rFonts w:ascii="Calibri" w:hAnsi="Calibri"/>
        </w:rPr>
      </w:pPr>
      <w:r w:rsidRPr="008C4C05">
        <w:rPr>
          <w:rFonts w:ascii="Calibri" w:hAnsi="Calibri"/>
        </w:rPr>
        <w:t>11</w:t>
      </w:r>
      <w:r w:rsidRPr="008C4C05">
        <w:rPr>
          <w:rFonts w:ascii="Calibri" w:hAnsi="Calibri"/>
        </w:rPr>
        <w:tab/>
      </w:r>
      <w:proofErr w:type="spellStart"/>
      <w:r w:rsidRPr="008C4C05">
        <w:rPr>
          <w:rFonts w:ascii="Calibri" w:hAnsi="Calibri"/>
        </w:rPr>
        <w:t>Ellershaw</w:t>
      </w:r>
      <w:proofErr w:type="spellEnd"/>
      <w:r w:rsidRPr="008C4C05">
        <w:rPr>
          <w:rFonts w:ascii="Calibri" w:hAnsi="Calibri"/>
        </w:rPr>
        <w:t xml:space="preserve"> JE, Lakhani M. Best care for the dying patient. </w:t>
      </w:r>
      <w:r w:rsidRPr="008C4C05">
        <w:rPr>
          <w:rFonts w:ascii="Calibri" w:hAnsi="Calibri"/>
          <w:i/>
          <w:iCs/>
        </w:rPr>
        <w:t>BMJ</w:t>
      </w:r>
      <w:r w:rsidRPr="008C4C05">
        <w:rPr>
          <w:rFonts w:ascii="Calibri" w:hAnsi="Calibri"/>
        </w:rPr>
        <w:t xml:space="preserve"> 2013;</w:t>
      </w:r>
      <w:r w:rsidRPr="008C4C05">
        <w:rPr>
          <w:rFonts w:ascii="Calibri" w:hAnsi="Calibri"/>
          <w:b/>
          <w:bCs/>
        </w:rPr>
        <w:t>347</w:t>
      </w:r>
      <w:r w:rsidRPr="008C4C05">
        <w:rPr>
          <w:rFonts w:ascii="Calibri" w:hAnsi="Calibri"/>
        </w:rPr>
        <w:t>:f4428. https://doi.org/10.1136/bmj.f4428.</w:t>
      </w:r>
    </w:p>
    <w:p w14:paraId="43280DE3" w14:textId="77777777" w:rsidR="008C4C05" w:rsidRPr="008C4C05" w:rsidRDefault="008C4C05" w:rsidP="008C4C05">
      <w:pPr>
        <w:pStyle w:val="Bibliography"/>
        <w:rPr>
          <w:rFonts w:ascii="Calibri" w:hAnsi="Calibri"/>
        </w:rPr>
      </w:pPr>
      <w:r w:rsidRPr="008C4C05">
        <w:rPr>
          <w:rFonts w:ascii="Calibri" w:hAnsi="Calibri"/>
        </w:rPr>
        <w:t>12</w:t>
      </w:r>
      <w:r w:rsidRPr="008C4C05">
        <w:rPr>
          <w:rFonts w:ascii="Calibri" w:hAnsi="Calibri"/>
        </w:rPr>
        <w:tab/>
      </w:r>
      <w:proofErr w:type="spellStart"/>
      <w:r w:rsidRPr="008C4C05">
        <w:rPr>
          <w:rFonts w:ascii="Calibri" w:hAnsi="Calibri"/>
        </w:rPr>
        <w:t>Detering</w:t>
      </w:r>
      <w:proofErr w:type="spellEnd"/>
      <w:r w:rsidRPr="008C4C05">
        <w:rPr>
          <w:rFonts w:ascii="Calibri" w:hAnsi="Calibri"/>
        </w:rPr>
        <w:t xml:space="preserve"> KM, Hancock AD, Reade MC, Silvester W. The impact of advance care planning on end of life care in elderly patients: randomised controlled trial. </w:t>
      </w:r>
      <w:r w:rsidRPr="008C4C05">
        <w:rPr>
          <w:rFonts w:ascii="Calibri" w:hAnsi="Calibri"/>
          <w:i/>
          <w:iCs/>
        </w:rPr>
        <w:t>BMJ</w:t>
      </w:r>
      <w:r w:rsidRPr="008C4C05">
        <w:rPr>
          <w:rFonts w:ascii="Calibri" w:hAnsi="Calibri"/>
        </w:rPr>
        <w:t xml:space="preserve"> 2010;</w:t>
      </w:r>
      <w:r w:rsidRPr="008C4C05">
        <w:rPr>
          <w:rFonts w:ascii="Calibri" w:hAnsi="Calibri"/>
          <w:b/>
          <w:bCs/>
        </w:rPr>
        <w:t>340</w:t>
      </w:r>
      <w:r w:rsidRPr="008C4C05">
        <w:rPr>
          <w:rFonts w:ascii="Calibri" w:hAnsi="Calibri"/>
        </w:rPr>
        <w:t>:c1345. https://doi.org/10.1136/bmj.c1345.</w:t>
      </w:r>
    </w:p>
    <w:p w14:paraId="72A99CD9" w14:textId="77777777" w:rsidR="008C4C05" w:rsidRPr="008C4C05" w:rsidRDefault="008C4C05" w:rsidP="008C4C05">
      <w:pPr>
        <w:pStyle w:val="Bibliography"/>
        <w:rPr>
          <w:rFonts w:ascii="Calibri" w:hAnsi="Calibri"/>
        </w:rPr>
      </w:pPr>
      <w:r w:rsidRPr="008C4C05">
        <w:rPr>
          <w:rFonts w:ascii="Calibri" w:hAnsi="Calibri"/>
        </w:rPr>
        <w:t>13</w:t>
      </w:r>
      <w:r w:rsidRPr="008C4C05">
        <w:rPr>
          <w:rFonts w:ascii="Calibri" w:hAnsi="Calibri"/>
        </w:rPr>
        <w:tab/>
        <w:t xml:space="preserve">Wright AA, Zhang B, Ray A, Mack JW, Trice E, </w:t>
      </w:r>
      <w:proofErr w:type="spellStart"/>
      <w:r w:rsidRPr="008C4C05">
        <w:rPr>
          <w:rFonts w:ascii="Calibri" w:hAnsi="Calibri"/>
        </w:rPr>
        <w:t>Balboni</w:t>
      </w:r>
      <w:proofErr w:type="spellEnd"/>
      <w:r w:rsidRPr="008C4C05">
        <w:rPr>
          <w:rFonts w:ascii="Calibri" w:hAnsi="Calibri"/>
        </w:rPr>
        <w:t xml:space="preserve"> T, </w:t>
      </w:r>
      <w:r w:rsidRPr="008C4C05">
        <w:rPr>
          <w:rFonts w:ascii="Calibri" w:hAnsi="Calibri"/>
          <w:i/>
          <w:iCs/>
        </w:rPr>
        <w:t>et al.</w:t>
      </w:r>
      <w:r w:rsidRPr="008C4C05">
        <w:rPr>
          <w:rFonts w:ascii="Calibri" w:hAnsi="Calibri"/>
        </w:rPr>
        <w:t xml:space="preserve"> Associations between end-of-life discussions, patient mental health, medical care near death, and caregiver bereavement adjustment. </w:t>
      </w:r>
      <w:r w:rsidRPr="008C4C05">
        <w:rPr>
          <w:rFonts w:ascii="Calibri" w:hAnsi="Calibri"/>
          <w:i/>
          <w:iCs/>
        </w:rPr>
        <w:t>JAMA</w:t>
      </w:r>
      <w:r w:rsidRPr="008C4C05">
        <w:rPr>
          <w:rFonts w:ascii="Calibri" w:hAnsi="Calibri"/>
        </w:rPr>
        <w:t xml:space="preserve"> 2008;</w:t>
      </w:r>
      <w:r w:rsidRPr="008C4C05">
        <w:rPr>
          <w:rFonts w:ascii="Calibri" w:hAnsi="Calibri"/>
          <w:b/>
          <w:bCs/>
        </w:rPr>
        <w:t>300</w:t>
      </w:r>
      <w:r w:rsidRPr="008C4C05">
        <w:rPr>
          <w:rFonts w:ascii="Calibri" w:hAnsi="Calibri"/>
        </w:rPr>
        <w:t>:1665–73. https://doi.org/10.1001/jama.300.14.1665.</w:t>
      </w:r>
    </w:p>
    <w:p w14:paraId="6FF3136F" w14:textId="77777777" w:rsidR="008C4C05" w:rsidRPr="008C4C05" w:rsidRDefault="008C4C05" w:rsidP="008C4C05">
      <w:pPr>
        <w:pStyle w:val="Bibliography"/>
        <w:rPr>
          <w:rFonts w:ascii="Calibri" w:hAnsi="Calibri"/>
        </w:rPr>
      </w:pPr>
      <w:r w:rsidRPr="008C4C05">
        <w:rPr>
          <w:rFonts w:ascii="Calibri" w:hAnsi="Calibri"/>
        </w:rPr>
        <w:t>14</w:t>
      </w:r>
      <w:r w:rsidRPr="008C4C05">
        <w:rPr>
          <w:rFonts w:ascii="Calibri" w:hAnsi="Calibri"/>
        </w:rPr>
        <w:tab/>
        <w:t xml:space="preserve">Weathers E, </w:t>
      </w:r>
      <w:proofErr w:type="spellStart"/>
      <w:r w:rsidRPr="008C4C05">
        <w:rPr>
          <w:rFonts w:ascii="Calibri" w:hAnsi="Calibri"/>
        </w:rPr>
        <w:t>O’Caoimh</w:t>
      </w:r>
      <w:proofErr w:type="spellEnd"/>
      <w:r w:rsidRPr="008C4C05">
        <w:rPr>
          <w:rFonts w:ascii="Calibri" w:hAnsi="Calibri"/>
        </w:rPr>
        <w:t xml:space="preserve"> R, </w:t>
      </w:r>
      <w:proofErr w:type="spellStart"/>
      <w:r w:rsidRPr="008C4C05">
        <w:rPr>
          <w:rFonts w:ascii="Calibri" w:hAnsi="Calibri"/>
        </w:rPr>
        <w:t>Cornally</w:t>
      </w:r>
      <w:proofErr w:type="spellEnd"/>
      <w:r w:rsidRPr="008C4C05">
        <w:rPr>
          <w:rFonts w:ascii="Calibri" w:hAnsi="Calibri"/>
        </w:rPr>
        <w:t xml:space="preserve"> N, Fitzgerald C, Kearns T, Coffey A, </w:t>
      </w:r>
      <w:r w:rsidRPr="008C4C05">
        <w:rPr>
          <w:rFonts w:ascii="Calibri" w:hAnsi="Calibri"/>
          <w:i/>
          <w:iCs/>
        </w:rPr>
        <w:t>et al.</w:t>
      </w:r>
      <w:r w:rsidRPr="008C4C05">
        <w:rPr>
          <w:rFonts w:ascii="Calibri" w:hAnsi="Calibri"/>
        </w:rPr>
        <w:t xml:space="preserve"> Advance care planning: A systematic review of randomised controlled trials conducted with older adults. </w:t>
      </w:r>
      <w:proofErr w:type="spellStart"/>
      <w:r w:rsidRPr="008C4C05">
        <w:rPr>
          <w:rFonts w:ascii="Calibri" w:hAnsi="Calibri"/>
          <w:i/>
          <w:iCs/>
        </w:rPr>
        <w:t>Maturitas</w:t>
      </w:r>
      <w:proofErr w:type="spellEnd"/>
      <w:r w:rsidRPr="008C4C05">
        <w:rPr>
          <w:rFonts w:ascii="Calibri" w:hAnsi="Calibri"/>
        </w:rPr>
        <w:t xml:space="preserve"> 2016;</w:t>
      </w:r>
      <w:r w:rsidRPr="008C4C05">
        <w:rPr>
          <w:rFonts w:ascii="Calibri" w:hAnsi="Calibri"/>
          <w:b/>
          <w:bCs/>
        </w:rPr>
        <w:t>91</w:t>
      </w:r>
      <w:r w:rsidRPr="008C4C05">
        <w:rPr>
          <w:rFonts w:ascii="Calibri" w:hAnsi="Calibri"/>
        </w:rPr>
        <w:t>:101–9. https://doi.org/10.1016/j.maturitas.2016.06.016.</w:t>
      </w:r>
    </w:p>
    <w:p w14:paraId="5B3D8B06" w14:textId="77777777" w:rsidR="008C4C05" w:rsidRPr="008C4C05" w:rsidRDefault="008C4C05" w:rsidP="008C4C05">
      <w:pPr>
        <w:pStyle w:val="Bibliography"/>
        <w:rPr>
          <w:rFonts w:ascii="Calibri" w:hAnsi="Calibri"/>
        </w:rPr>
      </w:pPr>
      <w:r w:rsidRPr="008C4C05">
        <w:rPr>
          <w:rFonts w:ascii="Calibri" w:hAnsi="Calibri"/>
        </w:rPr>
        <w:t>15</w:t>
      </w:r>
      <w:r w:rsidRPr="008C4C05">
        <w:rPr>
          <w:rFonts w:ascii="Calibri" w:hAnsi="Calibri"/>
        </w:rPr>
        <w:tab/>
        <w:t xml:space="preserve">Martin RS, Hayes B, </w:t>
      </w:r>
      <w:proofErr w:type="spellStart"/>
      <w:r w:rsidRPr="008C4C05">
        <w:rPr>
          <w:rFonts w:ascii="Calibri" w:hAnsi="Calibri"/>
        </w:rPr>
        <w:t>Gregorevic</w:t>
      </w:r>
      <w:proofErr w:type="spellEnd"/>
      <w:r w:rsidRPr="008C4C05">
        <w:rPr>
          <w:rFonts w:ascii="Calibri" w:hAnsi="Calibri"/>
        </w:rPr>
        <w:t xml:space="preserve"> K, Lim WK. The Effects of Advance Care Planning Interventions on Nursing Home Residents: A Systematic Review. </w:t>
      </w:r>
      <w:r w:rsidRPr="008C4C05">
        <w:rPr>
          <w:rFonts w:ascii="Calibri" w:hAnsi="Calibri"/>
          <w:i/>
          <w:iCs/>
        </w:rPr>
        <w:t>Journal of the American Medical Directors Association</w:t>
      </w:r>
      <w:r w:rsidRPr="008C4C05">
        <w:rPr>
          <w:rFonts w:ascii="Calibri" w:hAnsi="Calibri"/>
        </w:rPr>
        <w:t xml:space="preserve"> 2016;</w:t>
      </w:r>
      <w:r w:rsidRPr="008C4C05">
        <w:rPr>
          <w:rFonts w:ascii="Calibri" w:hAnsi="Calibri"/>
          <w:b/>
          <w:bCs/>
        </w:rPr>
        <w:t>17</w:t>
      </w:r>
      <w:r w:rsidRPr="008C4C05">
        <w:rPr>
          <w:rFonts w:ascii="Calibri" w:hAnsi="Calibri"/>
        </w:rPr>
        <w:t>:284–94. https://doi.org/10.1016/j.jamda.2015.12.017.</w:t>
      </w:r>
    </w:p>
    <w:p w14:paraId="630B4F34" w14:textId="77777777" w:rsidR="008C4C05" w:rsidRPr="008C4C05" w:rsidRDefault="008C4C05" w:rsidP="008C4C05">
      <w:pPr>
        <w:pStyle w:val="Bibliography"/>
        <w:rPr>
          <w:rFonts w:ascii="Calibri" w:hAnsi="Calibri"/>
        </w:rPr>
      </w:pPr>
      <w:r w:rsidRPr="008C4C05">
        <w:rPr>
          <w:rFonts w:ascii="Calibri" w:hAnsi="Calibri"/>
        </w:rPr>
        <w:t>16</w:t>
      </w:r>
      <w:r w:rsidRPr="008C4C05">
        <w:rPr>
          <w:rFonts w:ascii="Calibri" w:hAnsi="Calibri"/>
        </w:rPr>
        <w:tab/>
      </w:r>
      <w:proofErr w:type="spellStart"/>
      <w:r w:rsidRPr="008C4C05">
        <w:rPr>
          <w:rFonts w:ascii="Calibri" w:hAnsi="Calibri"/>
        </w:rPr>
        <w:t>Glaudemans</w:t>
      </w:r>
      <w:proofErr w:type="spellEnd"/>
      <w:r w:rsidRPr="008C4C05">
        <w:rPr>
          <w:rFonts w:ascii="Calibri" w:hAnsi="Calibri"/>
        </w:rPr>
        <w:t xml:space="preserve"> JJ, Moll van </w:t>
      </w:r>
      <w:proofErr w:type="spellStart"/>
      <w:r w:rsidRPr="008C4C05">
        <w:rPr>
          <w:rFonts w:ascii="Calibri" w:hAnsi="Calibri"/>
        </w:rPr>
        <w:t>Charante</w:t>
      </w:r>
      <w:proofErr w:type="spellEnd"/>
      <w:r w:rsidRPr="008C4C05">
        <w:rPr>
          <w:rFonts w:ascii="Calibri" w:hAnsi="Calibri"/>
        </w:rPr>
        <w:t xml:space="preserve"> EP, Willems DL. Advance care planning in primary care, only for severely ill patients? A structured review. </w:t>
      </w:r>
      <w:r w:rsidRPr="008C4C05">
        <w:rPr>
          <w:rFonts w:ascii="Calibri" w:hAnsi="Calibri"/>
          <w:i/>
          <w:iCs/>
        </w:rPr>
        <w:t>Family Practice</w:t>
      </w:r>
      <w:r w:rsidRPr="008C4C05">
        <w:rPr>
          <w:rFonts w:ascii="Calibri" w:hAnsi="Calibri"/>
        </w:rPr>
        <w:t xml:space="preserve"> 2015;</w:t>
      </w:r>
      <w:r w:rsidRPr="008C4C05">
        <w:rPr>
          <w:rFonts w:ascii="Calibri" w:hAnsi="Calibri"/>
          <w:b/>
          <w:bCs/>
        </w:rPr>
        <w:t>32</w:t>
      </w:r>
      <w:r w:rsidRPr="008C4C05">
        <w:rPr>
          <w:rFonts w:ascii="Calibri" w:hAnsi="Calibri"/>
        </w:rPr>
        <w:t>:16–26. https://doi.org/10.1093/fampra/cmu074.</w:t>
      </w:r>
    </w:p>
    <w:p w14:paraId="43EA588E" w14:textId="77777777" w:rsidR="008C4C05" w:rsidRPr="008C4C05" w:rsidRDefault="008C4C05" w:rsidP="008C4C05">
      <w:pPr>
        <w:pStyle w:val="Bibliography"/>
        <w:rPr>
          <w:rFonts w:ascii="Calibri" w:hAnsi="Calibri"/>
        </w:rPr>
      </w:pPr>
      <w:r w:rsidRPr="008C4C05">
        <w:rPr>
          <w:rFonts w:ascii="Calibri" w:hAnsi="Calibri"/>
        </w:rPr>
        <w:t>17</w:t>
      </w:r>
      <w:r w:rsidRPr="008C4C05">
        <w:rPr>
          <w:rFonts w:ascii="Calibri" w:hAnsi="Calibri"/>
        </w:rPr>
        <w:tab/>
        <w:t xml:space="preserve">Klingler C, in der </w:t>
      </w:r>
      <w:proofErr w:type="spellStart"/>
      <w:r w:rsidRPr="008C4C05">
        <w:rPr>
          <w:rFonts w:ascii="Calibri" w:hAnsi="Calibri"/>
        </w:rPr>
        <w:t>Schmitten</w:t>
      </w:r>
      <w:proofErr w:type="spellEnd"/>
      <w:r w:rsidRPr="008C4C05">
        <w:rPr>
          <w:rFonts w:ascii="Calibri" w:hAnsi="Calibri"/>
        </w:rPr>
        <w:t xml:space="preserve"> J, </w:t>
      </w:r>
      <w:proofErr w:type="spellStart"/>
      <w:r w:rsidRPr="008C4C05">
        <w:rPr>
          <w:rFonts w:ascii="Calibri" w:hAnsi="Calibri"/>
        </w:rPr>
        <w:t>Marckmann</w:t>
      </w:r>
      <w:proofErr w:type="spellEnd"/>
      <w:r w:rsidRPr="008C4C05">
        <w:rPr>
          <w:rFonts w:ascii="Calibri" w:hAnsi="Calibri"/>
        </w:rPr>
        <w:t xml:space="preserve"> G. Does facilitated Advance Care Planning reduce the costs of care near the end of life? Systematic review and ethical considerations. </w:t>
      </w:r>
      <w:proofErr w:type="spellStart"/>
      <w:r w:rsidRPr="008C4C05">
        <w:rPr>
          <w:rFonts w:ascii="Calibri" w:hAnsi="Calibri"/>
          <w:i/>
          <w:iCs/>
        </w:rPr>
        <w:t>Palliat</w:t>
      </w:r>
      <w:proofErr w:type="spellEnd"/>
      <w:r w:rsidRPr="008C4C05">
        <w:rPr>
          <w:rFonts w:ascii="Calibri" w:hAnsi="Calibri"/>
          <w:i/>
          <w:iCs/>
        </w:rPr>
        <w:t xml:space="preserve"> Med</w:t>
      </w:r>
      <w:r w:rsidRPr="008C4C05">
        <w:rPr>
          <w:rFonts w:ascii="Calibri" w:hAnsi="Calibri"/>
        </w:rPr>
        <w:t xml:space="preserve"> 2016;</w:t>
      </w:r>
      <w:r w:rsidRPr="008C4C05">
        <w:rPr>
          <w:rFonts w:ascii="Calibri" w:hAnsi="Calibri"/>
          <w:b/>
          <w:bCs/>
        </w:rPr>
        <w:t>30</w:t>
      </w:r>
      <w:r w:rsidRPr="008C4C05">
        <w:rPr>
          <w:rFonts w:ascii="Calibri" w:hAnsi="Calibri"/>
        </w:rPr>
        <w:t>:423–33. https://doi.org/10.1177/0269216315601346.</w:t>
      </w:r>
    </w:p>
    <w:p w14:paraId="10541130" w14:textId="77777777" w:rsidR="008C4C05" w:rsidRPr="008C4C05" w:rsidRDefault="008C4C05" w:rsidP="008C4C05">
      <w:pPr>
        <w:pStyle w:val="Bibliography"/>
        <w:rPr>
          <w:rFonts w:ascii="Calibri" w:hAnsi="Calibri"/>
        </w:rPr>
      </w:pPr>
      <w:r w:rsidRPr="00D74EFC">
        <w:rPr>
          <w:rFonts w:ascii="Calibri" w:hAnsi="Calibri"/>
          <w:lang w:val="nl-NL"/>
        </w:rPr>
        <w:t>18</w:t>
      </w:r>
      <w:r w:rsidRPr="00D74EFC">
        <w:rPr>
          <w:rFonts w:ascii="Calibri" w:hAnsi="Calibri"/>
          <w:lang w:val="nl-NL"/>
        </w:rPr>
        <w:tab/>
        <w:t xml:space="preserve">Houben CHM, Spruit MA, Groenen MTJ, Wouters EFM, Janssen DJA. </w:t>
      </w:r>
      <w:r w:rsidRPr="008C4C05">
        <w:rPr>
          <w:rFonts w:ascii="Calibri" w:hAnsi="Calibri"/>
        </w:rPr>
        <w:t xml:space="preserve">Efficacy of Advance Care Planning: A Systematic Review and Meta-Analysis. </w:t>
      </w:r>
      <w:r w:rsidRPr="008C4C05">
        <w:rPr>
          <w:rFonts w:ascii="Calibri" w:hAnsi="Calibri"/>
          <w:i/>
          <w:iCs/>
        </w:rPr>
        <w:t>Journal of the American Medical Directors Association</w:t>
      </w:r>
      <w:r w:rsidRPr="008C4C05">
        <w:rPr>
          <w:rFonts w:ascii="Calibri" w:hAnsi="Calibri"/>
        </w:rPr>
        <w:t xml:space="preserve"> 2014;</w:t>
      </w:r>
      <w:r w:rsidRPr="008C4C05">
        <w:rPr>
          <w:rFonts w:ascii="Calibri" w:hAnsi="Calibri"/>
          <w:b/>
          <w:bCs/>
        </w:rPr>
        <w:t>15</w:t>
      </w:r>
      <w:r w:rsidRPr="008C4C05">
        <w:rPr>
          <w:rFonts w:ascii="Calibri" w:hAnsi="Calibri"/>
        </w:rPr>
        <w:t>:477–89. https://doi.org/10.1016/j.jamda.2014.01.008.</w:t>
      </w:r>
    </w:p>
    <w:p w14:paraId="04240A80" w14:textId="77777777" w:rsidR="008C4C05" w:rsidRPr="008C4C05" w:rsidRDefault="008C4C05" w:rsidP="008C4C05">
      <w:pPr>
        <w:pStyle w:val="Bibliography"/>
        <w:rPr>
          <w:rFonts w:ascii="Calibri" w:hAnsi="Calibri"/>
        </w:rPr>
      </w:pPr>
      <w:r w:rsidRPr="008C4C05">
        <w:rPr>
          <w:rFonts w:ascii="Calibri" w:hAnsi="Calibri"/>
        </w:rPr>
        <w:t>19</w:t>
      </w:r>
      <w:r w:rsidRPr="008C4C05">
        <w:rPr>
          <w:rFonts w:ascii="Calibri" w:hAnsi="Calibri"/>
        </w:rPr>
        <w:tab/>
        <w:t>Brinkman-</w:t>
      </w:r>
      <w:proofErr w:type="spellStart"/>
      <w:r w:rsidRPr="008C4C05">
        <w:rPr>
          <w:rFonts w:ascii="Calibri" w:hAnsi="Calibri"/>
        </w:rPr>
        <w:t>Stoppelenburg</w:t>
      </w:r>
      <w:proofErr w:type="spellEnd"/>
      <w:r w:rsidRPr="008C4C05">
        <w:rPr>
          <w:rFonts w:ascii="Calibri" w:hAnsi="Calibri"/>
        </w:rPr>
        <w:t xml:space="preserve"> A, </w:t>
      </w:r>
      <w:proofErr w:type="spellStart"/>
      <w:r w:rsidRPr="008C4C05">
        <w:rPr>
          <w:rFonts w:ascii="Calibri" w:hAnsi="Calibri"/>
        </w:rPr>
        <w:t>Rietjens</w:t>
      </w:r>
      <w:proofErr w:type="spellEnd"/>
      <w:r w:rsidRPr="008C4C05">
        <w:rPr>
          <w:rFonts w:ascii="Calibri" w:hAnsi="Calibri"/>
        </w:rPr>
        <w:t xml:space="preserve"> JA, van der Heide A. The effects of advance care planning on end-of-life care: A systematic review. </w:t>
      </w:r>
      <w:proofErr w:type="spellStart"/>
      <w:r w:rsidRPr="008C4C05">
        <w:rPr>
          <w:rFonts w:ascii="Calibri" w:hAnsi="Calibri"/>
          <w:i/>
          <w:iCs/>
        </w:rPr>
        <w:t>Palliat</w:t>
      </w:r>
      <w:proofErr w:type="spellEnd"/>
      <w:r w:rsidRPr="008C4C05">
        <w:rPr>
          <w:rFonts w:ascii="Calibri" w:hAnsi="Calibri"/>
          <w:i/>
          <w:iCs/>
        </w:rPr>
        <w:t xml:space="preserve"> Med</w:t>
      </w:r>
      <w:r w:rsidRPr="008C4C05">
        <w:rPr>
          <w:rFonts w:ascii="Calibri" w:hAnsi="Calibri"/>
        </w:rPr>
        <w:t xml:space="preserve"> 2014;</w:t>
      </w:r>
      <w:r w:rsidRPr="008C4C05">
        <w:rPr>
          <w:rFonts w:ascii="Calibri" w:hAnsi="Calibri"/>
          <w:b/>
          <w:bCs/>
        </w:rPr>
        <w:t>28</w:t>
      </w:r>
      <w:r w:rsidRPr="008C4C05">
        <w:rPr>
          <w:rFonts w:ascii="Calibri" w:hAnsi="Calibri"/>
        </w:rPr>
        <w:t>:1000–25. https://doi.org/10.1177/0269216314526272.</w:t>
      </w:r>
    </w:p>
    <w:p w14:paraId="75B37C7B" w14:textId="77777777" w:rsidR="008C4C05" w:rsidRPr="008C4C05" w:rsidRDefault="008C4C05" w:rsidP="008C4C05">
      <w:pPr>
        <w:pStyle w:val="Bibliography"/>
        <w:rPr>
          <w:rFonts w:ascii="Calibri" w:hAnsi="Calibri"/>
        </w:rPr>
      </w:pPr>
      <w:r w:rsidRPr="008C4C05">
        <w:rPr>
          <w:rFonts w:ascii="Calibri" w:hAnsi="Calibri"/>
        </w:rPr>
        <w:t>20</w:t>
      </w:r>
      <w:r w:rsidRPr="008C4C05">
        <w:rPr>
          <w:rFonts w:ascii="Calibri" w:hAnsi="Calibri"/>
        </w:rPr>
        <w:tab/>
        <w:t xml:space="preserve">Wright AA, Zhang B, Ray A, Mack JW, Trice E, </w:t>
      </w:r>
      <w:proofErr w:type="spellStart"/>
      <w:r w:rsidRPr="008C4C05">
        <w:rPr>
          <w:rFonts w:ascii="Calibri" w:hAnsi="Calibri"/>
        </w:rPr>
        <w:t>Balboni</w:t>
      </w:r>
      <w:proofErr w:type="spellEnd"/>
      <w:r w:rsidRPr="008C4C05">
        <w:rPr>
          <w:rFonts w:ascii="Calibri" w:hAnsi="Calibri"/>
        </w:rPr>
        <w:t xml:space="preserve"> T, </w:t>
      </w:r>
      <w:r w:rsidRPr="008C4C05">
        <w:rPr>
          <w:rFonts w:ascii="Calibri" w:hAnsi="Calibri"/>
          <w:i/>
          <w:iCs/>
        </w:rPr>
        <w:t>et al.</w:t>
      </w:r>
      <w:r w:rsidRPr="008C4C05">
        <w:rPr>
          <w:rFonts w:ascii="Calibri" w:hAnsi="Calibri"/>
        </w:rPr>
        <w:t xml:space="preserve"> Associations between end-of-life discussions, patient mental health, medical care near death, and caregiver bereavement adjustment. </w:t>
      </w:r>
      <w:r w:rsidRPr="008C4C05">
        <w:rPr>
          <w:rFonts w:ascii="Calibri" w:hAnsi="Calibri"/>
          <w:i/>
          <w:iCs/>
        </w:rPr>
        <w:t>JAMA</w:t>
      </w:r>
      <w:r w:rsidRPr="008C4C05">
        <w:rPr>
          <w:rFonts w:ascii="Calibri" w:hAnsi="Calibri"/>
        </w:rPr>
        <w:t xml:space="preserve"> 2008;</w:t>
      </w:r>
      <w:r w:rsidRPr="008C4C05">
        <w:rPr>
          <w:rFonts w:ascii="Calibri" w:hAnsi="Calibri"/>
          <w:b/>
          <w:bCs/>
        </w:rPr>
        <w:t>300</w:t>
      </w:r>
      <w:r w:rsidRPr="008C4C05">
        <w:rPr>
          <w:rFonts w:ascii="Calibri" w:hAnsi="Calibri"/>
        </w:rPr>
        <w:t>:1665–73. https://doi.org/10.1001/jama.300.14.1665.</w:t>
      </w:r>
    </w:p>
    <w:p w14:paraId="01BB6C6E" w14:textId="77777777" w:rsidR="008C4C05" w:rsidRPr="008C4C05" w:rsidRDefault="008C4C05" w:rsidP="008C4C05">
      <w:pPr>
        <w:pStyle w:val="Bibliography"/>
        <w:rPr>
          <w:rFonts w:ascii="Calibri" w:hAnsi="Calibri"/>
        </w:rPr>
      </w:pPr>
      <w:r w:rsidRPr="008C4C05">
        <w:rPr>
          <w:rFonts w:ascii="Calibri" w:hAnsi="Calibri"/>
        </w:rPr>
        <w:lastRenderedPageBreak/>
        <w:t>21</w:t>
      </w:r>
      <w:r w:rsidRPr="008C4C05">
        <w:rPr>
          <w:rFonts w:ascii="Calibri" w:hAnsi="Calibri"/>
        </w:rPr>
        <w:tab/>
        <w:t xml:space="preserve">Zhang B, Wright AA, </w:t>
      </w:r>
      <w:proofErr w:type="spellStart"/>
      <w:r w:rsidRPr="008C4C05">
        <w:rPr>
          <w:rFonts w:ascii="Calibri" w:hAnsi="Calibri"/>
        </w:rPr>
        <w:t>Huskamp</w:t>
      </w:r>
      <w:proofErr w:type="spellEnd"/>
      <w:r w:rsidRPr="008C4C05">
        <w:rPr>
          <w:rFonts w:ascii="Calibri" w:hAnsi="Calibri"/>
        </w:rPr>
        <w:t xml:space="preserve"> HA, Nilsson ME, </w:t>
      </w:r>
      <w:proofErr w:type="spellStart"/>
      <w:r w:rsidRPr="008C4C05">
        <w:rPr>
          <w:rFonts w:ascii="Calibri" w:hAnsi="Calibri"/>
        </w:rPr>
        <w:t>Maciejewski</w:t>
      </w:r>
      <w:proofErr w:type="spellEnd"/>
      <w:r w:rsidRPr="008C4C05">
        <w:rPr>
          <w:rFonts w:ascii="Calibri" w:hAnsi="Calibri"/>
        </w:rPr>
        <w:t xml:space="preserve"> ML, Earle CC, </w:t>
      </w:r>
      <w:r w:rsidRPr="008C4C05">
        <w:rPr>
          <w:rFonts w:ascii="Calibri" w:hAnsi="Calibri"/>
          <w:i/>
          <w:iCs/>
        </w:rPr>
        <w:t>et al.</w:t>
      </w:r>
      <w:r w:rsidRPr="008C4C05">
        <w:rPr>
          <w:rFonts w:ascii="Calibri" w:hAnsi="Calibri"/>
        </w:rPr>
        <w:t xml:space="preserve"> Health care costs in the last week of life: associations with end-of-life conversations. </w:t>
      </w:r>
      <w:r w:rsidRPr="008C4C05">
        <w:rPr>
          <w:rFonts w:ascii="Calibri" w:hAnsi="Calibri"/>
          <w:i/>
          <w:iCs/>
        </w:rPr>
        <w:t>Arch Intern Med</w:t>
      </w:r>
      <w:r w:rsidRPr="008C4C05">
        <w:rPr>
          <w:rFonts w:ascii="Calibri" w:hAnsi="Calibri"/>
        </w:rPr>
        <w:t xml:space="preserve"> 2009;</w:t>
      </w:r>
      <w:r w:rsidRPr="008C4C05">
        <w:rPr>
          <w:rFonts w:ascii="Calibri" w:hAnsi="Calibri"/>
          <w:b/>
          <w:bCs/>
        </w:rPr>
        <w:t>169</w:t>
      </w:r>
      <w:r w:rsidRPr="008C4C05">
        <w:rPr>
          <w:rFonts w:ascii="Calibri" w:hAnsi="Calibri"/>
        </w:rPr>
        <w:t>:480–8. https://doi.org/10.1001/archinternmed.2008.587.</w:t>
      </w:r>
    </w:p>
    <w:p w14:paraId="0E3B6140" w14:textId="77777777" w:rsidR="008C4C05" w:rsidRPr="008C4C05" w:rsidRDefault="008C4C05" w:rsidP="008C4C05">
      <w:pPr>
        <w:pStyle w:val="Bibliography"/>
        <w:rPr>
          <w:rFonts w:ascii="Calibri" w:hAnsi="Calibri"/>
        </w:rPr>
      </w:pPr>
      <w:r w:rsidRPr="008C4C05">
        <w:rPr>
          <w:rFonts w:ascii="Calibri" w:hAnsi="Calibri"/>
        </w:rPr>
        <w:t>22</w:t>
      </w:r>
      <w:r w:rsidRPr="008C4C05">
        <w:rPr>
          <w:rFonts w:ascii="Calibri" w:hAnsi="Calibri"/>
        </w:rPr>
        <w:tab/>
        <w:t xml:space="preserve">Cox K, Moghaddam N, </w:t>
      </w:r>
      <w:proofErr w:type="spellStart"/>
      <w:r w:rsidRPr="008C4C05">
        <w:rPr>
          <w:rFonts w:ascii="Calibri" w:hAnsi="Calibri"/>
        </w:rPr>
        <w:t>Almack</w:t>
      </w:r>
      <w:proofErr w:type="spellEnd"/>
      <w:r w:rsidRPr="008C4C05">
        <w:rPr>
          <w:rFonts w:ascii="Calibri" w:hAnsi="Calibri"/>
        </w:rPr>
        <w:t xml:space="preserve"> K, Pollock K, Seymour J. Is it recorded in the notes? Documentation of end-of-life care and preferred place to die discussions in the final weeks of life. </w:t>
      </w:r>
      <w:r w:rsidRPr="008C4C05">
        <w:rPr>
          <w:rFonts w:ascii="Calibri" w:hAnsi="Calibri"/>
          <w:i/>
          <w:iCs/>
        </w:rPr>
        <w:t xml:space="preserve">BMC </w:t>
      </w:r>
      <w:proofErr w:type="spellStart"/>
      <w:r w:rsidRPr="008C4C05">
        <w:rPr>
          <w:rFonts w:ascii="Calibri" w:hAnsi="Calibri"/>
          <w:i/>
          <w:iCs/>
        </w:rPr>
        <w:t>Palliat</w:t>
      </w:r>
      <w:proofErr w:type="spellEnd"/>
      <w:r w:rsidRPr="008C4C05">
        <w:rPr>
          <w:rFonts w:ascii="Calibri" w:hAnsi="Calibri"/>
          <w:i/>
          <w:iCs/>
        </w:rPr>
        <w:t xml:space="preserve"> Care</w:t>
      </w:r>
      <w:r w:rsidRPr="008C4C05">
        <w:rPr>
          <w:rFonts w:ascii="Calibri" w:hAnsi="Calibri"/>
        </w:rPr>
        <w:t xml:space="preserve"> 2011;</w:t>
      </w:r>
      <w:r w:rsidRPr="008C4C05">
        <w:rPr>
          <w:rFonts w:ascii="Calibri" w:hAnsi="Calibri"/>
          <w:b/>
          <w:bCs/>
        </w:rPr>
        <w:t>10</w:t>
      </w:r>
      <w:r w:rsidRPr="008C4C05">
        <w:rPr>
          <w:rFonts w:ascii="Calibri" w:hAnsi="Calibri"/>
        </w:rPr>
        <w:t>:1–9. https://doi.org/10.1186/1472-684X-10-18.</w:t>
      </w:r>
    </w:p>
    <w:p w14:paraId="170E8AF4" w14:textId="77777777" w:rsidR="008C4C05" w:rsidRPr="008C4C05" w:rsidRDefault="008C4C05" w:rsidP="008C4C05">
      <w:pPr>
        <w:pStyle w:val="Bibliography"/>
        <w:rPr>
          <w:rFonts w:ascii="Calibri" w:hAnsi="Calibri"/>
        </w:rPr>
      </w:pPr>
      <w:r w:rsidRPr="008C4C05">
        <w:rPr>
          <w:rFonts w:ascii="Calibri" w:hAnsi="Calibri"/>
        </w:rPr>
        <w:t>23</w:t>
      </w:r>
      <w:r w:rsidRPr="008C4C05">
        <w:rPr>
          <w:rFonts w:ascii="Calibri" w:hAnsi="Calibri"/>
        </w:rPr>
        <w:tab/>
        <w:t xml:space="preserve">Clayton JM, Hancock KM, </w:t>
      </w:r>
      <w:proofErr w:type="spellStart"/>
      <w:r w:rsidRPr="008C4C05">
        <w:rPr>
          <w:rFonts w:ascii="Calibri" w:hAnsi="Calibri"/>
        </w:rPr>
        <w:t>Butow</w:t>
      </w:r>
      <w:proofErr w:type="spellEnd"/>
      <w:r w:rsidRPr="008C4C05">
        <w:rPr>
          <w:rFonts w:ascii="Calibri" w:hAnsi="Calibri"/>
        </w:rPr>
        <w:t xml:space="preserve"> PN, Tattersall MHN, </w:t>
      </w:r>
      <w:proofErr w:type="spellStart"/>
      <w:r w:rsidRPr="008C4C05">
        <w:rPr>
          <w:rFonts w:ascii="Calibri" w:hAnsi="Calibri"/>
        </w:rPr>
        <w:t>Currow</w:t>
      </w:r>
      <w:proofErr w:type="spellEnd"/>
      <w:r w:rsidRPr="008C4C05">
        <w:rPr>
          <w:rFonts w:ascii="Calibri" w:hAnsi="Calibri"/>
        </w:rPr>
        <w:t xml:space="preserve"> DC. Clinical practice guidelines for communicating prognosis and end-of-life issues with adults in the advanced stages of a life-limiting illness, and their caregivers. </w:t>
      </w:r>
      <w:r w:rsidRPr="008C4C05">
        <w:rPr>
          <w:rFonts w:ascii="Calibri" w:hAnsi="Calibri"/>
          <w:i/>
          <w:iCs/>
        </w:rPr>
        <w:t>The Medical Journal of Australia</w:t>
      </w:r>
      <w:r w:rsidRPr="008C4C05">
        <w:rPr>
          <w:rFonts w:ascii="Calibri" w:hAnsi="Calibri"/>
        </w:rPr>
        <w:t xml:space="preserve"> 2007;</w:t>
      </w:r>
      <w:r w:rsidRPr="008C4C05">
        <w:rPr>
          <w:rFonts w:ascii="Calibri" w:hAnsi="Calibri"/>
          <w:b/>
          <w:bCs/>
        </w:rPr>
        <w:t>186</w:t>
      </w:r>
      <w:r w:rsidRPr="008C4C05">
        <w:rPr>
          <w:rFonts w:ascii="Calibri" w:hAnsi="Calibri"/>
        </w:rPr>
        <w:t>:S77. https://doi.org/10.5694/j.1326-5377.2007.tb01100.x.</w:t>
      </w:r>
    </w:p>
    <w:p w14:paraId="23F56DB0" w14:textId="77777777" w:rsidR="008C4C05" w:rsidRPr="00D74EFC" w:rsidRDefault="008C4C05" w:rsidP="008C4C05">
      <w:pPr>
        <w:pStyle w:val="Bibliography"/>
        <w:rPr>
          <w:rFonts w:ascii="Calibri" w:hAnsi="Calibri"/>
          <w:lang w:val="it-IT"/>
        </w:rPr>
      </w:pPr>
      <w:r w:rsidRPr="008C4C05">
        <w:rPr>
          <w:rFonts w:ascii="Calibri" w:hAnsi="Calibri"/>
        </w:rPr>
        <w:t>24</w:t>
      </w:r>
      <w:r w:rsidRPr="008C4C05">
        <w:rPr>
          <w:rFonts w:ascii="Calibri" w:hAnsi="Calibri"/>
        </w:rPr>
        <w:tab/>
        <w:t xml:space="preserve">Brinkman S, </w:t>
      </w:r>
      <w:proofErr w:type="spellStart"/>
      <w:r w:rsidRPr="008C4C05">
        <w:rPr>
          <w:rFonts w:ascii="Calibri" w:hAnsi="Calibri"/>
        </w:rPr>
        <w:t>Ja</w:t>
      </w:r>
      <w:proofErr w:type="spellEnd"/>
      <w:r w:rsidRPr="008C4C05">
        <w:rPr>
          <w:rFonts w:ascii="Calibri" w:hAnsi="Calibri"/>
        </w:rPr>
        <w:t xml:space="preserve"> R, A  van der H. The effects of advance care planning on end-of-life care: a systematic review. </w:t>
      </w:r>
      <w:r w:rsidRPr="00D74EFC">
        <w:rPr>
          <w:rFonts w:ascii="Calibri" w:hAnsi="Calibri"/>
          <w:i/>
          <w:iCs/>
          <w:lang w:val="it-IT"/>
        </w:rPr>
        <w:t>Palliative Medicine</w:t>
      </w:r>
      <w:r w:rsidRPr="00D74EFC">
        <w:rPr>
          <w:rFonts w:ascii="Calibri" w:hAnsi="Calibri"/>
          <w:lang w:val="it-IT"/>
        </w:rPr>
        <w:t xml:space="preserve"> 2014;</w:t>
      </w:r>
      <w:r w:rsidRPr="00D74EFC">
        <w:rPr>
          <w:rFonts w:ascii="Calibri" w:hAnsi="Calibri"/>
          <w:b/>
          <w:bCs/>
          <w:lang w:val="it-IT"/>
        </w:rPr>
        <w:t>28</w:t>
      </w:r>
      <w:r w:rsidRPr="00D74EFC">
        <w:rPr>
          <w:rFonts w:ascii="Calibri" w:hAnsi="Calibri"/>
          <w:lang w:val="it-IT"/>
        </w:rPr>
        <w:t>:. https://doi.org/10.1177/0269216314526272.</w:t>
      </w:r>
    </w:p>
    <w:p w14:paraId="197DB183" w14:textId="77777777" w:rsidR="008C4C05" w:rsidRPr="008C4C05" w:rsidRDefault="008C4C05" w:rsidP="008C4C05">
      <w:pPr>
        <w:pStyle w:val="Bibliography"/>
        <w:rPr>
          <w:rFonts w:ascii="Calibri" w:hAnsi="Calibri"/>
        </w:rPr>
      </w:pPr>
      <w:r w:rsidRPr="00D74EFC">
        <w:rPr>
          <w:rFonts w:ascii="Calibri" w:hAnsi="Calibri"/>
          <w:lang w:val="it-IT"/>
        </w:rPr>
        <w:t>25</w:t>
      </w:r>
      <w:r w:rsidRPr="00D74EFC">
        <w:rPr>
          <w:rFonts w:ascii="Calibri" w:hAnsi="Calibri"/>
          <w:lang w:val="it-IT"/>
        </w:rPr>
        <w:tab/>
      </w:r>
      <w:proofErr w:type="spellStart"/>
      <w:r w:rsidRPr="00D74EFC">
        <w:rPr>
          <w:rFonts w:ascii="Calibri" w:hAnsi="Calibri"/>
          <w:lang w:val="it-IT"/>
        </w:rPr>
        <w:t>Calanzani</w:t>
      </w:r>
      <w:proofErr w:type="spellEnd"/>
      <w:r w:rsidRPr="00D74EFC">
        <w:rPr>
          <w:rFonts w:ascii="Calibri" w:hAnsi="Calibri"/>
          <w:lang w:val="it-IT"/>
        </w:rPr>
        <w:t xml:space="preserve"> N, </w:t>
      </w:r>
      <w:proofErr w:type="spellStart"/>
      <w:r w:rsidRPr="00D74EFC">
        <w:rPr>
          <w:rFonts w:ascii="Calibri" w:hAnsi="Calibri"/>
          <w:lang w:val="it-IT"/>
        </w:rPr>
        <w:t>Koffman</w:t>
      </w:r>
      <w:proofErr w:type="spellEnd"/>
      <w:r w:rsidRPr="00D74EFC">
        <w:rPr>
          <w:rFonts w:ascii="Calibri" w:hAnsi="Calibri"/>
          <w:lang w:val="it-IT"/>
        </w:rPr>
        <w:t xml:space="preserve"> DJ, Higginson IJ. </w:t>
      </w:r>
      <w:r w:rsidRPr="008C4C05">
        <w:rPr>
          <w:rFonts w:ascii="Calibri" w:hAnsi="Calibri"/>
          <w:i/>
          <w:iCs/>
        </w:rPr>
        <w:t>Palliative and end of life for Black, Asian and Minority Ethnic groups in the UK</w:t>
      </w:r>
      <w:r w:rsidRPr="008C4C05">
        <w:rPr>
          <w:rFonts w:ascii="Calibri" w:hAnsi="Calibri"/>
        </w:rPr>
        <w:t>. King’s College London, Cicely Saunders Institute; 2013.</w:t>
      </w:r>
    </w:p>
    <w:p w14:paraId="060FA764" w14:textId="77777777" w:rsidR="008C4C05" w:rsidRPr="008C4C05" w:rsidRDefault="008C4C05" w:rsidP="008C4C05">
      <w:pPr>
        <w:pStyle w:val="Bibliography"/>
        <w:rPr>
          <w:rFonts w:ascii="Calibri" w:hAnsi="Calibri"/>
        </w:rPr>
      </w:pPr>
      <w:r w:rsidRPr="008C4C05">
        <w:rPr>
          <w:rFonts w:ascii="Calibri" w:hAnsi="Calibri"/>
        </w:rPr>
        <w:t>26</w:t>
      </w:r>
      <w:r w:rsidRPr="008C4C05">
        <w:rPr>
          <w:rFonts w:ascii="Calibri" w:hAnsi="Calibri"/>
        </w:rPr>
        <w:tab/>
        <w:t xml:space="preserve">Evans N, </w:t>
      </w:r>
      <w:proofErr w:type="spellStart"/>
      <w:r w:rsidRPr="008C4C05">
        <w:rPr>
          <w:rFonts w:ascii="Calibri" w:hAnsi="Calibri"/>
        </w:rPr>
        <w:t>Meñaca</w:t>
      </w:r>
      <w:proofErr w:type="spellEnd"/>
      <w:r w:rsidRPr="008C4C05">
        <w:rPr>
          <w:rFonts w:ascii="Calibri" w:hAnsi="Calibri"/>
        </w:rPr>
        <w:t xml:space="preserve"> A, Andrew EV, </w:t>
      </w:r>
      <w:proofErr w:type="spellStart"/>
      <w:r w:rsidRPr="008C4C05">
        <w:rPr>
          <w:rFonts w:ascii="Calibri" w:hAnsi="Calibri"/>
        </w:rPr>
        <w:t>Koffman</w:t>
      </w:r>
      <w:proofErr w:type="spellEnd"/>
      <w:r w:rsidRPr="008C4C05">
        <w:rPr>
          <w:rFonts w:ascii="Calibri" w:hAnsi="Calibri"/>
        </w:rPr>
        <w:t xml:space="preserve"> J, Harding R, Higginson IJ, </w:t>
      </w:r>
      <w:r w:rsidRPr="008C4C05">
        <w:rPr>
          <w:rFonts w:ascii="Calibri" w:hAnsi="Calibri"/>
          <w:i/>
          <w:iCs/>
        </w:rPr>
        <w:t>et al.</w:t>
      </w:r>
      <w:r w:rsidRPr="008C4C05">
        <w:rPr>
          <w:rFonts w:ascii="Calibri" w:hAnsi="Calibri"/>
        </w:rPr>
        <w:t xml:space="preserve"> Appraisal of literature reviews on end-of-life care for minority ethnic groups in the UK and a critical comparison with policy recommendations from the UK end-of-life care strategy. </w:t>
      </w:r>
      <w:r w:rsidRPr="008C4C05">
        <w:rPr>
          <w:rFonts w:ascii="Calibri" w:hAnsi="Calibri"/>
          <w:i/>
          <w:iCs/>
        </w:rPr>
        <w:t xml:space="preserve">BMC Health </w:t>
      </w:r>
      <w:proofErr w:type="spellStart"/>
      <w:r w:rsidRPr="008C4C05">
        <w:rPr>
          <w:rFonts w:ascii="Calibri" w:hAnsi="Calibri"/>
          <w:i/>
          <w:iCs/>
        </w:rPr>
        <w:t>Serv</w:t>
      </w:r>
      <w:proofErr w:type="spellEnd"/>
      <w:r w:rsidRPr="008C4C05">
        <w:rPr>
          <w:rFonts w:ascii="Calibri" w:hAnsi="Calibri"/>
          <w:i/>
          <w:iCs/>
        </w:rPr>
        <w:t xml:space="preserve"> Res</w:t>
      </w:r>
      <w:r w:rsidRPr="008C4C05">
        <w:rPr>
          <w:rFonts w:ascii="Calibri" w:hAnsi="Calibri"/>
        </w:rPr>
        <w:t xml:space="preserve"> 2011;</w:t>
      </w:r>
      <w:r w:rsidRPr="008C4C05">
        <w:rPr>
          <w:rFonts w:ascii="Calibri" w:hAnsi="Calibri"/>
          <w:b/>
          <w:bCs/>
        </w:rPr>
        <w:t>11</w:t>
      </w:r>
      <w:r w:rsidRPr="008C4C05">
        <w:rPr>
          <w:rFonts w:ascii="Calibri" w:hAnsi="Calibri"/>
        </w:rPr>
        <w:t>:141. https://doi.org/10.1186/1472-6963-11-141.</w:t>
      </w:r>
    </w:p>
    <w:p w14:paraId="21954EAB" w14:textId="77777777" w:rsidR="008C4C05" w:rsidRPr="008C4C05" w:rsidRDefault="008C4C05" w:rsidP="008C4C05">
      <w:pPr>
        <w:pStyle w:val="Bibliography"/>
        <w:rPr>
          <w:rFonts w:ascii="Calibri" w:hAnsi="Calibri"/>
        </w:rPr>
      </w:pPr>
      <w:r w:rsidRPr="008C4C05">
        <w:rPr>
          <w:rFonts w:ascii="Calibri" w:hAnsi="Calibri"/>
        </w:rPr>
        <w:t>27</w:t>
      </w:r>
      <w:r w:rsidRPr="008C4C05">
        <w:rPr>
          <w:rFonts w:ascii="Calibri" w:hAnsi="Calibri"/>
        </w:rPr>
        <w:tab/>
        <w:t xml:space="preserve">Ramey SJ, Chin SH. Disparity in Hospice Utilization by African American Patients With Cancer. </w:t>
      </w:r>
      <w:r w:rsidRPr="008C4C05">
        <w:rPr>
          <w:rFonts w:ascii="Calibri" w:hAnsi="Calibri"/>
          <w:i/>
          <w:iCs/>
        </w:rPr>
        <w:t xml:space="preserve">Am J Hosp </w:t>
      </w:r>
      <w:proofErr w:type="spellStart"/>
      <w:r w:rsidRPr="008C4C05">
        <w:rPr>
          <w:rFonts w:ascii="Calibri" w:hAnsi="Calibri"/>
          <w:i/>
          <w:iCs/>
        </w:rPr>
        <w:t>Palliat</w:t>
      </w:r>
      <w:proofErr w:type="spellEnd"/>
      <w:r w:rsidRPr="008C4C05">
        <w:rPr>
          <w:rFonts w:ascii="Calibri" w:hAnsi="Calibri"/>
          <w:i/>
          <w:iCs/>
        </w:rPr>
        <w:t xml:space="preserve"> Care</w:t>
      </w:r>
      <w:r w:rsidRPr="008C4C05">
        <w:rPr>
          <w:rFonts w:ascii="Calibri" w:hAnsi="Calibri"/>
        </w:rPr>
        <w:t xml:space="preserve"> 2012;</w:t>
      </w:r>
      <w:r w:rsidRPr="008C4C05">
        <w:rPr>
          <w:rFonts w:ascii="Calibri" w:hAnsi="Calibri"/>
          <w:b/>
          <w:bCs/>
        </w:rPr>
        <w:t>29</w:t>
      </w:r>
      <w:r w:rsidRPr="008C4C05">
        <w:rPr>
          <w:rFonts w:ascii="Calibri" w:hAnsi="Calibri"/>
        </w:rPr>
        <w:t>:346–54. https://doi.org/10.1177/1049909111423804.</w:t>
      </w:r>
    </w:p>
    <w:p w14:paraId="77F7B775" w14:textId="77777777" w:rsidR="008C4C05" w:rsidRPr="008C4C05" w:rsidRDefault="008C4C05" w:rsidP="008C4C05">
      <w:pPr>
        <w:pStyle w:val="Bibliography"/>
        <w:rPr>
          <w:rFonts w:ascii="Calibri" w:hAnsi="Calibri"/>
        </w:rPr>
      </w:pPr>
      <w:r w:rsidRPr="008C4C05">
        <w:rPr>
          <w:rFonts w:ascii="Calibri" w:hAnsi="Calibri"/>
        </w:rPr>
        <w:t>28</w:t>
      </w:r>
      <w:r w:rsidRPr="008C4C05">
        <w:rPr>
          <w:rFonts w:ascii="Calibri" w:hAnsi="Calibri"/>
        </w:rPr>
        <w:tab/>
        <w:t xml:space="preserve">World Health Organization,. </w:t>
      </w:r>
      <w:r w:rsidRPr="008C4C05">
        <w:rPr>
          <w:rFonts w:ascii="Calibri" w:hAnsi="Calibri"/>
          <w:i/>
          <w:iCs/>
        </w:rPr>
        <w:t>Palliative Care</w:t>
      </w:r>
      <w:r w:rsidRPr="008C4C05">
        <w:rPr>
          <w:rFonts w:ascii="Calibri" w:hAnsi="Calibri"/>
        </w:rPr>
        <w:t>. 2021. URL: https://www.who.int/news-room/fact-sheets/detail/palliative-care (Accessed 10 July 2021).</w:t>
      </w:r>
    </w:p>
    <w:p w14:paraId="7545EC53" w14:textId="77777777" w:rsidR="008C4C05" w:rsidRPr="008C4C05" w:rsidRDefault="008C4C05" w:rsidP="008C4C05">
      <w:pPr>
        <w:pStyle w:val="Bibliography"/>
        <w:rPr>
          <w:rFonts w:ascii="Calibri" w:hAnsi="Calibri"/>
        </w:rPr>
      </w:pPr>
      <w:r w:rsidRPr="008C4C05">
        <w:rPr>
          <w:rFonts w:ascii="Calibri" w:hAnsi="Calibri"/>
        </w:rPr>
        <w:t>29</w:t>
      </w:r>
      <w:r w:rsidRPr="008C4C05">
        <w:rPr>
          <w:rFonts w:ascii="Calibri" w:hAnsi="Calibri"/>
        </w:rPr>
        <w:tab/>
        <w:t xml:space="preserve">Lum HD, </w:t>
      </w:r>
      <w:proofErr w:type="spellStart"/>
      <w:r w:rsidRPr="008C4C05">
        <w:rPr>
          <w:rFonts w:ascii="Calibri" w:hAnsi="Calibri"/>
        </w:rPr>
        <w:t>Sudore</w:t>
      </w:r>
      <w:proofErr w:type="spellEnd"/>
      <w:r w:rsidRPr="008C4C05">
        <w:rPr>
          <w:rFonts w:ascii="Calibri" w:hAnsi="Calibri"/>
        </w:rPr>
        <w:t xml:space="preserve"> RL, </w:t>
      </w:r>
      <w:proofErr w:type="spellStart"/>
      <w:r w:rsidRPr="008C4C05">
        <w:rPr>
          <w:rFonts w:ascii="Calibri" w:hAnsi="Calibri"/>
        </w:rPr>
        <w:t>Bekelman</w:t>
      </w:r>
      <w:proofErr w:type="spellEnd"/>
      <w:r w:rsidRPr="008C4C05">
        <w:rPr>
          <w:rFonts w:ascii="Calibri" w:hAnsi="Calibri"/>
        </w:rPr>
        <w:t xml:space="preserve"> DB. Advance Care Planning in the Elderly. </w:t>
      </w:r>
      <w:r w:rsidRPr="008C4C05">
        <w:rPr>
          <w:rFonts w:ascii="Calibri" w:hAnsi="Calibri"/>
          <w:i/>
          <w:iCs/>
        </w:rPr>
        <w:t>Medical Clinics</w:t>
      </w:r>
      <w:r w:rsidRPr="008C4C05">
        <w:rPr>
          <w:rFonts w:ascii="Calibri" w:hAnsi="Calibri"/>
        </w:rPr>
        <w:t xml:space="preserve"> 2015;</w:t>
      </w:r>
      <w:r w:rsidRPr="008C4C05">
        <w:rPr>
          <w:rFonts w:ascii="Calibri" w:hAnsi="Calibri"/>
          <w:b/>
          <w:bCs/>
        </w:rPr>
        <w:t>99</w:t>
      </w:r>
      <w:r w:rsidRPr="008C4C05">
        <w:rPr>
          <w:rFonts w:ascii="Calibri" w:hAnsi="Calibri"/>
        </w:rPr>
        <w:t>:391–403. https://doi.org/10.1016/j.mcna.2014.11.010.</w:t>
      </w:r>
    </w:p>
    <w:p w14:paraId="168830DA" w14:textId="77777777" w:rsidR="008C4C05" w:rsidRPr="008C4C05" w:rsidRDefault="008C4C05" w:rsidP="008C4C05">
      <w:pPr>
        <w:pStyle w:val="Bibliography"/>
        <w:rPr>
          <w:rFonts w:ascii="Calibri" w:hAnsi="Calibri"/>
        </w:rPr>
      </w:pPr>
      <w:r w:rsidRPr="008C4C05">
        <w:rPr>
          <w:rFonts w:ascii="Calibri" w:hAnsi="Calibri"/>
        </w:rPr>
        <w:t>30</w:t>
      </w:r>
      <w:r w:rsidRPr="008C4C05">
        <w:rPr>
          <w:rFonts w:ascii="Calibri" w:hAnsi="Calibri"/>
        </w:rPr>
        <w:tab/>
        <w:t xml:space="preserve">British Medical Association RC (UK) Royal College of Nursing. </w:t>
      </w:r>
      <w:r w:rsidRPr="008C4C05">
        <w:rPr>
          <w:rFonts w:ascii="Calibri" w:hAnsi="Calibri"/>
          <w:i/>
          <w:iCs/>
        </w:rPr>
        <w:t>Decisions relating to cardiopulmonary resuscitation (3rd edition - 1st revision)</w:t>
      </w:r>
      <w:r w:rsidRPr="008C4C05">
        <w:rPr>
          <w:rFonts w:ascii="Calibri" w:hAnsi="Calibri"/>
        </w:rPr>
        <w:t>. Resuscitation Council UK. 2016. URL: https://www.resus.org.uk/library/publications/publication-decisions-relating-cardiopulmonary (Accessed 11 February 2021).</w:t>
      </w:r>
    </w:p>
    <w:p w14:paraId="01C6E90D" w14:textId="77777777" w:rsidR="008C4C05" w:rsidRPr="008C4C05" w:rsidRDefault="008C4C05" w:rsidP="008C4C05">
      <w:pPr>
        <w:pStyle w:val="Bibliography"/>
        <w:rPr>
          <w:rFonts w:ascii="Calibri" w:hAnsi="Calibri"/>
        </w:rPr>
      </w:pPr>
      <w:r w:rsidRPr="008C4C05">
        <w:rPr>
          <w:rFonts w:ascii="Calibri" w:hAnsi="Calibri"/>
        </w:rPr>
        <w:t>31</w:t>
      </w:r>
      <w:r w:rsidRPr="008C4C05">
        <w:rPr>
          <w:rFonts w:ascii="Calibri" w:hAnsi="Calibri"/>
        </w:rPr>
        <w:tab/>
        <w:t xml:space="preserve">Brazil K, Carter G, Cardwell C, Clarke M, Hudson P, Froggatt K, </w:t>
      </w:r>
      <w:r w:rsidRPr="008C4C05">
        <w:rPr>
          <w:rFonts w:ascii="Calibri" w:hAnsi="Calibri"/>
          <w:i/>
          <w:iCs/>
        </w:rPr>
        <w:t>et al.</w:t>
      </w:r>
      <w:r w:rsidRPr="008C4C05">
        <w:rPr>
          <w:rFonts w:ascii="Calibri" w:hAnsi="Calibri"/>
        </w:rPr>
        <w:t xml:space="preserve"> Effectiveness of advance care planning with family carers in dementia nursing homes: A paired cluster randomized controlled trial: </w:t>
      </w:r>
      <w:r w:rsidRPr="008C4C05">
        <w:rPr>
          <w:rFonts w:ascii="Calibri" w:hAnsi="Calibri"/>
          <w:i/>
          <w:iCs/>
        </w:rPr>
        <w:t>Palliative Medicine</w:t>
      </w:r>
      <w:r w:rsidRPr="008C4C05">
        <w:rPr>
          <w:rFonts w:ascii="Calibri" w:hAnsi="Calibri"/>
        </w:rPr>
        <w:t xml:space="preserve"> 2017. https://doi.org/10.1177/0269216317722413.</w:t>
      </w:r>
    </w:p>
    <w:p w14:paraId="46E740A2" w14:textId="77777777" w:rsidR="008C4C05" w:rsidRPr="008C4C05" w:rsidRDefault="008C4C05" w:rsidP="008C4C05">
      <w:pPr>
        <w:pStyle w:val="Bibliography"/>
        <w:rPr>
          <w:rFonts w:ascii="Calibri" w:hAnsi="Calibri"/>
        </w:rPr>
      </w:pPr>
      <w:r w:rsidRPr="008C4C05">
        <w:rPr>
          <w:rFonts w:ascii="Calibri" w:hAnsi="Calibri"/>
        </w:rPr>
        <w:t>32</w:t>
      </w:r>
      <w:r w:rsidRPr="008C4C05">
        <w:rPr>
          <w:rFonts w:ascii="Calibri" w:hAnsi="Calibri"/>
        </w:rPr>
        <w:tab/>
      </w:r>
      <w:proofErr w:type="spellStart"/>
      <w:r w:rsidRPr="008C4C05">
        <w:rPr>
          <w:rFonts w:ascii="Calibri" w:hAnsi="Calibri"/>
        </w:rPr>
        <w:t>Sudore</w:t>
      </w:r>
      <w:proofErr w:type="spellEnd"/>
      <w:r w:rsidRPr="008C4C05">
        <w:rPr>
          <w:rFonts w:ascii="Calibri" w:hAnsi="Calibri"/>
        </w:rPr>
        <w:t xml:space="preserve"> RL, Hillary D. Lum, John J. You, Laura C. Hanson, Diane E. Meier. Defining Advance Care Planning for Adults: A Consensus Definition From a Multidisciplinary Delphi Panel. </w:t>
      </w:r>
      <w:r w:rsidRPr="008C4C05">
        <w:rPr>
          <w:rFonts w:ascii="Calibri" w:hAnsi="Calibri"/>
          <w:i/>
          <w:iCs/>
        </w:rPr>
        <w:t>Journal of Pain and Symptom Management</w:t>
      </w:r>
      <w:r w:rsidRPr="008C4C05">
        <w:rPr>
          <w:rFonts w:ascii="Calibri" w:hAnsi="Calibri"/>
        </w:rPr>
        <w:t xml:space="preserve"> 2017;</w:t>
      </w:r>
      <w:r w:rsidRPr="008C4C05">
        <w:rPr>
          <w:rFonts w:ascii="Calibri" w:hAnsi="Calibri"/>
          <w:b/>
          <w:bCs/>
        </w:rPr>
        <w:t>53</w:t>
      </w:r>
      <w:r w:rsidRPr="008C4C05">
        <w:rPr>
          <w:rFonts w:ascii="Calibri" w:hAnsi="Calibri"/>
        </w:rPr>
        <w:t>:821-832.e1. https://doi.org/10.1016/j.jpainsymman.2016.12.331.</w:t>
      </w:r>
    </w:p>
    <w:p w14:paraId="30A76770" w14:textId="77777777" w:rsidR="008C4C05" w:rsidRPr="008C4C05" w:rsidRDefault="008C4C05" w:rsidP="008C4C05">
      <w:pPr>
        <w:pStyle w:val="Bibliography"/>
        <w:rPr>
          <w:rFonts w:ascii="Calibri" w:hAnsi="Calibri"/>
        </w:rPr>
      </w:pPr>
      <w:r w:rsidRPr="00D74EFC">
        <w:rPr>
          <w:rFonts w:ascii="Calibri" w:hAnsi="Calibri"/>
          <w:lang w:val="de-DE"/>
        </w:rPr>
        <w:t>33</w:t>
      </w:r>
      <w:r w:rsidRPr="00D74EFC">
        <w:rPr>
          <w:rFonts w:ascii="Calibri" w:hAnsi="Calibri"/>
          <w:lang w:val="de-DE"/>
        </w:rPr>
        <w:tab/>
        <w:t xml:space="preserve">Pitcher D, Fritz Z, Wang M, Spiller JA. </w:t>
      </w:r>
      <w:r w:rsidRPr="008C4C05">
        <w:rPr>
          <w:rFonts w:ascii="Calibri" w:hAnsi="Calibri"/>
        </w:rPr>
        <w:t xml:space="preserve">Emergency care and resuscitation plans. </w:t>
      </w:r>
      <w:r w:rsidRPr="008C4C05">
        <w:rPr>
          <w:rFonts w:ascii="Calibri" w:hAnsi="Calibri"/>
          <w:i/>
          <w:iCs/>
        </w:rPr>
        <w:t>BMJ</w:t>
      </w:r>
      <w:r w:rsidRPr="008C4C05">
        <w:rPr>
          <w:rFonts w:ascii="Calibri" w:hAnsi="Calibri"/>
        </w:rPr>
        <w:t xml:space="preserve"> 2017:j876. https://doi.org/10.1136/bmj.j876.</w:t>
      </w:r>
    </w:p>
    <w:p w14:paraId="21380357" w14:textId="77777777" w:rsidR="008C4C05" w:rsidRPr="008C4C05" w:rsidRDefault="008C4C05" w:rsidP="008C4C05">
      <w:pPr>
        <w:pStyle w:val="Bibliography"/>
        <w:rPr>
          <w:rFonts w:ascii="Calibri" w:hAnsi="Calibri"/>
        </w:rPr>
      </w:pPr>
      <w:r w:rsidRPr="008C4C05">
        <w:rPr>
          <w:rFonts w:ascii="Calibri" w:hAnsi="Calibri"/>
        </w:rPr>
        <w:t>34</w:t>
      </w:r>
      <w:r w:rsidRPr="008C4C05">
        <w:rPr>
          <w:rFonts w:ascii="Calibri" w:hAnsi="Calibri"/>
        </w:rPr>
        <w:tab/>
      </w:r>
      <w:proofErr w:type="spellStart"/>
      <w:r w:rsidRPr="008C4C05">
        <w:rPr>
          <w:rFonts w:ascii="Calibri" w:hAnsi="Calibri"/>
        </w:rPr>
        <w:t>Sayma</w:t>
      </w:r>
      <w:proofErr w:type="spellEnd"/>
      <w:r w:rsidRPr="008C4C05">
        <w:rPr>
          <w:rFonts w:ascii="Calibri" w:hAnsi="Calibri"/>
        </w:rPr>
        <w:t xml:space="preserve"> M, Nowell G, O’Connor A, Clark G, </w:t>
      </w:r>
      <w:proofErr w:type="spellStart"/>
      <w:r w:rsidRPr="008C4C05">
        <w:rPr>
          <w:rFonts w:ascii="Calibri" w:hAnsi="Calibri"/>
        </w:rPr>
        <w:t>Gaukroger</w:t>
      </w:r>
      <w:proofErr w:type="spellEnd"/>
      <w:r w:rsidRPr="008C4C05">
        <w:rPr>
          <w:rFonts w:ascii="Calibri" w:hAnsi="Calibri"/>
        </w:rPr>
        <w:t xml:space="preserve"> A, Proctor D, </w:t>
      </w:r>
      <w:r w:rsidRPr="008C4C05">
        <w:rPr>
          <w:rFonts w:ascii="Calibri" w:hAnsi="Calibri"/>
          <w:i/>
          <w:iCs/>
        </w:rPr>
        <w:t>et al.</w:t>
      </w:r>
      <w:r w:rsidRPr="008C4C05">
        <w:rPr>
          <w:rFonts w:ascii="Calibri" w:hAnsi="Calibri"/>
        </w:rPr>
        <w:t xml:space="preserve"> Improving the use of treatment escalation plans: a quality-improvement study. </w:t>
      </w:r>
      <w:r w:rsidRPr="008C4C05">
        <w:rPr>
          <w:rFonts w:ascii="Calibri" w:hAnsi="Calibri"/>
          <w:i/>
          <w:iCs/>
        </w:rPr>
        <w:t>Postgraduate Medical Journal</w:t>
      </w:r>
      <w:r w:rsidRPr="008C4C05">
        <w:rPr>
          <w:rFonts w:ascii="Calibri" w:hAnsi="Calibri"/>
        </w:rPr>
        <w:t xml:space="preserve"> 2018;</w:t>
      </w:r>
      <w:r w:rsidRPr="008C4C05">
        <w:rPr>
          <w:rFonts w:ascii="Calibri" w:hAnsi="Calibri"/>
          <w:b/>
          <w:bCs/>
        </w:rPr>
        <w:t>94</w:t>
      </w:r>
      <w:r w:rsidRPr="008C4C05">
        <w:rPr>
          <w:rFonts w:ascii="Calibri" w:hAnsi="Calibri"/>
        </w:rPr>
        <w:t>:404–10. https://doi.org/10.1136/postgradmedj-2018-135699.</w:t>
      </w:r>
    </w:p>
    <w:p w14:paraId="7CE4D74D" w14:textId="77777777" w:rsidR="008C4C05" w:rsidRPr="008C4C05" w:rsidRDefault="008C4C05" w:rsidP="008C4C05">
      <w:pPr>
        <w:pStyle w:val="Bibliography"/>
        <w:rPr>
          <w:rFonts w:ascii="Calibri" w:hAnsi="Calibri"/>
        </w:rPr>
      </w:pPr>
      <w:r w:rsidRPr="008C4C05">
        <w:rPr>
          <w:rFonts w:ascii="Calibri" w:hAnsi="Calibri"/>
        </w:rPr>
        <w:t>35</w:t>
      </w:r>
      <w:r w:rsidRPr="008C4C05">
        <w:rPr>
          <w:rFonts w:ascii="Calibri" w:hAnsi="Calibri"/>
        </w:rPr>
        <w:tab/>
        <w:t xml:space="preserve">National Council for Palliative Care. Planning for your future Care. </w:t>
      </w:r>
      <w:r w:rsidRPr="008C4C05">
        <w:rPr>
          <w:rFonts w:ascii="Calibri" w:hAnsi="Calibri"/>
          <w:i/>
          <w:iCs/>
        </w:rPr>
        <w:t>London, National Council for Palliative Care; 2009</w:t>
      </w:r>
      <w:r w:rsidRPr="008C4C05">
        <w:rPr>
          <w:rFonts w:ascii="Calibri" w:hAnsi="Calibri"/>
        </w:rPr>
        <w:t xml:space="preserve"> 2009.</w:t>
      </w:r>
    </w:p>
    <w:p w14:paraId="722495BD" w14:textId="77777777" w:rsidR="008C4C05" w:rsidRPr="008C4C05" w:rsidRDefault="008C4C05" w:rsidP="008C4C05">
      <w:pPr>
        <w:pStyle w:val="Bibliography"/>
        <w:rPr>
          <w:rFonts w:ascii="Calibri" w:hAnsi="Calibri"/>
        </w:rPr>
      </w:pPr>
      <w:r w:rsidRPr="008C4C05">
        <w:rPr>
          <w:rFonts w:ascii="Calibri" w:hAnsi="Calibri"/>
        </w:rPr>
        <w:t>36</w:t>
      </w:r>
      <w:r w:rsidRPr="008C4C05">
        <w:rPr>
          <w:rFonts w:ascii="Calibri" w:hAnsi="Calibri"/>
        </w:rPr>
        <w:tab/>
        <w:t xml:space="preserve">Singer PA, Douglas K. Martin, </w:t>
      </w:r>
      <w:proofErr w:type="spellStart"/>
      <w:r w:rsidRPr="008C4C05">
        <w:rPr>
          <w:rFonts w:ascii="Calibri" w:hAnsi="Calibri"/>
        </w:rPr>
        <w:t>Merrijoy</w:t>
      </w:r>
      <w:proofErr w:type="spellEnd"/>
      <w:r w:rsidRPr="008C4C05">
        <w:rPr>
          <w:rFonts w:ascii="Calibri" w:hAnsi="Calibri"/>
        </w:rPr>
        <w:t xml:space="preserve"> </w:t>
      </w:r>
      <w:proofErr w:type="spellStart"/>
      <w:r w:rsidRPr="008C4C05">
        <w:rPr>
          <w:rFonts w:ascii="Calibri" w:hAnsi="Calibri"/>
        </w:rPr>
        <w:t>Kelner</w:t>
      </w:r>
      <w:proofErr w:type="spellEnd"/>
      <w:r w:rsidRPr="008C4C05">
        <w:rPr>
          <w:rFonts w:ascii="Calibri" w:hAnsi="Calibri"/>
        </w:rPr>
        <w:t xml:space="preserve">,. </w:t>
      </w:r>
      <w:r w:rsidRPr="008C4C05">
        <w:rPr>
          <w:rFonts w:ascii="Calibri" w:hAnsi="Calibri"/>
          <w:i/>
          <w:iCs/>
        </w:rPr>
        <w:t>Quality End-of-Life Care: Patients’ Perspectives | End of Life | JAMA | JAMA Network</w:t>
      </w:r>
      <w:r w:rsidRPr="008C4C05">
        <w:rPr>
          <w:rFonts w:ascii="Calibri" w:hAnsi="Calibri"/>
        </w:rPr>
        <w:t>. 1999. URL: https://jamanetwork.com/journals/jama/article-abstract/188362 (Accessed 11 March 2021).</w:t>
      </w:r>
    </w:p>
    <w:p w14:paraId="00915BBD" w14:textId="77777777" w:rsidR="008C4C05" w:rsidRPr="008C4C05" w:rsidRDefault="008C4C05" w:rsidP="008C4C05">
      <w:pPr>
        <w:pStyle w:val="Bibliography"/>
        <w:rPr>
          <w:rFonts w:ascii="Calibri" w:hAnsi="Calibri"/>
        </w:rPr>
      </w:pPr>
      <w:r w:rsidRPr="008C4C05">
        <w:rPr>
          <w:rFonts w:ascii="Calibri" w:hAnsi="Calibri"/>
        </w:rPr>
        <w:t>37</w:t>
      </w:r>
      <w:r w:rsidRPr="008C4C05">
        <w:rPr>
          <w:rFonts w:ascii="Calibri" w:hAnsi="Calibri"/>
        </w:rPr>
        <w:tab/>
        <w:t xml:space="preserve">Henry C, Seymour J. Advance Care Planning: A Guide for Health and Social Care Staff. </w:t>
      </w:r>
      <w:r w:rsidRPr="008C4C05">
        <w:rPr>
          <w:rFonts w:ascii="Calibri" w:hAnsi="Calibri"/>
          <w:i/>
          <w:iCs/>
        </w:rPr>
        <w:t>End of Life Care Programme, Leicester</w:t>
      </w:r>
      <w:r w:rsidRPr="008C4C05">
        <w:rPr>
          <w:rFonts w:ascii="Calibri" w:hAnsi="Calibri"/>
        </w:rPr>
        <w:t xml:space="preserve"> 2008.</w:t>
      </w:r>
    </w:p>
    <w:p w14:paraId="637920AC" w14:textId="77777777" w:rsidR="008C4C05" w:rsidRPr="008C4C05" w:rsidRDefault="008C4C05" w:rsidP="008C4C05">
      <w:pPr>
        <w:pStyle w:val="Bibliography"/>
        <w:rPr>
          <w:rFonts w:ascii="Calibri" w:hAnsi="Calibri"/>
        </w:rPr>
      </w:pPr>
      <w:r w:rsidRPr="008C4C05">
        <w:rPr>
          <w:rFonts w:ascii="Calibri" w:hAnsi="Calibri"/>
        </w:rPr>
        <w:t>38</w:t>
      </w:r>
      <w:r w:rsidRPr="008C4C05">
        <w:rPr>
          <w:rFonts w:ascii="Calibri" w:hAnsi="Calibri"/>
        </w:rPr>
        <w:tab/>
        <w:t xml:space="preserve">Office of National Statistics [ONS]. </w:t>
      </w:r>
      <w:r w:rsidRPr="008C4C05">
        <w:rPr>
          <w:rFonts w:ascii="Calibri" w:hAnsi="Calibri"/>
          <w:i/>
          <w:iCs/>
        </w:rPr>
        <w:t>National Survey of Bereaved People (VOICES) - Office for National Statistics</w:t>
      </w:r>
      <w:r w:rsidRPr="008C4C05">
        <w:rPr>
          <w:rFonts w:ascii="Calibri" w:hAnsi="Calibri"/>
        </w:rPr>
        <w:t>. 2013. URL: https://www.ons.gov.uk/peoplepopulationandcommunity/healthandsocialcare/healthcaresystem/bulletins/nationalsurveyofbereavedpeoplevoices/2014-07-10 (Accessed 20 February 2021).</w:t>
      </w:r>
    </w:p>
    <w:p w14:paraId="38E75D79" w14:textId="77777777" w:rsidR="008C4C05" w:rsidRPr="008C4C05" w:rsidRDefault="008C4C05" w:rsidP="008C4C05">
      <w:pPr>
        <w:pStyle w:val="Bibliography"/>
        <w:rPr>
          <w:rFonts w:ascii="Calibri" w:hAnsi="Calibri"/>
        </w:rPr>
      </w:pPr>
      <w:r w:rsidRPr="008C4C05">
        <w:rPr>
          <w:rFonts w:ascii="Calibri" w:hAnsi="Calibri"/>
        </w:rPr>
        <w:lastRenderedPageBreak/>
        <w:t>39</w:t>
      </w:r>
      <w:r w:rsidRPr="008C4C05">
        <w:rPr>
          <w:rFonts w:ascii="Calibri" w:hAnsi="Calibri"/>
        </w:rPr>
        <w:tab/>
        <w:t xml:space="preserve">Quality Health. </w:t>
      </w:r>
      <w:r w:rsidRPr="008C4C05">
        <w:rPr>
          <w:rFonts w:ascii="Calibri" w:hAnsi="Calibri"/>
          <w:i/>
          <w:iCs/>
        </w:rPr>
        <w:t>Quality of Life of Cancer Survivors in England: One Year On from the 2011 Survivorship Survey Pilot</w:t>
      </w:r>
      <w:r w:rsidRPr="008C4C05">
        <w:rPr>
          <w:rFonts w:ascii="Calibri" w:hAnsi="Calibri"/>
        </w:rPr>
        <w:t>. 2013. URL: https://www.quality-health.co.uk/resources/surveys/cancer-survivorship-survey/503-cancer-surviourship-survey-2012-report/file (Accessed 1 February 2019).</w:t>
      </w:r>
    </w:p>
    <w:p w14:paraId="1EF9BAFC" w14:textId="77777777" w:rsidR="008C4C05" w:rsidRPr="008C4C05" w:rsidRDefault="008C4C05" w:rsidP="008C4C05">
      <w:pPr>
        <w:pStyle w:val="Bibliography"/>
        <w:rPr>
          <w:rFonts w:ascii="Calibri" w:hAnsi="Calibri"/>
        </w:rPr>
      </w:pPr>
      <w:r w:rsidRPr="008C4C05">
        <w:rPr>
          <w:rFonts w:ascii="Calibri" w:hAnsi="Calibri"/>
        </w:rPr>
        <w:t>40</w:t>
      </w:r>
      <w:r w:rsidRPr="008C4C05">
        <w:rPr>
          <w:rFonts w:ascii="Calibri" w:hAnsi="Calibri"/>
        </w:rPr>
        <w:tab/>
        <w:t xml:space="preserve">Department of Health,. </w:t>
      </w:r>
      <w:r w:rsidRPr="008C4C05">
        <w:rPr>
          <w:rFonts w:ascii="Calibri" w:hAnsi="Calibri"/>
          <w:i/>
          <w:iCs/>
        </w:rPr>
        <w:t>End of Life Care Strategy. Fourth Annual Report</w:t>
      </w:r>
      <w:r w:rsidRPr="008C4C05">
        <w:rPr>
          <w:rFonts w:ascii="Calibri" w:hAnsi="Calibri"/>
        </w:rPr>
        <w:t>. 2012. URL: https://assets.publishing.service.gov.uk/government/uploads/system/uploads/attachment_data/file/136486/End-of-Life-Care-Strategy-Fourth-Annual-report-web-version-v2.pdf (Accessed 4 March 2021).</w:t>
      </w:r>
    </w:p>
    <w:p w14:paraId="6D8708B8" w14:textId="77777777" w:rsidR="008C4C05" w:rsidRPr="008C4C05" w:rsidRDefault="008C4C05" w:rsidP="008C4C05">
      <w:pPr>
        <w:pStyle w:val="Bibliography"/>
        <w:rPr>
          <w:rFonts w:ascii="Calibri" w:hAnsi="Calibri"/>
        </w:rPr>
      </w:pPr>
      <w:r w:rsidRPr="008C4C05">
        <w:rPr>
          <w:rFonts w:ascii="Calibri" w:hAnsi="Calibri"/>
        </w:rPr>
        <w:t>41</w:t>
      </w:r>
      <w:r w:rsidRPr="008C4C05">
        <w:rPr>
          <w:rFonts w:ascii="Calibri" w:hAnsi="Calibri"/>
        </w:rPr>
        <w:tab/>
      </w:r>
      <w:proofErr w:type="spellStart"/>
      <w:r w:rsidRPr="008C4C05">
        <w:rPr>
          <w:rFonts w:ascii="Calibri" w:hAnsi="Calibri"/>
        </w:rPr>
        <w:t>Koffman</w:t>
      </w:r>
      <w:proofErr w:type="spellEnd"/>
      <w:r w:rsidRPr="008C4C05">
        <w:rPr>
          <w:rFonts w:ascii="Calibri" w:hAnsi="Calibri"/>
        </w:rPr>
        <w:t xml:space="preserve"> J, Burke G, Dias A, </w:t>
      </w:r>
      <w:proofErr w:type="spellStart"/>
      <w:r w:rsidRPr="008C4C05">
        <w:rPr>
          <w:rFonts w:ascii="Calibri" w:hAnsi="Calibri"/>
        </w:rPr>
        <w:t>Raval</w:t>
      </w:r>
      <w:proofErr w:type="spellEnd"/>
      <w:r w:rsidRPr="008C4C05">
        <w:rPr>
          <w:rFonts w:ascii="Calibri" w:hAnsi="Calibri"/>
        </w:rPr>
        <w:t xml:space="preserve"> B, Byrne J, Gonzales J, </w:t>
      </w:r>
      <w:r w:rsidRPr="008C4C05">
        <w:rPr>
          <w:rFonts w:ascii="Calibri" w:hAnsi="Calibri"/>
          <w:i/>
          <w:iCs/>
        </w:rPr>
        <w:t>et al.</w:t>
      </w:r>
      <w:r w:rsidRPr="008C4C05">
        <w:rPr>
          <w:rFonts w:ascii="Calibri" w:hAnsi="Calibri"/>
        </w:rPr>
        <w:t xml:space="preserve"> Demographic factors and awareness of palliative care and related services: </w:t>
      </w:r>
      <w:r w:rsidRPr="008C4C05">
        <w:rPr>
          <w:rFonts w:ascii="Calibri" w:hAnsi="Calibri"/>
          <w:i/>
          <w:iCs/>
        </w:rPr>
        <w:t>Palliative Medicine</w:t>
      </w:r>
      <w:r w:rsidRPr="008C4C05">
        <w:rPr>
          <w:rFonts w:ascii="Calibri" w:hAnsi="Calibri"/>
        </w:rPr>
        <w:t xml:space="preserve"> 2007. https://doi.org/10.1177/0269216306074639.</w:t>
      </w:r>
    </w:p>
    <w:p w14:paraId="70667D5E" w14:textId="77777777" w:rsidR="008C4C05" w:rsidRPr="008C4C05" w:rsidRDefault="008C4C05" w:rsidP="008C4C05">
      <w:pPr>
        <w:pStyle w:val="Bibliography"/>
        <w:rPr>
          <w:rFonts w:ascii="Calibri" w:hAnsi="Calibri"/>
        </w:rPr>
      </w:pPr>
      <w:r w:rsidRPr="008C4C05">
        <w:rPr>
          <w:rFonts w:ascii="Calibri" w:hAnsi="Calibri"/>
        </w:rPr>
        <w:t>42</w:t>
      </w:r>
      <w:r w:rsidRPr="008C4C05">
        <w:rPr>
          <w:rFonts w:ascii="Calibri" w:hAnsi="Calibri"/>
        </w:rPr>
        <w:tab/>
        <w:t xml:space="preserve">Legislation.gov.uk. </w:t>
      </w:r>
      <w:r w:rsidRPr="008C4C05">
        <w:rPr>
          <w:rFonts w:ascii="Calibri" w:hAnsi="Calibri"/>
          <w:i/>
          <w:iCs/>
        </w:rPr>
        <w:t>Great Britain. Human Rights Act 1998</w:t>
      </w:r>
      <w:r w:rsidRPr="008C4C05">
        <w:rPr>
          <w:rFonts w:ascii="Calibri" w:hAnsi="Calibri"/>
        </w:rPr>
        <w:t>. 1998. URL: https://www.legislation.gov.uk/ukpga/1998/42/contents (Accessed 10 July 2021).</w:t>
      </w:r>
    </w:p>
    <w:p w14:paraId="26E4692D" w14:textId="77777777" w:rsidR="008C4C05" w:rsidRPr="008C4C05" w:rsidRDefault="008C4C05" w:rsidP="008C4C05">
      <w:pPr>
        <w:pStyle w:val="Bibliography"/>
        <w:rPr>
          <w:rFonts w:ascii="Calibri" w:hAnsi="Calibri"/>
        </w:rPr>
      </w:pPr>
      <w:r w:rsidRPr="008C4C05">
        <w:rPr>
          <w:rFonts w:ascii="Calibri" w:hAnsi="Calibri"/>
        </w:rPr>
        <w:t>43</w:t>
      </w:r>
      <w:r w:rsidRPr="008C4C05">
        <w:rPr>
          <w:rFonts w:ascii="Calibri" w:hAnsi="Calibri"/>
        </w:rPr>
        <w:tab/>
        <w:t xml:space="preserve">GMC. </w:t>
      </w:r>
      <w:r w:rsidRPr="008C4C05">
        <w:rPr>
          <w:rFonts w:ascii="Calibri" w:hAnsi="Calibri"/>
          <w:i/>
          <w:iCs/>
        </w:rPr>
        <w:t>Treatment and care towards the end of life: good practice in decision making</w:t>
      </w:r>
      <w:r w:rsidRPr="008C4C05">
        <w:rPr>
          <w:rFonts w:ascii="Calibri" w:hAnsi="Calibri"/>
        </w:rPr>
        <w:t>. 2010.</w:t>
      </w:r>
    </w:p>
    <w:p w14:paraId="23A397B9" w14:textId="77777777" w:rsidR="008C4C05" w:rsidRPr="008C4C05" w:rsidRDefault="008C4C05" w:rsidP="008C4C05">
      <w:pPr>
        <w:pStyle w:val="Bibliography"/>
        <w:rPr>
          <w:rFonts w:ascii="Calibri" w:hAnsi="Calibri"/>
        </w:rPr>
      </w:pPr>
      <w:r w:rsidRPr="008C4C05">
        <w:rPr>
          <w:rFonts w:ascii="Calibri" w:hAnsi="Calibri"/>
        </w:rPr>
        <w:t>44</w:t>
      </w:r>
      <w:r w:rsidRPr="008C4C05">
        <w:rPr>
          <w:rFonts w:ascii="Calibri" w:hAnsi="Calibri"/>
        </w:rPr>
        <w:tab/>
        <w:t xml:space="preserve">Islam Z, Taylor L, Faull C. Thinking ahead in advanced illness: Exploring clinicians’ perspectives on discussing resuscitation with patients and families from ethnic minority communities. </w:t>
      </w:r>
      <w:r w:rsidRPr="008C4C05">
        <w:rPr>
          <w:rFonts w:ascii="Calibri" w:hAnsi="Calibri"/>
          <w:i/>
          <w:iCs/>
        </w:rPr>
        <w:t xml:space="preserve">Future </w:t>
      </w:r>
      <w:proofErr w:type="spellStart"/>
      <w:r w:rsidRPr="008C4C05">
        <w:rPr>
          <w:rFonts w:ascii="Calibri" w:hAnsi="Calibri"/>
          <w:i/>
          <w:iCs/>
        </w:rPr>
        <w:t>Healthc</w:t>
      </w:r>
      <w:proofErr w:type="spellEnd"/>
      <w:r w:rsidRPr="008C4C05">
        <w:rPr>
          <w:rFonts w:ascii="Calibri" w:hAnsi="Calibri"/>
          <w:i/>
          <w:iCs/>
        </w:rPr>
        <w:t xml:space="preserve"> J</w:t>
      </w:r>
      <w:r w:rsidRPr="008C4C05">
        <w:rPr>
          <w:rFonts w:ascii="Calibri" w:hAnsi="Calibri"/>
        </w:rPr>
        <w:t xml:space="preserve"> 2021:fhj.2021-0012. https://doi.org/10.7861/fhj.2021-0012.</w:t>
      </w:r>
    </w:p>
    <w:p w14:paraId="56006CC5" w14:textId="77777777" w:rsidR="008C4C05" w:rsidRPr="008C4C05" w:rsidRDefault="008C4C05" w:rsidP="008C4C05">
      <w:pPr>
        <w:pStyle w:val="Bibliography"/>
        <w:rPr>
          <w:rFonts w:ascii="Calibri" w:hAnsi="Calibri"/>
        </w:rPr>
      </w:pPr>
      <w:r w:rsidRPr="008C4C05">
        <w:rPr>
          <w:rFonts w:ascii="Calibri" w:hAnsi="Calibri"/>
        </w:rPr>
        <w:t>45</w:t>
      </w:r>
      <w:r w:rsidRPr="008C4C05">
        <w:rPr>
          <w:rFonts w:ascii="Calibri" w:hAnsi="Calibri"/>
        </w:rPr>
        <w:tab/>
      </w:r>
      <w:proofErr w:type="spellStart"/>
      <w:r w:rsidRPr="008C4C05">
        <w:rPr>
          <w:rFonts w:ascii="Calibri" w:hAnsi="Calibri"/>
        </w:rPr>
        <w:t>Leguizamon</w:t>
      </w:r>
      <w:proofErr w:type="spellEnd"/>
      <w:r w:rsidRPr="008C4C05">
        <w:rPr>
          <w:rFonts w:ascii="Calibri" w:hAnsi="Calibri"/>
        </w:rPr>
        <w:t xml:space="preserve"> CM, Smith DM, </w:t>
      </w:r>
      <w:proofErr w:type="spellStart"/>
      <w:r w:rsidRPr="008C4C05">
        <w:rPr>
          <w:rFonts w:ascii="Calibri" w:hAnsi="Calibri"/>
        </w:rPr>
        <w:t>Spigner</w:t>
      </w:r>
      <w:proofErr w:type="spellEnd"/>
      <w:r w:rsidRPr="008C4C05">
        <w:rPr>
          <w:rFonts w:ascii="Calibri" w:hAnsi="Calibri"/>
        </w:rPr>
        <w:t xml:space="preserve"> C. Positive aging, positive dying: Intersectional and daily communicational issues surrounding palliative and end of life care services in minority groups in the UK and the US. In: Docking RE, Stock J, editors. </w:t>
      </w:r>
      <w:r w:rsidRPr="008C4C05">
        <w:rPr>
          <w:rFonts w:ascii="Calibri" w:hAnsi="Calibri"/>
          <w:i/>
          <w:iCs/>
        </w:rPr>
        <w:t>International Handbook of Positive Aging</w:t>
      </w:r>
      <w:r w:rsidRPr="008C4C05">
        <w:rPr>
          <w:rFonts w:ascii="Calibri" w:hAnsi="Calibri"/>
        </w:rPr>
        <w:t>. United Kingdom: Routledge; 2017. p. 21–36.</w:t>
      </w:r>
    </w:p>
    <w:p w14:paraId="6959B63A" w14:textId="77777777" w:rsidR="008C4C05" w:rsidRPr="008C4C05" w:rsidRDefault="008C4C05" w:rsidP="008C4C05">
      <w:pPr>
        <w:pStyle w:val="Bibliography"/>
        <w:rPr>
          <w:rFonts w:ascii="Calibri" w:hAnsi="Calibri"/>
        </w:rPr>
      </w:pPr>
      <w:r w:rsidRPr="008C4C05">
        <w:rPr>
          <w:rFonts w:ascii="Calibri" w:hAnsi="Calibri"/>
        </w:rPr>
        <w:t>46</w:t>
      </w:r>
      <w:r w:rsidRPr="008C4C05">
        <w:rPr>
          <w:rFonts w:ascii="Calibri" w:hAnsi="Calibri"/>
        </w:rPr>
        <w:tab/>
        <w:t xml:space="preserve">Kai J, Beavan J, Faull C, Dodson L, Gill P, Beighton A. Professional Uncertainty and Disempowerment Responding to Ethnic Diversity in Health Care: A Qualitative Study. </w:t>
      </w:r>
      <w:r w:rsidRPr="008C4C05">
        <w:rPr>
          <w:rFonts w:ascii="Calibri" w:hAnsi="Calibri"/>
          <w:i/>
          <w:iCs/>
        </w:rPr>
        <w:t>PLOS Medicine</w:t>
      </w:r>
      <w:r w:rsidRPr="008C4C05">
        <w:rPr>
          <w:rFonts w:ascii="Calibri" w:hAnsi="Calibri"/>
        </w:rPr>
        <w:t xml:space="preserve"> 2007;</w:t>
      </w:r>
      <w:r w:rsidRPr="008C4C05">
        <w:rPr>
          <w:rFonts w:ascii="Calibri" w:hAnsi="Calibri"/>
          <w:b/>
          <w:bCs/>
        </w:rPr>
        <w:t>4</w:t>
      </w:r>
      <w:r w:rsidRPr="008C4C05">
        <w:rPr>
          <w:rFonts w:ascii="Calibri" w:hAnsi="Calibri"/>
        </w:rPr>
        <w:t>:e323. https://doi.org/10.1371/journal.pmed.0040323.</w:t>
      </w:r>
    </w:p>
    <w:p w14:paraId="31B0C828" w14:textId="77777777" w:rsidR="008C4C05" w:rsidRPr="008C4C05" w:rsidRDefault="008C4C05" w:rsidP="008C4C05">
      <w:pPr>
        <w:pStyle w:val="Bibliography"/>
        <w:rPr>
          <w:rFonts w:ascii="Calibri" w:hAnsi="Calibri"/>
        </w:rPr>
      </w:pPr>
      <w:r w:rsidRPr="008C4C05">
        <w:rPr>
          <w:rFonts w:ascii="Calibri" w:hAnsi="Calibri"/>
        </w:rPr>
        <w:t>47</w:t>
      </w:r>
      <w:r w:rsidRPr="008C4C05">
        <w:rPr>
          <w:rFonts w:ascii="Calibri" w:hAnsi="Calibri"/>
        </w:rPr>
        <w:tab/>
        <w:t xml:space="preserve">Catherine C, Mariko A. </w:t>
      </w:r>
      <w:proofErr w:type="spellStart"/>
      <w:r w:rsidRPr="008C4C05">
        <w:rPr>
          <w:rFonts w:ascii="Calibri" w:hAnsi="Calibri"/>
        </w:rPr>
        <w:t>Feuz</w:t>
      </w:r>
      <w:proofErr w:type="spellEnd"/>
      <w:r w:rsidRPr="008C4C05">
        <w:rPr>
          <w:rFonts w:ascii="Calibri" w:hAnsi="Calibri"/>
        </w:rPr>
        <w:t xml:space="preserve">, Ryan D. McMahan, </w:t>
      </w:r>
      <w:proofErr w:type="spellStart"/>
      <w:r w:rsidRPr="008C4C05">
        <w:rPr>
          <w:rFonts w:ascii="Calibri" w:hAnsi="Calibri"/>
        </w:rPr>
        <w:t>Yinghui</w:t>
      </w:r>
      <w:proofErr w:type="spellEnd"/>
      <w:r w:rsidRPr="008C4C05">
        <w:rPr>
          <w:rFonts w:ascii="Calibri" w:hAnsi="Calibri"/>
        </w:rPr>
        <w:t xml:space="preserve"> Miao, Rebecca L. </w:t>
      </w:r>
      <w:proofErr w:type="spellStart"/>
      <w:r w:rsidRPr="008C4C05">
        <w:rPr>
          <w:rFonts w:ascii="Calibri" w:hAnsi="Calibri"/>
        </w:rPr>
        <w:t>Sudore</w:t>
      </w:r>
      <w:proofErr w:type="spellEnd"/>
      <w:r w:rsidRPr="008C4C05">
        <w:rPr>
          <w:rFonts w:ascii="Calibri" w:hAnsi="Calibri"/>
        </w:rPr>
        <w:t xml:space="preserve">. “Doctor, Make My Decisions”: Decision Control Preferences, Advance Care Planning, and Satisfaction With Communication Among Diverse Older Adults. </w:t>
      </w:r>
      <w:r w:rsidRPr="008C4C05">
        <w:rPr>
          <w:rFonts w:ascii="Calibri" w:hAnsi="Calibri"/>
          <w:i/>
          <w:iCs/>
        </w:rPr>
        <w:t>Journal of Pain and Symptom Management</w:t>
      </w:r>
      <w:r w:rsidRPr="008C4C05">
        <w:rPr>
          <w:rFonts w:ascii="Calibri" w:hAnsi="Calibri"/>
        </w:rPr>
        <w:t xml:space="preserve"> 2016;</w:t>
      </w:r>
      <w:r w:rsidRPr="008C4C05">
        <w:rPr>
          <w:rFonts w:ascii="Calibri" w:hAnsi="Calibri"/>
          <w:b/>
          <w:bCs/>
        </w:rPr>
        <w:t>51</w:t>
      </w:r>
      <w:r w:rsidRPr="008C4C05">
        <w:rPr>
          <w:rFonts w:ascii="Calibri" w:hAnsi="Calibri"/>
        </w:rPr>
        <w:t>:33–40. https://doi.org/10.1016/j.jpainsymman.2015.07.018.</w:t>
      </w:r>
    </w:p>
    <w:p w14:paraId="65FB6E63" w14:textId="77777777" w:rsidR="008C4C05" w:rsidRPr="008C4C05" w:rsidRDefault="008C4C05" w:rsidP="008C4C05">
      <w:pPr>
        <w:pStyle w:val="Bibliography"/>
        <w:rPr>
          <w:rFonts w:ascii="Calibri" w:hAnsi="Calibri"/>
        </w:rPr>
      </w:pPr>
      <w:r w:rsidRPr="008C4C05">
        <w:rPr>
          <w:rFonts w:ascii="Calibri" w:hAnsi="Calibri"/>
        </w:rPr>
        <w:t>48</w:t>
      </w:r>
      <w:r w:rsidRPr="008C4C05">
        <w:rPr>
          <w:rFonts w:ascii="Calibri" w:hAnsi="Calibri"/>
        </w:rPr>
        <w:tab/>
        <w:t xml:space="preserve">Cruz-Oliver D, Theodore </w:t>
      </w:r>
      <w:proofErr w:type="spellStart"/>
      <w:r w:rsidRPr="008C4C05">
        <w:rPr>
          <w:rFonts w:ascii="Calibri" w:hAnsi="Calibri"/>
        </w:rPr>
        <w:t>K.Malmstrom</w:t>
      </w:r>
      <w:proofErr w:type="spellEnd"/>
      <w:r w:rsidRPr="008C4C05">
        <w:rPr>
          <w:rFonts w:ascii="Calibri" w:hAnsi="Calibri"/>
        </w:rPr>
        <w:t xml:space="preserve">, </w:t>
      </w:r>
      <w:proofErr w:type="spellStart"/>
      <w:r w:rsidRPr="008C4C05">
        <w:rPr>
          <w:rFonts w:ascii="Calibri" w:hAnsi="Calibri"/>
        </w:rPr>
        <w:t>MichaelRoegner</w:t>
      </w:r>
      <w:proofErr w:type="spellEnd"/>
      <w:r w:rsidRPr="008C4C05">
        <w:rPr>
          <w:rFonts w:ascii="Calibri" w:hAnsi="Calibri"/>
        </w:rPr>
        <w:t xml:space="preserve">, </w:t>
      </w:r>
      <w:proofErr w:type="spellStart"/>
      <w:r w:rsidRPr="008C4C05">
        <w:rPr>
          <w:rFonts w:ascii="Calibri" w:hAnsi="Calibri"/>
        </w:rPr>
        <w:t>GwenYeo</w:t>
      </w:r>
      <w:proofErr w:type="spellEnd"/>
      <w:r w:rsidRPr="008C4C05">
        <w:rPr>
          <w:rFonts w:ascii="Calibri" w:hAnsi="Calibri"/>
        </w:rPr>
        <w:t xml:space="preserve">. Evaluation of a Video-Based Seminar to Raise Health Care Professionals’ Awareness of Culturally Sensitive End-of-Life Care. </w:t>
      </w:r>
      <w:r w:rsidRPr="008C4C05">
        <w:rPr>
          <w:rFonts w:ascii="Calibri" w:hAnsi="Calibri"/>
          <w:i/>
          <w:iCs/>
        </w:rPr>
        <w:t>Journal of Pain and Symptom Management</w:t>
      </w:r>
      <w:r w:rsidRPr="008C4C05">
        <w:rPr>
          <w:rFonts w:ascii="Calibri" w:hAnsi="Calibri"/>
        </w:rPr>
        <w:t xml:space="preserve"> 2017;</w:t>
      </w:r>
      <w:r w:rsidRPr="008C4C05">
        <w:rPr>
          <w:rFonts w:ascii="Calibri" w:hAnsi="Calibri"/>
          <w:b/>
          <w:bCs/>
        </w:rPr>
        <w:t>54</w:t>
      </w:r>
      <w:r w:rsidRPr="008C4C05">
        <w:rPr>
          <w:rFonts w:ascii="Calibri" w:hAnsi="Calibri"/>
        </w:rPr>
        <w:t>:546–54. https://doi.org/10.1016/j.jpainsymman.2017.07.023.</w:t>
      </w:r>
    </w:p>
    <w:p w14:paraId="79C6AD38" w14:textId="77777777" w:rsidR="008C4C05" w:rsidRPr="008C4C05" w:rsidRDefault="008C4C05" w:rsidP="008C4C05">
      <w:pPr>
        <w:pStyle w:val="Bibliography"/>
        <w:rPr>
          <w:rFonts w:ascii="Calibri" w:hAnsi="Calibri"/>
        </w:rPr>
      </w:pPr>
      <w:r w:rsidRPr="008C4C05">
        <w:rPr>
          <w:rFonts w:ascii="Calibri" w:hAnsi="Calibri"/>
        </w:rPr>
        <w:t>49</w:t>
      </w:r>
      <w:r w:rsidRPr="008C4C05">
        <w:rPr>
          <w:rFonts w:ascii="Calibri" w:hAnsi="Calibri"/>
        </w:rPr>
        <w:tab/>
        <w:t xml:space="preserve">Ho AHY, Chan CLW, Leung PPY, </w:t>
      </w:r>
      <w:proofErr w:type="spellStart"/>
      <w:r w:rsidRPr="008C4C05">
        <w:rPr>
          <w:rFonts w:ascii="Calibri" w:hAnsi="Calibri"/>
        </w:rPr>
        <w:t>Chochinov</w:t>
      </w:r>
      <w:proofErr w:type="spellEnd"/>
      <w:r w:rsidRPr="008C4C05">
        <w:rPr>
          <w:rFonts w:ascii="Calibri" w:hAnsi="Calibri"/>
        </w:rPr>
        <w:t xml:space="preserve"> HM, </w:t>
      </w:r>
      <w:proofErr w:type="spellStart"/>
      <w:r w:rsidRPr="008C4C05">
        <w:rPr>
          <w:rFonts w:ascii="Calibri" w:hAnsi="Calibri"/>
        </w:rPr>
        <w:t>Neimeyer</w:t>
      </w:r>
      <w:proofErr w:type="spellEnd"/>
      <w:r w:rsidRPr="008C4C05">
        <w:rPr>
          <w:rFonts w:ascii="Calibri" w:hAnsi="Calibri"/>
        </w:rPr>
        <w:t xml:space="preserve"> RA, Pang SMC, </w:t>
      </w:r>
      <w:r w:rsidRPr="008C4C05">
        <w:rPr>
          <w:rFonts w:ascii="Calibri" w:hAnsi="Calibri"/>
          <w:i/>
          <w:iCs/>
        </w:rPr>
        <w:t>et al.</w:t>
      </w:r>
      <w:r w:rsidRPr="008C4C05">
        <w:rPr>
          <w:rFonts w:ascii="Calibri" w:hAnsi="Calibri"/>
        </w:rPr>
        <w:t xml:space="preserve"> Living and dying with dignity in Chinese society: perspectives of older palliative care patients in Hong Kong. </w:t>
      </w:r>
      <w:r w:rsidRPr="008C4C05">
        <w:rPr>
          <w:rFonts w:ascii="Calibri" w:hAnsi="Calibri"/>
          <w:i/>
          <w:iCs/>
        </w:rPr>
        <w:t>Age Ageing</w:t>
      </w:r>
      <w:r w:rsidRPr="008C4C05">
        <w:rPr>
          <w:rFonts w:ascii="Calibri" w:hAnsi="Calibri"/>
        </w:rPr>
        <w:t xml:space="preserve"> 2013;</w:t>
      </w:r>
      <w:r w:rsidRPr="008C4C05">
        <w:rPr>
          <w:rFonts w:ascii="Calibri" w:hAnsi="Calibri"/>
          <w:b/>
          <w:bCs/>
        </w:rPr>
        <w:t>42</w:t>
      </w:r>
      <w:r w:rsidRPr="008C4C05">
        <w:rPr>
          <w:rFonts w:ascii="Calibri" w:hAnsi="Calibri"/>
        </w:rPr>
        <w:t>:455–61. https://doi.org/10.1093/ageing/aft003.</w:t>
      </w:r>
    </w:p>
    <w:p w14:paraId="55F034B4" w14:textId="77777777" w:rsidR="008C4C05" w:rsidRPr="008C4C05" w:rsidRDefault="008C4C05" w:rsidP="008C4C05">
      <w:pPr>
        <w:pStyle w:val="Bibliography"/>
        <w:rPr>
          <w:rFonts w:ascii="Calibri" w:hAnsi="Calibri"/>
        </w:rPr>
      </w:pPr>
      <w:r w:rsidRPr="008C4C05">
        <w:rPr>
          <w:rFonts w:ascii="Calibri" w:hAnsi="Calibri"/>
        </w:rPr>
        <w:t>50</w:t>
      </w:r>
      <w:r w:rsidRPr="008C4C05">
        <w:rPr>
          <w:rFonts w:ascii="Calibri" w:hAnsi="Calibri"/>
        </w:rPr>
        <w:tab/>
      </w:r>
      <w:proofErr w:type="spellStart"/>
      <w:r w:rsidRPr="008C4C05">
        <w:rPr>
          <w:rFonts w:ascii="Calibri" w:hAnsi="Calibri"/>
        </w:rPr>
        <w:t>Givler</w:t>
      </w:r>
      <w:proofErr w:type="spellEnd"/>
      <w:r w:rsidRPr="008C4C05">
        <w:rPr>
          <w:rFonts w:ascii="Calibri" w:hAnsi="Calibri"/>
        </w:rPr>
        <w:t xml:space="preserve"> A, Bhatt H, </w:t>
      </w:r>
      <w:proofErr w:type="spellStart"/>
      <w:r w:rsidRPr="008C4C05">
        <w:rPr>
          <w:rFonts w:ascii="Calibri" w:hAnsi="Calibri"/>
        </w:rPr>
        <w:t>Maani</w:t>
      </w:r>
      <w:proofErr w:type="spellEnd"/>
      <w:r w:rsidRPr="008C4C05">
        <w:rPr>
          <w:rFonts w:ascii="Calibri" w:hAnsi="Calibri"/>
        </w:rPr>
        <w:t xml:space="preserve">-Fogelman PA. </w:t>
      </w:r>
      <w:r w:rsidRPr="008C4C05">
        <w:rPr>
          <w:rFonts w:ascii="Calibri" w:hAnsi="Calibri"/>
          <w:i/>
          <w:iCs/>
        </w:rPr>
        <w:t>The Importance Of Cultural Competence in Pain and Palliative Care</w:t>
      </w:r>
      <w:r w:rsidRPr="008C4C05">
        <w:rPr>
          <w:rFonts w:ascii="Calibri" w:hAnsi="Calibri"/>
        </w:rPr>
        <w:t xml:space="preserve">. </w:t>
      </w:r>
      <w:proofErr w:type="spellStart"/>
      <w:r w:rsidRPr="008C4C05">
        <w:rPr>
          <w:rFonts w:ascii="Calibri" w:hAnsi="Calibri"/>
        </w:rPr>
        <w:t>StatPearls</w:t>
      </w:r>
      <w:proofErr w:type="spellEnd"/>
      <w:r w:rsidRPr="008C4C05">
        <w:rPr>
          <w:rFonts w:ascii="Calibri" w:hAnsi="Calibri"/>
        </w:rPr>
        <w:t xml:space="preserve"> Publishing; 2020.</w:t>
      </w:r>
    </w:p>
    <w:p w14:paraId="7B22C4DD" w14:textId="77777777" w:rsidR="008C4C05" w:rsidRPr="008C4C05" w:rsidRDefault="008C4C05" w:rsidP="008C4C05">
      <w:pPr>
        <w:pStyle w:val="Bibliography"/>
        <w:rPr>
          <w:rFonts w:ascii="Calibri" w:hAnsi="Calibri"/>
        </w:rPr>
      </w:pPr>
      <w:r w:rsidRPr="008C4C05">
        <w:rPr>
          <w:rFonts w:ascii="Calibri" w:hAnsi="Calibri"/>
        </w:rPr>
        <w:t>51</w:t>
      </w:r>
      <w:r w:rsidRPr="008C4C05">
        <w:rPr>
          <w:rFonts w:ascii="Calibri" w:hAnsi="Calibri"/>
        </w:rPr>
        <w:tab/>
        <w:t xml:space="preserve">Kirby E, Lwin Z, Kenny K, Broom A, Birman H, Good P. “It doesn’t exist…”: negotiating palliative care from a culturally and linguistically diverse patient and caregiver perspective. </w:t>
      </w:r>
      <w:r w:rsidRPr="008C4C05">
        <w:rPr>
          <w:rFonts w:ascii="Calibri" w:hAnsi="Calibri"/>
          <w:i/>
          <w:iCs/>
        </w:rPr>
        <w:t>BMC Palliative Care</w:t>
      </w:r>
      <w:r w:rsidRPr="008C4C05">
        <w:rPr>
          <w:rFonts w:ascii="Calibri" w:hAnsi="Calibri"/>
        </w:rPr>
        <w:t xml:space="preserve"> 2018;</w:t>
      </w:r>
      <w:r w:rsidRPr="008C4C05">
        <w:rPr>
          <w:rFonts w:ascii="Calibri" w:hAnsi="Calibri"/>
          <w:b/>
          <w:bCs/>
        </w:rPr>
        <w:t>17</w:t>
      </w:r>
      <w:r w:rsidRPr="008C4C05">
        <w:rPr>
          <w:rFonts w:ascii="Calibri" w:hAnsi="Calibri"/>
        </w:rPr>
        <w:t>:90.</w:t>
      </w:r>
    </w:p>
    <w:p w14:paraId="7FE74C91" w14:textId="77777777" w:rsidR="008C4C05" w:rsidRPr="008C4C05" w:rsidRDefault="008C4C05" w:rsidP="008C4C05">
      <w:pPr>
        <w:pStyle w:val="Bibliography"/>
        <w:rPr>
          <w:rFonts w:ascii="Calibri" w:hAnsi="Calibri"/>
        </w:rPr>
      </w:pPr>
      <w:r w:rsidRPr="008C4C05">
        <w:rPr>
          <w:rFonts w:ascii="Calibri" w:hAnsi="Calibri"/>
        </w:rPr>
        <w:t>52</w:t>
      </w:r>
      <w:r w:rsidRPr="008C4C05">
        <w:rPr>
          <w:rFonts w:ascii="Calibri" w:hAnsi="Calibri"/>
        </w:rPr>
        <w:tab/>
        <w:t xml:space="preserve">Nielsen LS, Jan E. Angus, Doris Howell. </w:t>
      </w:r>
      <w:r w:rsidRPr="008C4C05">
        <w:rPr>
          <w:rFonts w:ascii="Calibri" w:hAnsi="Calibri"/>
          <w:i/>
          <w:iCs/>
        </w:rPr>
        <w:t>Patient-</w:t>
      </w:r>
      <w:proofErr w:type="spellStart"/>
      <w:r w:rsidRPr="008C4C05">
        <w:rPr>
          <w:rFonts w:ascii="Calibri" w:hAnsi="Calibri"/>
          <w:i/>
          <w:iCs/>
        </w:rPr>
        <w:t>Centered</w:t>
      </w:r>
      <w:proofErr w:type="spellEnd"/>
      <w:r w:rsidRPr="008C4C05">
        <w:rPr>
          <w:rFonts w:ascii="Calibri" w:hAnsi="Calibri"/>
          <w:i/>
          <w:iCs/>
        </w:rPr>
        <w:t xml:space="preserve"> Care or Cultural Competence: Negotiating Palliative Care at Home for Chinese Canadian Immigrants - Lisa </w:t>
      </w:r>
      <w:proofErr w:type="spellStart"/>
      <w:r w:rsidRPr="008C4C05">
        <w:rPr>
          <w:rFonts w:ascii="Calibri" w:hAnsi="Calibri"/>
          <w:i/>
          <w:iCs/>
        </w:rPr>
        <w:t>Seto</w:t>
      </w:r>
      <w:proofErr w:type="spellEnd"/>
      <w:r w:rsidRPr="008C4C05">
        <w:rPr>
          <w:rFonts w:ascii="Calibri" w:hAnsi="Calibri"/>
          <w:i/>
          <w:iCs/>
        </w:rPr>
        <w:t xml:space="preserve"> Nielsen, Jan E. Angus, Doris Howell, Amna Husain, Denise </w:t>
      </w:r>
      <w:proofErr w:type="spellStart"/>
      <w:r w:rsidRPr="008C4C05">
        <w:rPr>
          <w:rFonts w:ascii="Calibri" w:hAnsi="Calibri"/>
          <w:i/>
          <w:iCs/>
        </w:rPr>
        <w:t>Gastaldo</w:t>
      </w:r>
      <w:proofErr w:type="spellEnd"/>
      <w:r w:rsidRPr="008C4C05">
        <w:rPr>
          <w:rFonts w:ascii="Calibri" w:hAnsi="Calibri"/>
          <w:i/>
          <w:iCs/>
        </w:rPr>
        <w:t>, 2015</w:t>
      </w:r>
      <w:r w:rsidRPr="008C4C05">
        <w:rPr>
          <w:rFonts w:ascii="Calibri" w:hAnsi="Calibri"/>
        </w:rPr>
        <w:t>. 2015. URL: https://journals.sagepub.com/doi/abs/10.1177/1049909114527338 (Accessed 22 February 2021).</w:t>
      </w:r>
    </w:p>
    <w:p w14:paraId="6771414C" w14:textId="77777777" w:rsidR="008C4C05" w:rsidRPr="008C4C05" w:rsidRDefault="008C4C05" w:rsidP="008C4C05">
      <w:pPr>
        <w:pStyle w:val="Bibliography"/>
        <w:rPr>
          <w:rFonts w:ascii="Calibri" w:hAnsi="Calibri"/>
        </w:rPr>
      </w:pPr>
      <w:r w:rsidRPr="008C4C05">
        <w:rPr>
          <w:rFonts w:ascii="Calibri" w:hAnsi="Calibri"/>
        </w:rPr>
        <w:t>53</w:t>
      </w:r>
      <w:r w:rsidRPr="008C4C05">
        <w:rPr>
          <w:rFonts w:ascii="Calibri" w:hAnsi="Calibri"/>
        </w:rPr>
        <w:tab/>
        <w:t xml:space="preserve">Fang Mei Lan, </w:t>
      </w:r>
      <w:proofErr w:type="spellStart"/>
      <w:r w:rsidRPr="008C4C05">
        <w:rPr>
          <w:rFonts w:ascii="Calibri" w:hAnsi="Calibri"/>
        </w:rPr>
        <w:t>Malcoe</w:t>
      </w:r>
      <w:proofErr w:type="spellEnd"/>
      <w:r w:rsidRPr="008C4C05">
        <w:rPr>
          <w:rFonts w:ascii="Calibri" w:hAnsi="Calibri"/>
        </w:rPr>
        <w:t xml:space="preserve">, Lorraine </w:t>
      </w:r>
      <w:proofErr w:type="spellStart"/>
      <w:r w:rsidRPr="008C4C05">
        <w:rPr>
          <w:rFonts w:ascii="Calibri" w:hAnsi="Calibri"/>
        </w:rPr>
        <w:t>Halinka</w:t>
      </w:r>
      <w:proofErr w:type="spellEnd"/>
      <w:r w:rsidRPr="008C4C05">
        <w:rPr>
          <w:rFonts w:ascii="Calibri" w:hAnsi="Calibri"/>
        </w:rPr>
        <w:t xml:space="preserve">;, Sixsmith, Judith; Wong, Louise Yuen Ming; </w:t>
      </w:r>
      <w:proofErr w:type="spellStart"/>
      <w:r w:rsidRPr="008C4C05">
        <w:rPr>
          <w:rFonts w:ascii="Calibri" w:hAnsi="Calibri"/>
        </w:rPr>
        <w:t>Callender</w:t>
      </w:r>
      <w:proofErr w:type="spellEnd"/>
      <w:r w:rsidRPr="008C4C05">
        <w:rPr>
          <w:rFonts w:ascii="Calibri" w:hAnsi="Calibri"/>
        </w:rPr>
        <w:t xml:space="preserve">, Matthew. </w:t>
      </w:r>
      <w:r w:rsidRPr="008C4C05">
        <w:rPr>
          <w:rFonts w:ascii="Calibri" w:hAnsi="Calibri"/>
          <w:i/>
          <w:iCs/>
        </w:rPr>
        <w:t>Exploring traditional end-of-life beliefs, values, expectations, and practices among Chinese women living in England: Informing culturally safe care</w:t>
      </w:r>
      <w:r w:rsidRPr="008C4C05">
        <w:rPr>
          <w:rFonts w:ascii="Calibri" w:hAnsi="Calibri"/>
        </w:rPr>
        <w:t>. 2015. URL: https://search.proquest.com/openview/f96db384f6cb087a945f242c7f06c37d/1?pq-origsite=gscholar&amp;cbl=39238 (Accessed 22 February 2021).</w:t>
      </w:r>
    </w:p>
    <w:p w14:paraId="7EE2ECBA" w14:textId="77777777" w:rsidR="008C4C05" w:rsidRPr="008C4C05" w:rsidRDefault="008C4C05" w:rsidP="008C4C05">
      <w:pPr>
        <w:pStyle w:val="Bibliography"/>
        <w:rPr>
          <w:rFonts w:ascii="Calibri" w:hAnsi="Calibri"/>
        </w:rPr>
      </w:pPr>
      <w:r w:rsidRPr="008C4C05">
        <w:rPr>
          <w:rFonts w:ascii="Calibri" w:hAnsi="Calibri"/>
        </w:rPr>
        <w:t>54</w:t>
      </w:r>
      <w:r w:rsidRPr="008C4C05">
        <w:rPr>
          <w:rFonts w:ascii="Calibri" w:hAnsi="Calibri"/>
        </w:rPr>
        <w:tab/>
        <w:t xml:space="preserve">Duke, G, Petersen S. </w:t>
      </w:r>
      <w:r w:rsidRPr="008C4C05">
        <w:rPr>
          <w:rFonts w:ascii="Calibri" w:hAnsi="Calibri"/>
          <w:i/>
          <w:iCs/>
        </w:rPr>
        <w:t>Perspectives of Asians living in Texas on pain management in the last days of life | International Journal of Palliative Nursing</w:t>
      </w:r>
      <w:r w:rsidRPr="008C4C05">
        <w:rPr>
          <w:rFonts w:ascii="Calibri" w:hAnsi="Calibri"/>
        </w:rPr>
        <w:t>. 2015. URL: https://www.magonlinelibrary.com/doi/abs/10.12968/ijpn.2015.21.1.24 (Accessed 22 February 2021).</w:t>
      </w:r>
    </w:p>
    <w:p w14:paraId="62A09FE4" w14:textId="77777777" w:rsidR="008C4C05" w:rsidRPr="008C4C05" w:rsidRDefault="008C4C05" w:rsidP="008C4C05">
      <w:pPr>
        <w:pStyle w:val="Bibliography"/>
        <w:rPr>
          <w:rFonts w:ascii="Calibri" w:hAnsi="Calibri"/>
        </w:rPr>
      </w:pPr>
      <w:r w:rsidRPr="008C4C05">
        <w:rPr>
          <w:rFonts w:ascii="Calibri" w:hAnsi="Calibri"/>
        </w:rPr>
        <w:lastRenderedPageBreak/>
        <w:t>55</w:t>
      </w:r>
      <w:r w:rsidRPr="008C4C05">
        <w:rPr>
          <w:rFonts w:ascii="Calibri" w:hAnsi="Calibri"/>
        </w:rPr>
        <w:tab/>
      </w:r>
      <w:proofErr w:type="spellStart"/>
      <w:r w:rsidRPr="008C4C05">
        <w:rPr>
          <w:rFonts w:ascii="Calibri" w:hAnsi="Calibri"/>
        </w:rPr>
        <w:t>Yonashiro</w:t>
      </w:r>
      <w:proofErr w:type="spellEnd"/>
      <w:r w:rsidRPr="008C4C05">
        <w:rPr>
          <w:rFonts w:ascii="Calibri" w:hAnsi="Calibri"/>
        </w:rPr>
        <w:t xml:space="preserve">‐Cho J, Cote S, </w:t>
      </w:r>
      <w:proofErr w:type="spellStart"/>
      <w:r w:rsidRPr="008C4C05">
        <w:rPr>
          <w:rFonts w:ascii="Calibri" w:hAnsi="Calibri"/>
        </w:rPr>
        <w:t>Enguidanos</w:t>
      </w:r>
      <w:proofErr w:type="spellEnd"/>
      <w:r w:rsidRPr="008C4C05">
        <w:rPr>
          <w:rFonts w:ascii="Calibri" w:hAnsi="Calibri"/>
        </w:rPr>
        <w:t xml:space="preserve"> S. Knowledge About and Perceptions of Advance Care Planning and Communication of Chinese‐American Older Adults. </w:t>
      </w:r>
      <w:r w:rsidRPr="008C4C05">
        <w:rPr>
          <w:rFonts w:ascii="Calibri" w:hAnsi="Calibri"/>
          <w:i/>
          <w:iCs/>
        </w:rPr>
        <w:t>Journal of the American Geriatrics Society</w:t>
      </w:r>
      <w:r w:rsidRPr="008C4C05">
        <w:rPr>
          <w:rFonts w:ascii="Calibri" w:hAnsi="Calibri"/>
        </w:rPr>
        <w:t xml:space="preserve"> 2016;</w:t>
      </w:r>
      <w:r w:rsidRPr="008C4C05">
        <w:rPr>
          <w:rFonts w:ascii="Calibri" w:hAnsi="Calibri"/>
          <w:b/>
          <w:bCs/>
        </w:rPr>
        <w:t>64</w:t>
      </w:r>
      <w:r w:rsidRPr="008C4C05">
        <w:rPr>
          <w:rFonts w:ascii="Calibri" w:hAnsi="Calibri"/>
        </w:rPr>
        <w:t>:1884–9. https://doi.org/10.1111/jgs.14261.</w:t>
      </w:r>
    </w:p>
    <w:p w14:paraId="4722E5A3" w14:textId="77777777" w:rsidR="008C4C05" w:rsidRPr="008C4C05" w:rsidRDefault="008C4C05" w:rsidP="008C4C05">
      <w:pPr>
        <w:pStyle w:val="Bibliography"/>
        <w:rPr>
          <w:rFonts w:ascii="Calibri" w:hAnsi="Calibri"/>
        </w:rPr>
      </w:pPr>
      <w:r w:rsidRPr="00D74EFC">
        <w:rPr>
          <w:rFonts w:ascii="Calibri" w:hAnsi="Calibri"/>
          <w:lang w:val="it-IT"/>
        </w:rPr>
        <w:t>56</w:t>
      </w:r>
      <w:r w:rsidRPr="00D74EFC">
        <w:rPr>
          <w:rFonts w:ascii="Calibri" w:hAnsi="Calibri"/>
          <w:lang w:val="it-IT"/>
        </w:rPr>
        <w:tab/>
        <w:t xml:space="preserve">Chi H-L, </w:t>
      </w:r>
      <w:proofErr w:type="spellStart"/>
      <w:r w:rsidRPr="00D74EFC">
        <w:rPr>
          <w:rFonts w:ascii="Calibri" w:hAnsi="Calibri"/>
          <w:lang w:val="it-IT"/>
        </w:rPr>
        <w:t>Janine</w:t>
      </w:r>
      <w:proofErr w:type="spellEnd"/>
      <w:r w:rsidRPr="00D74EFC">
        <w:rPr>
          <w:rFonts w:ascii="Calibri" w:hAnsi="Calibri"/>
          <w:lang w:val="it-IT"/>
        </w:rPr>
        <w:t xml:space="preserve"> Cataldo, Evelyn Y. Ho, Roberta S. </w:t>
      </w:r>
      <w:proofErr w:type="spellStart"/>
      <w:r w:rsidRPr="00D74EFC">
        <w:rPr>
          <w:rFonts w:ascii="Calibri" w:hAnsi="Calibri"/>
          <w:lang w:val="it-IT"/>
        </w:rPr>
        <w:t>Rehm</w:t>
      </w:r>
      <w:proofErr w:type="spellEnd"/>
      <w:r w:rsidRPr="00D74EFC">
        <w:rPr>
          <w:rFonts w:ascii="Calibri" w:hAnsi="Calibri"/>
          <w:lang w:val="it-IT"/>
        </w:rPr>
        <w:t xml:space="preserve">. </w:t>
      </w:r>
      <w:r w:rsidRPr="008C4C05">
        <w:rPr>
          <w:rFonts w:ascii="Calibri" w:hAnsi="Calibri"/>
          <w:i/>
          <w:iCs/>
        </w:rPr>
        <w:t xml:space="preserve">Please Ask Gently: Using Culturally Targeted Communication Strategies to Initiate End-of-Life Care Discussions With Older Chinese Americans - Han-Lin Chi, Janine </w:t>
      </w:r>
      <w:proofErr w:type="spellStart"/>
      <w:r w:rsidRPr="008C4C05">
        <w:rPr>
          <w:rFonts w:ascii="Calibri" w:hAnsi="Calibri"/>
          <w:i/>
          <w:iCs/>
        </w:rPr>
        <w:t>Cataldo</w:t>
      </w:r>
      <w:proofErr w:type="spellEnd"/>
      <w:r w:rsidRPr="008C4C05">
        <w:rPr>
          <w:rFonts w:ascii="Calibri" w:hAnsi="Calibri"/>
          <w:i/>
          <w:iCs/>
        </w:rPr>
        <w:t>, Evelyn Y. Ho, Roberta S. Rehm, 2018</w:t>
      </w:r>
      <w:r w:rsidRPr="008C4C05">
        <w:rPr>
          <w:rFonts w:ascii="Calibri" w:hAnsi="Calibri"/>
        </w:rPr>
        <w:t>. 2018. URL: https://journals.sagepub.com/doi/abs/10.1177/1049909118760310 (Accessed 22 February 2021).</w:t>
      </w:r>
    </w:p>
    <w:p w14:paraId="20D08911" w14:textId="77777777" w:rsidR="008C4C05" w:rsidRPr="008C4C05" w:rsidRDefault="008C4C05" w:rsidP="008C4C05">
      <w:pPr>
        <w:pStyle w:val="Bibliography"/>
        <w:rPr>
          <w:rFonts w:ascii="Calibri" w:hAnsi="Calibri"/>
        </w:rPr>
      </w:pPr>
      <w:r w:rsidRPr="008C4C05">
        <w:rPr>
          <w:rFonts w:ascii="Calibri" w:hAnsi="Calibri"/>
        </w:rPr>
        <w:t>57</w:t>
      </w:r>
      <w:r w:rsidRPr="008C4C05">
        <w:rPr>
          <w:rFonts w:ascii="Calibri" w:hAnsi="Calibri"/>
        </w:rPr>
        <w:tab/>
        <w:t xml:space="preserve">Owens A, Randhawa G. ‘It’s different from my culture; they’re very different’: providing community‐based, ‘culturally competent’ palliative care for South Asian people in the UK. </w:t>
      </w:r>
      <w:r w:rsidRPr="008C4C05">
        <w:rPr>
          <w:rFonts w:ascii="Calibri" w:hAnsi="Calibri"/>
          <w:i/>
          <w:iCs/>
        </w:rPr>
        <w:t>Health &amp; Social Care in the Community</w:t>
      </w:r>
      <w:r w:rsidRPr="008C4C05">
        <w:rPr>
          <w:rFonts w:ascii="Calibri" w:hAnsi="Calibri"/>
        </w:rPr>
        <w:t xml:space="preserve"> 2004;</w:t>
      </w:r>
      <w:r w:rsidRPr="008C4C05">
        <w:rPr>
          <w:rFonts w:ascii="Calibri" w:hAnsi="Calibri"/>
          <w:b/>
          <w:bCs/>
        </w:rPr>
        <w:t>12</w:t>
      </w:r>
      <w:r w:rsidRPr="008C4C05">
        <w:rPr>
          <w:rFonts w:ascii="Calibri" w:hAnsi="Calibri"/>
        </w:rPr>
        <w:t>:414–21. https://doi.org/10.1111/j.1365-2524.2004.00511.x.</w:t>
      </w:r>
    </w:p>
    <w:p w14:paraId="7B270566" w14:textId="77777777" w:rsidR="008C4C05" w:rsidRPr="008C4C05" w:rsidRDefault="008C4C05" w:rsidP="008C4C05">
      <w:pPr>
        <w:pStyle w:val="Bibliography"/>
        <w:rPr>
          <w:rFonts w:ascii="Calibri" w:hAnsi="Calibri"/>
        </w:rPr>
      </w:pPr>
      <w:r w:rsidRPr="00D74EFC">
        <w:rPr>
          <w:rFonts w:ascii="Calibri" w:hAnsi="Calibri"/>
          <w:lang w:val="it-IT"/>
        </w:rPr>
        <w:t>58</w:t>
      </w:r>
      <w:r w:rsidRPr="00D74EFC">
        <w:rPr>
          <w:rFonts w:ascii="Calibri" w:hAnsi="Calibri"/>
          <w:lang w:val="it-IT"/>
        </w:rPr>
        <w:tab/>
        <w:t xml:space="preserve">Karim K, Maria Bailey, Kate Tunna. </w:t>
      </w:r>
      <w:proofErr w:type="spellStart"/>
      <w:r w:rsidRPr="008C4C05">
        <w:rPr>
          <w:rFonts w:ascii="Calibri" w:hAnsi="Calibri"/>
          <w:i/>
          <w:iCs/>
        </w:rPr>
        <w:t>Nonwhite</w:t>
      </w:r>
      <w:proofErr w:type="spellEnd"/>
      <w:r w:rsidRPr="008C4C05">
        <w:rPr>
          <w:rFonts w:ascii="Calibri" w:hAnsi="Calibri"/>
          <w:i/>
          <w:iCs/>
        </w:rPr>
        <w:t xml:space="preserve"> ethnicity and the provision of specialist palliative care services: factors affecting doctors’ referral patterns</w:t>
      </w:r>
      <w:r w:rsidRPr="008C4C05">
        <w:rPr>
          <w:rFonts w:ascii="Calibri" w:hAnsi="Calibri"/>
        </w:rPr>
        <w:t>. 2000. URL: https://journals.sagepub.com/doi/abs/10.1191/026921600701536390 (Accessed 19 February 2021).</w:t>
      </w:r>
    </w:p>
    <w:p w14:paraId="23070B0C" w14:textId="77777777" w:rsidR="008C4C05" w:rsidRPr="008C4C05" w:rsidRDefault="008C4C05" w:rsidP="008C4C05">
      <w:pPr>
        <w:pStyle w:val="Bibliography"/>
        <w:rPr>
          <w:rFonts w:ascii="Calibri" w:hAnsi="Calibri"/>
        </w:rPr>
      </w:pPr>
      <w:r w:rsidRPr="008C4C05">
        <w:rPr>
          <w:rFonts w:ascii="Calibri" w:hAnsi="Calibri"/>
        </w:rPr>
        <w:t>59</w:t>
      </w:r>
      <w:r w:rsidRPr="008C4C05">
        <w:rPr>
          <w:rFonts w:ascii="Calibri" w:hAnsi="Calibri"/>
        </w:rPr>
        <w:tab/>
        <w:t xml:space="preserve">Green A, </w:t>
      </w:r>
      <w:proofErr w:type="spellStart"/>
      <w:r w:rsidRPr="008C4C05">
        <w:rPr>
          <w:rFonts w:ascii="Calibri" w:hAnsi="Calibri"/>
        </w:rPr>
        <w:t>Jerzmanowska</w:t>
      </w:r>
      <w:proofErr w:type="spellEnd"/>
      <w:r w:rsidRPr="008C4C05">
        <w:rPr>
          <w:rFonts w:ascii="Calibri" w:hAnsi="Calibri"/>
        </w:rPr>
        <w:t xml:space="preserve"> N, Green M, Lobb EA. ‘Death is difficult in any language’: A qualitative study of palliative care professionals’ experiences when providing end-of-life care to patients from culturally and linguistically diverse backgrounds: </w:t>
      </w:r>
      <w:r w:rsidRPr="008C4C05">
        <w:rPr>
          <w:rFonts w:ascii="Calibri" w:hAnsi="Calibri"/>
          <w:i/>
          <w:iCs/>
        </w:rPr>
        <w:t>Palliative Medicine</w:t>
      </w:r>
      <w:r w:rsidRPr="008C4C05">
        <w:rPr>
          <w:rFonts w:ascii="Calibri" w:hAnsi="Calibri"/>
        </w:rPr>
        <w:t xml:space="preserve"> 2018. https://doi.org/10.1177/0269216318776850.</w:t>
      </w:r>
    </w:p>
    <w:p w14:paraId="603FA1E6" w14:textId="77777777" w:rsidR="008C4C05" w:rsidRPr="008C4C05" w:rsidRDefault="008C4C05" w:rsidP="008C4C05">
      <w:pPr>
        <w:pStyle w:val="Bibliography"/>
        <w:rPr>
          <w:rFonts w:ascii="Calibri" w:hAnsi="Calibri"/>
        </w:rPr>
      </w:pPr>
      <w:r w:rsidRPr="008C4C05">
        <w:rPr>
          <w:rFonts w:ascii="Calibri" w:hAnsi="Calibri"/>
        </w:rPr>
        <w:t>60</w:t>
      </w:r>
      <w:r w:rsidRPr="008C4C05">
        <w:rPr>
          <w:rFonts w:ascii="Calibri" w:hAnsi="Calibri"/>
        </w:rPr>
        <w:tab/>
        <w:t xml:space="preserve">Somerville J. </w:t>
      </w:r>
      <w:r w:rsidRPr="008C4C05">
        <w:rPr>
          <w:rFonts w:ascii="Calibri" w:hAnsi="Calibri"/>
          <w:i/>
          <w:iCs/>
        </w:rPr>
        <w:t>Palliative care: the experience of informal carers within the Bangladeshi community | International Journal of Palliative Nursing</w:t>
      </w:r>
      <w:r w:rsidRPr="008C4C05">
        <w:rPr>
          <w:rFonts w:ascii="Calibri" w:hAnsi="Calibri"/>
        </w:rPr>
        <w:t>. 2001. URL: https://www.magonlinelibrary.com/doi/abs/10.12968/ijpn.2001.7.5.15893 (Accessed 21 February 2021).</w:t>
      </w:r>
    </w:p>
    <w:p w14:paraId="0432ECE5" w14:textId="77777777" w:rsidR="008C4C05" w:rsidRPr="008C4C05" w:rsidRDefault="008C4C05" w:rsidP="008C4C05">
      <w:pPr>
        <w:pStyle w:val="Bibliography"/>
        <w:rPr>
          <w:rFonts w:ascii="Calibri" w:hAnsi="Calibri"/>
        </w:rPr>
      </w:pPr>
      <w:r w:rsidRPr="008C4C05">
        <w:rPr>
          <w:rFonts w:ascii="Calibri" w:hAnsi="Calibri"/>
        </w:rPr>
        <w:t>61</w:t>
      </w:r>
      <w:r w:rsidRPr="008C4C05">
        <w:rPr>
          <w:rFonts w:ascii="Calibri" w:hAnsi="Calibri"/>
        </w:rPr>
        <w:tab/>
        <w:t xml:space="preserve">Kai J, Beavan J, Faull C. Challenges of mediated communication, disclosure and patient autonomy in cross-cultural cancer care. </w:t>
      </w:r>
      <w:r w:rsidRPr="008C4C05">
        <w:rPr>
          <w:rFonts w:ascii="Calibri" w:hAnsi="Calibri"/>
          <w:i/>
          <w:iCs/>
        </w:rPr>
        <w:t>Br J Cancer</w:t>
      </w:r>
      <w:r w:rsidRPr="008C4C05">
        <w:rPr>
          <w:rFonts w:ascii="Calibri" w:hAnsi="Calibri"/>
        </w:rPr>
        <w:t xml:space="preserve"> 2011;</w:t>
      </w:r>
      <w:r w:rsidRPr="008C4C05">
        <w:rPr>
          <w:rFonts w:ascii="Calibri" w:hAnsi="Calibri"/>
          <w:b/>
          <w:bCs/>
        </w:rPr>
        <w:t>105</w:t>
      </w:r>
      <w:r w:rsidRPr="008C4C05">
        <w:rPr>
          <w:rFonts w:ascii="Calibri" w:hAnsi="Calibri"/>
        </w:rPr>
        <w:t>:918–24. https://doi.org/10.1038/bjc.2011.318.</w:t>
      </w:r>
    </w:p>
    <w:p w14:paraId="30B6B5BB" w14:textId="77777777" w:rsidR="008C4C05" w:rsidRPr="008C4C05" w:rsidRDefault="008C4C05" w:rsidP="008C4C05">
      <w:pPr>
        <w:pStyle w:val="Bibliography"/>
        <w:rPr>
          <w:rFonts w:ascii="Calibri" w:hAnsi="Calibri"/>
        </w:rPr>
      </w:pPr>
      <w:r w:rsidRPr="008C4C05">
        <w:rPr>
          <w:rFonts w:ascii="Calibri" w:hAnsi="Calibri"/>
        </w:rPr>
        <w:t>62</w:t>
      </w:r>
      <w:r w:rsidRPr="008C4C05">
        <w:rPr>
          <w:rFonts w:ascii="Calibri" w:hAnsi="Calibri"/>
        </w:rPr>
        <w:tab/>
        <w:t xml:space="preserve">Broom A, Kirby E, Good P, Wootton J, Adams J. The art of letting go: Referral to palliative care and its discontents. </w:t>
      </w:r>
      <w:r w:rsidRPr="008C4C05">
        <w:rPr>
          <w:rFonts w:ascii="Calibri" w:hAnsi="Calibri"/>
          <w:i/>
          <w:iCs/>
        </w:rPr>
        <w:t>Social Science &amp; Medicine</w:t>
      </w:r>
      <w:r w:rsidRPr="008C4C05">
        <w:rPr>
          <w:rFonts w:ascii="Calibri" w:hAnsi="Calibri"/>
        </w:rPr>
        <w:t xml:space="preserve"> 2013;</w:t>
      </w:r>
      <w:r w:rsidRPr="008C4C05">
        <w:rPr>
          <w:rFonts w:ascii="Calibri" w:hAnsi="Calibri"/>
          <w:b/>
          <w:bCs/>
        </w:rPr>
        <w:t>78</w:t>
      </w:r>
      <w:r w:rsidRPr="008C4C05">
        <w:rPr>
          <w:rFonts w:ascii="Calibri" w:hAnsi="Calibri"/>
        </w:rPr>
        <w:t>:9–16. https://doi.org/10.1016/j.socscimed.2012.11.008.</w:t>
      </w:r>
    </w:p>
    <w:p w14:paraId="6C6684AC" w14:textId="77777777" w:rsidR="008C4C05" w:rsidRPr="008C4C05" w:rsidRDefault="008C4C05" w:rsidP="008C4C05">
      <w:pPr>
        <w:pStyle w:val="Bibliography"/>
        <w:rPr>
          <w:rFonts w:ascii="Calibri" w:hAnsi="Calibri"/>
        </w:rPr>
      </w:pPr>
      <w:r w:rsidRPr="008C4C05">
        <w:rPr>
          <w:rFonts w:ascii="Calibri" w:hAnsi="Calibri"/>
        </w:rPr>
        <w:t>63</w:t>
      </w:r>
      <w:r w:rsidRPr="008C4C05">
        <w:rPr>
          <w:rFonts w:ascii="Calibri" w:hAnsi="Calibri"/>
        </w:rPr>
        <w:tab/>
        <w:t xml:space="preserve">Biondo PD, Kalia R, Khan R-A, Asghar N, Banerjee C, Boulton D, </w:t>
      </w:r>
      <w:r w:rsidRPr="008C4C05">
        <w:rPr>
          <w:rFonts w:ascii="Calibri" w:hAnsi="Calibri"/>
          <w:i/>
          <w:iCs/>
        </w:rPr>
        <w:t>et al.</w:t>
      </w:r>
      <w:r w:rsidRPr="008C4C05">
        <w:rPr>
          <w:rFonts w:ascii="Calibri" w:hAnsi="Calibri"/>
        </w:rPr>
        <w:t xml:space="preserve"> Understanding advance care planning within the South Asian community. </w:t>
      </w:r>
      <w:r w:rsidRPr="008C4C05">
        <w:rPr>
          <w:rFonts w:ascii="Calibri" w:hAnsi="Calibri"/>
          <w:i/>
          <w:iCs/>
        </w:rPr>
        <w:t>Health Expect</w:t>
      </w:r>
      <w:r w:rsidRPr="008C4C05">
        <w:rPr>
          <w:rFonts w:ascii="Calibri" w:hAnsi="Calibri"/>
        </w:rPr>
        <w:t xml:space="preserve"> 2017;</w:t>
      </w:r>
      <w:r w:rsidRPr="008C4C05">
        <w:rPr>
          <w:rFonts w:ascii="Calibri" w:hAnsi="Calibri"/>
          <w:b/>
          <w:bCs/>
        </w:rPr>
        <w:t>20</w:t>
      </w:r>
      <w:r w:rsidRPr="008C4C05">
        <w:rPr>
          <w:rFonts w:ascii="Calibri" w:hAnsi="Calibri"/>
        </w:rPr>
        <w:t>:911–9. https://doi.org/10.1111/hex.12531.</w:t>
      </w:r>
    </w:p>
    <w:p w14:paraId="33FCAE1A" w14:textId="77777777" w:rsidR="008C4C05" w:rsidRPr="008C4C05" w:rsidRDefault="008C4C05" w:rsidP="008C4C05">
      <w:pPr>
        <w:pStyle w:val="Bibliography"/>
        <w:rPr>
          <w:rFonts w:ascii="Calibri" w:hAnsi="Calibri"/>
        </w:rPr>
      </w:pPr>
      <w:r w:rsidRPr="008C4C05">
        <w:rPr>
          <w:rFonts w:ascii="Calibri" w:hAnsi="Calibri"/>
        </w:rPr>
        <w:t>64</w:t>
      </w:r>
      <w:r w:rsidRPr="008C4C05">
        <w:rPr>
          <w:rFonts w:ascii="Calibri" w:hAnsi="Calibri"/>
        </w:rPr>
        <w:tab/>
        <w:t xml:space="preserve">Markham S. I never knew that! Why do people from Black and Asian Minority Ethnic groups in Leicester access hospice services less than other groups? A discussion with community groups. </w:t>
      </w:r>
      <w:r w:rsidRPr="008C4C05">
        <w:rPr>
          <w:rFonts w:ascii="Calibri" w:hAnsi="Calibri"/>
          <w:i/>
          <w:iCs/>
        </w:rPr>
        <w:t>Diversity &amp; Equality in Health and Care</w:t>
      </w:r>
      <w:r w:rsidRPr="008C4C05">
        <w:rPr>
          <w:rFonts w:ascii="Calibri" w:hAnsi="Calibri"/>
        </w:rPr>
        <w:t xml:space="preserve"> 2014;</w:t>
      </w:r>
      <w:r w:rsidRPr="008C4C05">
        <w:rPr>
          <w:rFonts w:ascii="Calibri" w:hAnsi="Calibri"/>
          <w:b/>
          <w:bCs/>
        </w:rPr>
        <w:t>11</w:t>
      </w:r>
      <w:r w:rsidRPr="008C4C05">
        <w:rPr>
          <w:rFonts w:ascii="Calibri" w:hAnsi="Calibri"/>
        </w:rPr>
        <w:t>:. https://doi.org/10.21767/2049-5471.100016.</w:t>
      </w:r>
    </w:p>
    <w:p w14:paraId="7FAFD968" w14:textId="77777777" w:rsidR="008C4C05" w:rsidRPr="008C4C05" w:rsidRDefault="008C4C05" w:rsidP="008C4C05">
      <w:pPr>
        <w:pStyle w:val="Bibliography"/>
        <w:rPr>
          <w:rFonts w:ascii="Calibri" w:hAnsi="Calibri"/>
        </w:rPr>
      </w:pPr>
      <w:r w:rsidRPr="008C4C05">
        <w:rPr>
          <w:rFonts w:ascii="Calibri" w:hAnsi="Calibri"/>
        </w:rPr>
        <w:t>65</w:t>
      </w:r>
      <w:r w:rsidRPr="008C4C05">
        <w:rPr>
          <w:rFonts w:ascii="Calibri" w:hAnsi="Calibri"/>
        </w:rPr>
        <w:tab/>
        <w:t xml:space="preserve">de Vries K, Banister E, </w:t>
      </w:r>
      <w:proofErr w:type="spellStart"/>
      <w:r w:rsidRPr="008C4C05">
        <w:rPr>
          <w:rFonts w:ascii="Calibri" w:hAnsi="Calibri"/>
        </w:rPr>
        <w:t>Dening</w:t>
      </w:r>
      <w:proofErr w:type="spellEnd"/>
      <w:r w:rsidRPr="008C4C05">
        <w:rPr>
          <w:rFonts w:ascii="Calibri" w:hAnsi="Calibri"/>
        </w:rPr>
        <w:t xml:space="preserve"> KH, Ochieng B. Advance care planning for older people: The influence of ethnicity, religiosity, spirituality and health literacy. </w:t>
      </w:r>
      <w:proofErr w:type="spellStart"/>
      <w:r w:rsidRPr="008C4C05">
        <w:rPr>
          <w:rFonts w:ascii="Calibri" w:hAnsi="Calibri"/>
          <w:i/>
          <w:iCs/>
        </w:rPr>
        <w:t>Nurs</w:t>
      </w:r>
      <w:proofErr w:type="spellEnd"/>
      <w:r w:rsidRPr="008C4C05">
        <w:rPr>
          <w:rFonts w:ascii="Calibri" w:hAnsi="Calibri"/>
          <w:i/>
          <w:iCs/>
        </w:rPr>
        <w:t xml:space="preserve"> Ethics</w:t>
      </w:r>
      <w:r w:rsidRPr="008C4C05">
        <w:rPr>
          <w:rFonts w:ascii="Calibri" w:hAnsi="Calibri"/>
        </w:rPr>
        <w:t xml:space="preserve"> 2019;</w:t>
      </w:r>
      <w:r w:rsidRPr="008C4C05">
        <w:rPr>
          <w:rFonts w:ascii="Calibri" w:hAnsi="Calibri"/>
          <w:b/>
          <w:bCs/>
        </w:rPr>
        <w:t>26</w:t>
      </w:r>
      <w:r w:rsidRPr="008C4C05">
        <w:rPr>
          <w:rFonts w:ascii="Calibri" w:hAnsi="Calibri"/>
        </w:rPr>
        <w:t>:1946–54. https://doi.org/10.1177/0969733019833130.</w:t>
      </w:r>
    </w:p>
    <w:p w14:paraId="1834734E" w14:textId="77777777" w:rsidR="008C4C05" w:rsidRPr="008C4C05" w:rsidRDefault="008C4C05" w:rsidP="008C4C05">
      <w:pPr>
        <w:pStyle w:val="Bibliography"/>
        <w:rPr>
          <w:rFonts w:ascii="Calibri" w:hAnsi="Calibri"/>
        </w:rPr>
      </w:pPr>
      <w:r w:rsidRPr="008C4C05">
        <w:rPr>
          <w:rFonts w:ascii="Calibri" w:hAnsi="Calibri"/>
        </w:rPr>
        <w:t>66</w:t>
      </w:r>
      <w:r w:rsidRPr="008C4C05">
        <w:rPr>
          <w:rFonts w:ascii="Calibri" w:hAnsi="Calibri"/>
        </w:rPr>
        <w:tab/>
        <w:t>Smith DD, Moreno-</w:t>
      </w:r>
      <w:proofErr w:type="spellStart"/>
      <w:r w:rsidRPr="008C4C05">
        <w:rPr>
          <w:rFonts w:ascii="Calibri" w:hAnsi="Calibri"/>
        </w:rPr>
        <w:t>Leguizamon</w:t>
      </w:r>
      <w:proofErr w:type="spellEnd"/>
      <w:r w:rsidRPr="008C4C05">
        <w:rPr>
          <w:rFonts w:ascii="Calibri" w:hAnsi="Calibri"/>
        </w:rPr>
        <w:t xml:space="preserve"> DC, </w:t>
      </w:r>
      <w:proofErr w:type="spellStart"/>
      <w:r w:rsidRPr="008C4C05">
        <w:rPr>
          <w:rFonts w:ascii="Calibri" w:hAnsi="Calibri"/>
        </w:rPr>
        <w:t>Grohmann</w:t>
      </w:r>
      <w:proofErr w:type="spellEnd"/>
      <w:r w:rsidRPr="008C4C05">
        <w:rPr>
          <w:rFonts w:ascii="Calibri" w:hAnsi="Calibri"/>
        </w:rPr>
        <w:t xml:space="preserve"> DS. End of Life Practices and Palliative Care among Black and Minority Ethnic Groups (BME) 2015:24.</w:t>
      </w:r>
    </w:p>
    <w:p w14:paraId="2F382904" w14:textId="77777777" w:rsidR="008C4C05" w:rsidRPr="008C4C05" w:rsidRDefault="008C4C05" w:rsidP="008C4C05">
      <w:pPr>
        <w:pStyle w:val="Bibliography"/>
        <w:rPr>
          <w:rFonts w:ascii="Calibri" w:hAnsi="Calibri"/>
        </w:rPr>
      </w:pPr>
      <w:r w:rsidRPr="008C4C05">
        <w:rPr>
          <w:rFonts w:ascii="Calibri" w:hAnsi="Calibri"/>
        </w:rPr>
        <w:t>67</w:t>
      </w:r>
      <w:r w:rsidRPr="008C4C05">
        <w:rPr>
          <w:rFonts w:ascii="Calibri" w:hAnsi="Calibri"/>
        </w:rPr>
        <w:tab/>
        <w:t xml:space="preserve">Johnson KS, Elbert-Avila KI, </w:t>
      </w:r>
      <w:proofErr w:type="spellStart"/>
      <w:r w:rsidRPr="008C4C05">
        <w:rPr>
          <w:rFonts w:ascii="Calibri" w:hAnsi="Calibri"/>
        </w:rPr>
        <w:t>Tulsky</w:t>
      </w:r>
      <w:proofErr w:type="spellEnd"/>
      <w:r w:rsidRPr="008C4C05">
        <w:rPr>
          <w:rFonts w:ascii="Calibri" w:hAnsi="Calibri"/>
        </w:rPr>
        <w:t xml:space="preserve"> JA. The Influence of Spiritual Beliefs and Practices on the Treatment Preferences of African Americans: A Review of the Literature: SPIRITUALITY AND AFRICAN-AMERICAN CULTURE. </w:t>
      </w:r>
      <w:r w:rsidRPr="008C4C05">
        <w:rPr>
          <w:rFonts w:ascii="Calibri" w:hAnsi="Calibri"/>
          <w:i/>
          <w:iCs/>
        </w:rPr>
        <w:t>Journal of the American Geriatrics Society</w:t>
      </w:r>
      <w:r w:rsidRPr="008C4C05">
        <w:rPr>
          <w:rFonts w:ascii="Calibri" w:hAnsi="Calibri"/>
        </w:rPr>
        <w:t xml:space="preserve"> 2005;</w:t>
      </w:r>
      <w:r w:rsidRPr="008C4C05">
        <w:rPr>
          <w:rFonts w:ascii="Calibri" w:hAnsi="Calibri"/>
          <w:b/>
          <w:bCs/>
        </w:rPr>
        <w:t>53</w:t>
      </w:r>
      <w:r w:rsidRPr="008C4C05">
        <w:rPr>
          <w:rFonts w:ascii="Calibri" w:hAnsi="Calibri"/>
        </w:rPr>
        <w:t>:711–9. https://doi.org/10.1111/j.1532-5415.2005.53224.x.</w:t>
      </w:r>
    </w:p>
    <w:p w14:paraId="188A4257" w14:textId="77777777" w:rsidR="008C4C05" w:rsidRPr="008C4C05" w:rsidRDefault="008C4C05" w:rsidP="008C4C05">
      <w:pPr>
        <w:pStyle w:val="Bibliography"/>
        <w:rPr>
          <w:rFonts w:ascii="Calibri" w:hAnsi="Calibri"/>
        </w:rPr>
      </w:pPr>
      <w:r w:rsidRPr="008C4C05">
        <w:rPr>
          <w:rFonts w:ascii="Calibri" w:hAnsi="Calibri"/>
        </w:rPr>
        <w:t>68</w:t>
      </w:r>
      <w:r w:rsidRPr="008C4C05">
        <w:rPr>
          <w:rFonts w:ascii="Calibri" w:hAnsi="Calibri"/>
        </w:rPr>
        <w:tab/>
      </w:r>
      <w:proofErr w:type="spellStart"/>
      <w:r w:rsidRPr="008C4C05">
        <w:rPr>
          <w:rFonts w:ascii="Calibri" w:hAnsi="Calibri"/>
        </w:rPr>
        <w:t>Cort</w:t>
      </w:r>
      <w:proofErr w:type="spellEnd"/>
      <w:r w:rsidRPr="008C4C05">
        <w:rPr>
          <w:rFonts w:ascii="Calibri" w:hAnsi="Calibri"/>
        </w:rPr>
        <w:t xml:space="preserve"> MA. Cultural Mistrust and Use of Hospice Care: Challenges and Remedies. </w:t>
      </w:r>
      <w:r w:rsidRPr="008C4C05">
        <w:rPr>
          <w:rFonts w:ascii="Calibri" w:hAnsi="Calibri"/>
          <w:i/>
          <w:iCs/>
        </w:rPr>
        <w:t>Journal of Palliative Medicine</w:t>
      </w:r>
      <w:r w:rsidRPr="008C4C05">
        <w:rPr>
          <w:rFonts w:ascii="Calibri" w:hAnsi="Calibri"/>
        </w:rPr>
        <w:t xml:space="preserve"> 2004;</w:t>
      </w:r>
      <w:r w:rsidRPr="008C4C05">
        <w:rPr>
          <w:rFonts w:ascii="Calibri" w:hAnsi="Calibri"/>
          <w:b/>
          <w:bCs/>
        </w:rPr>
        <w:t>7</w:t>
      </w:r>
      <w:r w:rsidRPr="008C4C05">
        <w:rPr>
          <w:rFonts w:ascii="Calibri" w:hAnsi="Calibri"/>
        </w:rPr>
        <w:t>:63–71. https://doi.org/10.1089/109662104322737269.</w:t>
      </w:r>
    </w:p>
    <w:p w14:paraId="0B1FCCD0" w14:textId="77777777" w:rsidR="008C4C05" w:rsidRPr="008C4C05" w:rsidRDefault="008C4C05" w:rsidP="008C4C05">
      <w:pPr>
        <w:pStyle w:val="Bibliography"/>
        <w:rPr>
          <w:rFonts w:ascii="Calibri" w:hAnsi="Calibri"/>
        </w:rPr>
      </w:pPr>
      <w:r w:rsidRPr="008C4C05">
        <w:rPr>
          <w:rFonts w:ascii="Calibri" w:hAnsi="Calibri"/>
        </w:rPr>
        <w:t>69</w:t>
      </w:r>
      <w:r w:rsidRPr="008C4C05">
        <w:rPr>
          <w:rFonts w:ascii="Calibri" w:hAnsi="Calibri"/>
        </w:rPr>
        <w:tab/>
        <w:t xml:space="preserve">Kwak J, Haley WE. Current Research Findings on End-of-Life Decision Making Among Racially or Ethnically Diverse Groups. </w:t>
      </w:r>
      <w:r w:rsidRPr="008C4C05">
        <w:rPr>
          <w:rFonts w:ascii="Calibri" w:hAnsi="Calibri"/>
          <w:i/>
          <w:iCs/>
        </w:rPr>
        <w:t>The Gerontologist</w:t>
      </w:r>
      <w:r w:rsidRPr="008C4C05">
        <w:rPr>
          <w:rFonts w:ascii="Calibri" w:hAnsi="Calibri"/>
        </w:rPr>
        <w:t xml:space="preserve"> 2005;</w:t>
      </w:r>
      <w:r w:rsidRPr="008C4C05">
        <w:rPr>
          <w:rFonts w:ascii="Calibri" w:hAnsi="Calibri"/>
          <w:b/>
          <w:bCs/>
        </w:rPr>
        <w:t>45</w:t>
      </w:r>
      <w:r w:rsidRPr="008C4C05">
        <w:rPr>
          <w:rFonts w:ascii="Calibri" w:hAnsi="Calibri"/>
        </w:rPr>
        <w:t>:634–41. https://doi.org/10.1093/geront/45.5.634.</w:t>
      </w:r>
    </w:p>
    <w:p w14:paraId="5E010CCB" w14:textId="77777777" w:rsidR="008C4C05" w:rsidRPr="008C4C05" w:rsidRDefault="008C4C05" w:rsidP="008C4C05">
      <w:pPr>
        <w:pStyle w:val="Bibliography"/>
        <w:rPr>
          <w:rFonts w:ascii="Calibri" w:hAnsi="Calibri"/>
        </w:rPr>
      </w:pPr>
      <w:r w:rsidRPr="008C4C05">
        <w:rPr>
          <w:rFonts w:ascii="Calibri" w:hAnsi="Calibri"/>
        </w:rPr>
        <w:t>70</w:t>
      </w:r>
      <w:r w:rsidRPr="008C4C05">
        <w:rPr>
          <w:rFonts w:ascii="Calibri" w:hAnsi="Calibri"/>
        </w:rPr>
        <w:tab/>
      </w:r>
      <w:proofErr w:type="spellStart"/>
      <w:r w:rsidRPr="008C4C05">
        <w:rPr>
          <w:rFonts w:ascii="Calibri" w:hAnsi="Calibri"/>
        </w:rPr>
        <w:t>Butow</w:t>
      </w:r>
      <w:proofErr w:type="spellEnd"/>
      <w:r w:rsidRPr="008C4C05">
        <w:rPr>
          <w:rFonts w:ascii="Calibri" w:hAnsi="Calibri"/>
        </w:rPr>
        <w:t xml:space="preserve"> PN, Elizabeth Lobb, Michael </w:t>
      </w:r>
      <w:proofErr w:type="spellStart"/>
      <w:r w:rsidRPr="008C4C05">
        <w:rPr>
          <w:rFonts w:ascii="Calibri" w:hAnsi="Calibri"/>
        </w:rPr>
        <w:t>Jefford</w:t>
      </w:r>
      <w:proofErr w:type="spellEnd"/>
      <w:r w:rsidRPr="008C4C05">
        <w:rPr>
          <w:rFonts w:ascii="Calibri" w:hAnsi="Calibri"/>
        </w:rPr>
        <w:t xml:space="preserve">,, David Goldstein, Maurice </w:t>
      </w:r>
      <w:proofErr w:type="spellStart"/>
      <w:r w:rsidRPr="008C4C05">
        <w:rPr>
          <w:rFonts w:ascii="Calibri" w:hAnsi="Calibri"/>
        </w:rPr>
        <w:t>Eisenbruch</w:t>
      </w:r>
      <w:proofErr w:type="spellEnd"/>
      <w:r w:rsidRPr="008C4C05">
        <w:rPr>
          <w:rFonts w:ascii="Calibri" w:hAnsi="Calibri"/>
        </w:rPr>
        <w:t xml:space="preserve">, </w:t>
      </w:r>
      <w:proofErr w:type="spellStart"/>
      <w:r w:rsidRPr="008C4C05">
        <w:rPr>
          <w:rFonts w:ascii="Calibri" w:hAnsi="Calibri"/>
        </w:rPr>
        <w:t>Afaf</w:t>
      </w:r>
      <w:proofErr w:type="spellEnd"/>
      <w:r w:rsidRPr="008C4C05">
        <w:rPr>
          <w:rFonts w:ascii="Calibri" w:hAnsi="Calibri"/>
        </w:rPr>
        <w:t xml:space="preserve"> Girgis, Madeleine King, Ming Sze, </w:t>
      </w:r>
      <w:proofErr w:type="spellStart"/>
      <w:r w:rsidRPr="008C4C05">
        <w:rPr>
          <w:rFonts w:ascii="Calibri" w:hAnsi="Calibri"/>
        </w:rPr>
        <w:t>Lynley</w:t>
      </w:r>
      <w:proofErr w:type="spellEnd"/>
      <w:r w:rsidRPr="008C4C05">
        <w:rPr>
          <w:rFonts w:ascii="Calibri" w:hAnsi="Calibri"/>
        </w:rPr>
        <w:t xml:space="preserve"> Aldridge &amp; Penelope Schofield. </w:t>
      </w:r>
      <w:r w:rsidRPr="008C4C05">
        <w:rPr>
          <w:rFonts w:ascii="Calibri" w:hAnsi="Calibri"/>
          <w:i/>
          <w:iCs/>
        </w:rPr>
        <w:t>A bridge between cultures: interpreters’ perspectives of consultations with migrant oncology patients | SpringerLink</w:t>
      </w:r>
      <w:r w:rsidRPr="008C4C05">
        <w:rPr>
          <w:rFonts w:ascii="Calibri" w:hAnsi="Calibri"/>
        </w:rPr>
        <w:t>. 2012. URL: https://link.springer.com/article/10.1007/s00520-010-1046-z (Accessed 11 March 2021).</w:t>
      </w:r>
    </w:p>
    <w:p w14:paraId="6954C1A7" w14:textId="77777777" w:rsidR="008C4C05" w:rsidRPr="008C4C05" w:rsidRDefault="008C4C05" w:rsidP="008C4C05">
      <w:pPr>
        <w:pStyle w:val="Bibliography"/>
        <w:rPr>
          <w:rFonts w:ascii="Calibri" w:hAnsi="Calibri"/>
        </w:rPr>
      </w:pPr>
      <w:r w:rsidRPr="008C4C05">
        <w:rPr>
          <w:rFonts w:ascii="Calibri" w:hAnsi="Calibri"/>
        </w:rPr>
        <w:lastRenderedPageBreak/>
        <w:t>71</w:t>
      </w:r>
      <w:r w:rsidRPr="008C4C05">
        <w:rPr>
          <w:rFonts w:ascii="Calibri" w:hAnsi="Calibri"/>
        </w:rPr>
        <w:tab/>
        <w:t xml:space="preserve">Badawi G. Muslim Attitudes towards End-of-Life Decisions. </w:t>
      </w:r>
      <w:r w:rsidRPr="008C4C05">
        <w:rPr>
          <w:rFonts w:ascii="Calibri" w:hAnsi="Calibri"/>
          <w:i/>
          <w:iCs/>
        </w:rPr>
        <w:t>J IMA</w:t>
      </w:r>
      <w:r w:rsidRPr="008C4C05">
        <w:rPr>
          <w:rFonts w:ascii="Calibri" w:hAnsi="Calibri"/>
        </w:rPr>
        <w:t xml:space="preserve"> 2011;</w:t>
      </w:r>
      <w:r w:rsidRPr="008C4C05">
        <w:rPr>
          <w:rFonts w:ascii="Calibri" w:hAnsi="Calibri"/>
          <w:b/>
          <w:bCs/>
        </w:rPr>
        <w:t>43</w:t>
      </w:r>
      <w:r w:rsidRPr="008C4C05">
        <w:rPr>
          <w:rFonts w:ascii="Calibri" w:hAnsi="Calibri"/>
        </w:rPr>
        <w:t>:134–9. https://doi.org/10.5915/43-3-8602.</w:t>
      </w:r>
    </w:p>
    <w:p w14:paraId="739611CF" w14:textId="77777777" w:rsidR="008C4C05" w:rsidRPr="008C4C05" w:rsidRDefault="008C4C05" w:rsidP="008C4C05">
      <w:pPr>
        <w:pStyle w:val="Bibliography"/>
        <w:rPr>
          <w:rFonts w:ascii="Calibri" w:hAnsi="Calibri"/>
        </w:rPr>
      </w:pPr>
      <w:r w:rsidRPr="008C4C05">
        <w:rPr>
          <w:rFonts w:ascii="Calibri" w:hAnsi="Calibri"/>
        </w:rPr>
        <w:t>72</w:t>
      </w:r>
      <w:r w:rsidRPr="008C4C05">
        <w:rPr>
          <w:rFonts w:ascii="Calibri" w:hAnsi="Calibri"/>
        </w:rPr>
        <w:tab/>
        <w:t xml:space="preserve">Ahmed S, Siddiqi, </w:t>
      </w:r>
      <w:proofErr w:type="spellStart"/>
      <w:r w:rsidRPr="008C4C05">
        <w:rPr>
          <w:rFonts w:ascii="Calibri" w:hAnsi="Calibri"/>
        </w:rPr>
        <w:t>Naved</w:t>
      </w:r>
      <w:proofErr w:type="spellEnd"/>
      <w:r w:rsidRPr="008C4C05">
        <w:rPr>
          <w:rFonts w:ascii="Calibri" w:hAnsi="Calibri"/>
        </w:rPr>
        <w:t xml:space="preserve">. </w:t>
      </w:r>
      <w:r w:rsidRPr="008C4C05">
        <w:rPr>
          <w:rFonts w:ascii="Calibri" w:hAnsi="Calibri"/>
          <w:i/>
          <w:iCs/>
        </w:rPr>
        <w:t>Advance  care  planning   and  Muslim  communities A report commissioned by   Compassion in Dying as part of   the  My Life, My Decision  programme</w:t>
      </w:r>
      <w:r w:rsidRPr="008C4C05">
        <w:rPr>
          <w:rFonts w:ascii="Calibri" w:hAnsi="Calibri"/>
        </w:rPr>
        <w:t>. Woolf Institute; 2016.</w:t>
      </w:r>
    </w:p>
    <w:p w14:paraId="5F3632D9" w14:textId="77777777" w:rsidR="008C4C05" w:rsidRPr="008C4C05" w:rsidRDefault="008C4C05" w:rsidP="008C4C05">
      <w:pPr>
        <w:pStyle w:val="Bibliography"/>
        <w:rPr>
          <w:rFonts w:ascii="Calibri" w:hAnsi="Calibri"/>
        </w:rPr>
      </w:pPr>
      <w:r w:rsidRPr="008C4C05">
        <w:rPr>
          <w:rFonts w:ascii="Calibri" w:hAnsi="Calibri"/>
        </w:rPr>
        <w:t>73</w:t>
      </w:r>
      <w:r w:rsidRPr="008C4C05">
        <w:rPr>
          <w:rFonts w:ascii="Calibri" w:hAnsi="Calibri"/>
        </w:rPr>
        <w:tab/>
        <w:t xml:space="preserve">Mitchell GK. Palliative Care in Australia. </w:t>
      </w:r>
      <w:r w:rsidRPr="008C4C05">
        <w:rPr>
          <w:rFonts w:ascii="Calibri" w:hAnsi="Calibri"/>
          <w:i/>
          <w:iCs/>
        </w:rPr>
        <w:t>Ochsner Journal</w:t>
      </w:r>
      <w:r w:rsidRPr="008C4C05">
        <w:rPr>
          <w:rFonts w:ascii="Calibri" w:hAnsi="Calibri"/>
        </w:rPr>
        <w:t xml:space="preserve"> 2011;</w:t>
      </w:r>
      <w:r w:rsidRPr="008C4C05">
        <w:rPr>
          <w:rFonts w:ascii="Calibri" w:hAnsi="Calibri"/>
          <w:b/>
          <w:bCs/>
        </w:rPr>
        <w:t>11</w:t>
      </w:r>
      <w:r w:rsidRPr="008C4C05">
        <w:rPr>
          <w:rFonts w:ascii="Calibri" w:hAnsi="Calibri"/>
        </w:rPr>
        <w:t>:334–7.</w:t>
      </w:r>
    </w:p>
    <w:p w14:paraId="3D49AA64" w14:textId="77777777" w:rsidR="008C4C05" w:rsidRPr="008C4C05" w:rsidRDefault="008C4C05" w:rsidP="008C4C05">
      <w:pPr>
        <w:pStyle w:val="Bibliography"/>
        <w:rPr>
          <w:rFonts w:ascii="Calibri" w:hAnsi="Calibri"/>
        </w:rPr>
      </w:pPr>
      <w:r w:rsidRPr="008C4C05">
        <w:rPr>
          <w:rFonts w:ascii="Calibri" w:hAnsi="Calibri"/>
        </w:rPr>
        <w:t>74</w:t>
      </w:r>
      <w:r w:rsidRPr="008C4C05">
        <w:rPr>
          <w:rFonts w:ascii="Calibri" w:hAnsi="Calibri"/>
        </w:rPr>
        <w:tab/>
        <w:t xml:space="preserve">Diver F, </w:t>
      </w:r>
      <w:proofErr w:type="spellStart"/>
      <w:r w:rsidRPr="008C4C05">
        <w:rPr>
          <w:rFonts w:ascii="Calibri" w:hAnsi="Calibri"/>
        </w:rPr>
        <w:t>Molassiotis</w:t>
      </w:r>
      <w:proofErr w:type="spellEnd"/>
      <w:r w:rsidRPr="008C4C05">
        <w:rPr>
          <w:rFonts w:ascii="Calibri" w:hAnsi="Calibri"/>
        </w:rPr>
        <w:t xml:space="preserve"> A, Weeks L. The palliative care needs of ethnic minority patients attending a day-care centre: a qualitative study. </w:t>
      </w:r>
      <w:r w:rsidRPr="008C4C05">
        <w:rPr>
          <w:rFonts w:ascii="Calibri" w:hAnsi="Calibri"/>
          <w:i/>
          <w:iCs/>
        </w:rPr>
        <w:t xml:space="preserve">Int J </w:t>
      </w:r>
      <w:proofErr w:type="spellStart"/>
      <w:r w:rsidRPr="008C4C05">
        <w:rPr>
          <w:rFonts w:ascii="Calibri" w:hAnsi="Calibri"/>
          <w:i/>
          <w:iCs/>
        </w:rPr>
        <w:t>Palliat</w:t>
      </w:r>
      <w:proofErr w:type="spellEnd"/>
      <w:r w:rsidRPr="008C4C05">
        <w:rPr>
          <w:rFonts w:ascii="Calibri" w:hAnsi="Calibri"/>
          <w:i/>
          <w:iCs/>
        </w:rPr>
        <w:t xml:space="preserve"> </w:t>
      </w:r>
      <w:proofErr w:type="spellStart"/>
      <w:r w:rsidRPr="008C4C05">
        <w:rPr>
          <w:rFonts w:ascii="Calibri" w:hAnsi="Calibri"/>
          <w:i/>
          <w:iCs/>
        </w:rPr>
        <w:t>Nurs</w:t>
      </w:r>
      <w:proofErr w:type="spellEnd"/>
      <w:r w:rsidRPr="008C4C05">
        <w:rPr>
          <w:rFonts w:ascii="Calibri" w:hAnsi="Calibri"/>
        </w:rPr>
        <w:t xml:space="preserve"> 2003;</w:t>
      </w:r>
      <w:r w:rsidRPr="008C4C05">
        <w:rPr>
          <w:rFonts w:ascii="Calibri" w:hAnsi="Calibri"/>
          <w:b/>
          <w:bCs/>
        </w:rPr>
        <w:t>9</w:t>
      </w:r>
      <w:r w:rsidRPr="008C4C05">
        <w:rPr>
          <w:rFonts w:ascii="Calibri" w:hAnsi="Calibri"/>
        </w:rPr>
        <w:t>:389–96. https://doi.org/10.12968/ijpn.2003.9.9.11766.</w:t>
      </w:r>
    </w:p>
    <w:p w14:paraId="4E1A85F6" w14:textId="77777777" w:rsidR="008C4C05" w:rsidRPr="008C4C05" w:rsidRDefault="008C4C05" w:rsidP="008C4C05">
      <w:pPr>
        <w:pStyle w:val="Bibliography"/>
        <w:rPr>
          <w:rFonts w:ascii="Calibri" w:hAnsi="Calibri"/>
        </w:rPr>
      </w:pPr>
      <w:r w:rsidRPr="008C4C05">
        <w:rPr>
          <w:rFonts w:ascii="Calibri" w:hAnsi="Calibri"/>
        </w:rPr>
        <w:t>75</w:t>
      </w:r>
      <w:r w:rsidRPr="008C4C05">
        <w:rPr>
          <w:rFonts w:ascii="Calibri" w:hAnsi="Calibri"/>
        </w:rPr>
        <w:tab/>
        <w:t xml:space="preserve">Pollock K, Wilson E. Care and communication between health professionals and patients affected by severe or chronic illness in community care settings: a qualitative study of care at the end of life. </w:t>
      </w:r>
      <w:r w:rsidRPr="008C4C05">
        <w:rPr>
          <w:rFonts w:ascii="Calibri" w:hAnsi="Calibri"/>
          <w:i/>
          <w:iCs/>
        </w:rPr>
        <w:t>Health Services and Delivery Research</w:t>
      </w:r>
      <w:r w:rsidRPr="008C4C05">
        <w:rPr>
          <w:rFonts w:ascii="Calibri" w:hAnsi="Calibri"/>
        </w:rPr>
        <w:t xml:space="preserve"> 2015;</w:t>
      </w:r>
      <w:r w:rsidRPr="008C4C05">
        <w:rPr>
          <w:rFonts w:ascii="Calibri" w:hAnsi="Calibri"/>
          <w:b/>
          <w:bCs/>
        </w:rPr>
        <w:t>3</w:t>
      </w:r>
      <w:r w:rsidRPr="008C4C05">
        <w:rPr>
          <w:rFonts w:ascii="Calibri" w:hAnsi="Calibri"/>
        </w:rPr>
        <w:t>:1–138. https://doi.org/10.3310/hsdr03310.</w:t>
      </w:r>
    </w:p>
    <w:p w14:paraId="6A91FAB8" w14:textId="77777777" w:rsidR="008C4C05" w:rsidRPr="008C4C05" w:rsidRDefault="008C4C05" w:rsidP="008C4C05">
      <w:pPr>
        <w:pStyle w:val="Bibliography"/>
        <w:rPr>
          <w:rFonts w:ascii="Calibri" w:hAnsi="Calibri"/>
        </w:rPr>
      </w:pPr>
      <w:r w:rsidRPr="008C4C05">
        <w:rPr>
          <w:rFonts w:ascii="Calibri" w:hAnsi="Calibri"/>
        </w:rPr>
        <w:t>76</w:t>
      </w:r>
      <w:r w:rsidRPr="008C4C05">
        <w:rPr>
          <w:rFonts w:ascii="Calibri" w:hAnsi="Calibri"/>
        </w:rPr>
        <w:tab/>
        <w:t xml:space="preserve">Morris DB. </w:t>
      </w:r>
      <w:r w:rsidRPr="008C4C05">
        <w:rPr>
          <w:rFonts w:ascii="Calibri" w:hAnsi="Calibri"/>
          <w:i/>
          <w:iCs/>
        </w:rPr>
        <w:t>The Culture of Pain</w:t>
      </w:r>
      <w:r w:rsidRPr="008C4C05">
        <w:rPr>
          <w:rFonts w:ascii="Calibri" w:hAnsi="Calibri"/>
        </w:rPr>
        <w:t>. New Ed edition. Berkeley: University of California Press; 1993.</w:t>
      </w:r>
    </w:p>
    <w:p w14:paraId="7D4C4233" w14:textId="77777777" w:rsidR="008C4C05" w:rsidRPr="008C4C05" w:rsidRDefault="008C4C05" w:rsidP="008C4C05">
      <w:pPr>
        <w:pStyle w:val="Bibliography"/>
        <w:rPr>
          <w:rFonts w:ascii="Calibri" w:hAnsi="Calibri"/>
        </w:rPr>
      </w:pPr>
      <w:r w:rsidRPr="008C4C05">
        <w:rPr>
          <w:rFonts w:ascii="Calibri" w:hAnsi="Calibri"/>
        </w:rPr>
        <w:t>77</w:t>
      </w:r>
      <w:r w:rsidRPr="008C4C05">
        <w:rPr>
          <w:rFonts w:ascii="Calibri" w:hAnsi="Calibri"/>
        </w:rPr>
        <w:tab/>
        <w:t xml:space="preserve">Koenig B. </w:t>
      </w:r>
      <w:r w:rsidRPr="008C4C05">
        <w:rPr>
          <w:rFonts w:ascii="Calibri" w:hAnsi="Calibri"/>
          <w:i/>
          <w:iCs/>
        </w:rPr>
        <w:t xml:space="preserve">Cultural Diversity in </w:t>
      </w:r>
      <w:proofErr w:type="spellStart"/>
      <w:r w:rsidRPr="008C4C05">
        <w:rPr>
          <w:rFonts w:ascii="Calibri" w:hAnsi="Calibri"/>
          <w:i/>
          <w:iCs/>
        </w:rPr>
        <w:t>Decisionmaking</w:t>
      </w:r>
      <w:proofErr w:type="spellEnd"/>
      <w:r w:rsidRPr="008C4C05">
        <w:rPr>
          <w:rFonts w:ascii="Calibri" w:hAnsi="Calibri"/>
          <w:i/>
          <w:iCs/>
        </w:rPr>
        <w:t xml:space="preserve"> About Care at the End of Life</w:t>
      </w:r>
      <w:r w:rsidRPr="008C4C05">
        <w:rPr>
          <w:rFonts w:ascii="Calibri" w:hAnsi="Calibri"/>
        </w:rPr>
        <w:t>. National Academies Press (US); 1997.</w:t>
      </w:r>
    </w:p>
    <w:p w14:paraId="7194AB2A" w14:textId="77777777" w:rsidR="008C4C05" w:rsidRPr="008C4C05" w:rsidRDefault="008C4C05" w:rsidP="008C4C05">
      <w:pPr>
        <w:pStyle w:val="Bibliography"/>
        <w:rPr>
          <w:rFonts w:ascii="Calibri" w:hAnsi="Calibri"/>
        </w:rPr>
      </w:pPr>
      <w:r w:rsidRPr="008C4C05">
        <w:rPr>
          <w:rFonts w:ascii="Calibri" w:hAnsi="Calibri"/>
        </w:rPr>
        <w:t>78</w:t>
      </w:r>
      <w:r w:rsidRPr="008C4C05">
        <w:rPr>
          <w:rFonts w:ascii="Calibri" w:hAnsi="Calibri"/>
        </w:rPr>
        <w:tab/>
        <w:t xml:space="preserve">Koenig BA, Gates-Williams J. Understanding cultural difference in caring for dying patients. </w:t>
      </w:r>
      <w:r w:rsidRPr="008C4C05">
        <w:rPr>
          <w:rFonts w:ascii="Calibri" w:hAnsi="Calibri"/>
          <w:i/>
          <w:iCs/>
        </w:rPr>
        <w:t>West J Med</w:t>
      </w:r>
      <w:r w:rsidRPr="008C4C05">
        <w:rPr>
          <w:rFonts w:ascii="Calibri" w:hAnsi="Calibri"/>
        </w:rPr>
        <w:t xml:space="preserve"> 1995;</w:t>
      </w:r>
      <w:r w:rsidRPr="008C4C05">
        <w:rPr>
          <w:rFonts w:ascii="Calibri" w:hAnsi="Calibri"/>
          <w:b/>
          <w:bCs/>
        </w:rPr>
        <w:t>163</w:t>
      </w:r>
      <w:r w:rsidRPr="008C4C05">
        <w:rPr>
          <w:rFonts w:ascii="Calibri" w:hAnsi="Calibri"/>
        </w:rPr>
        <w:t>:244–9.</w:t>
      </w:r>
    </w:p>
    <w:p w14:paraId="6F776836" w14:textId="77777777" w:rsidR="008C4C05" w:rsidRPr="008C4C05" w:rsidRDefault="008C4C05" w:rsidP="008C4C05">
      <w:pPr>
        <w:pStyle w:val="Bibliography"/>
        <w:rPr>
          <w:rFonts w:ascii="Calibri" w:hAnsi="Calibri"/>
        </w:rPr>
      </w:pPr>
      <w:r w:rsidRPr="008C4C05">
        <w:rPr>
          <w:rFonts w:ascii="Calibri" w:hAnsi="Calibri"/>
        </w:rPr>
        <w:t>79</w:t>
      </w:r>
      <w:r w:rsidRPr="008C4C05">
        <w:rPr>
          <w:rFonts w:ascii="Calibri" w:hAnsi="Calibri"/>
        </w:rPr>
        <w:tab/>
        <w:t xml:space="preserve">Blackhall LJ, Murphy ST, Frank G, Michel V, </w:t>
      </w:r>
      <w:proofErr w:type="spellStart"/>
      <w:r w:rsidRPr="008C4C05">
        <w:rPr>
          <w:rFonts w:ascii="Calibri" w:hAnsi="Calibri"/>
        </w:rPr>
        <w:t>Azen</w:t>
      </w:r>
      <w:proofErr w:type="spellEnd"/>
      <w:r w:rsidRPr="008C4C05">
        <w:rPr>
          <w:rFonts w:ascii="Calibri" w:hAnsi="Calibri"/>
        </w:rPr>
        <w:t xml:space="preserve"> S. Ethnicity and attitudes toward patient autonomy. </w:t>
      </w:r>
      <w:r w:rsidRPr="008C4C05">
        <w:rPr>
          <w:rFonts w:ascii="Calibri" w:hAnsi="Calibri"/>
          <w:i/>
          <w:iCs/>
        </w:rPr>
        <w:t>Jama</w:t>
      </w:r>
      <w:r w:rsidRPr="008C4C05">
        <w:rPr>
          <w:rFonts w:ascii="Calibri" w:hAnsi="Calibri"/>
        </w:rPr>
        <w:t xml:space="preserve"> 1995;</w:t>
      </w:r>
      <w:r w:rsidRPr="008C4C05">
        <w:rPr>
          <w:rFonts w:ascii="Calibri" w:hAnsi="Calibri"/>
          <w:b/>
          <w:bCs/>
        </w:rPr>
        <w:t>274</w:t>
      </w:r>
      <w:r w:rsidRPr="008C4C05">
        <w:rPr>
          <w:rFonts w:ascii="Calibri" w:hAnsi="Calibri"/>
        </w:rPr>
        <w:t>:820–5.</w:t>
      </w:r>
    </w:p>
    <w:p w14:paraId="52E5C67E" w14:textId="77777777" w:rsidR="008C4C05" w:rsidRPr="008C4C05" w:rsidRDefault="008C4C05" w:rsidP="008C4C05">
      <w:pPr>
        <w:pStyle w:val="Bibliography"/>
        <w:rPr>
          <w:rFonts w:ascii="Calibri" w:hAnsi="Calibri"/>
        </w:rPr>
      </w:pPr>
      <w:r w:rsidRPr="008C4C05">
        <w:rPr>
          <w:rFonts w:ascii="Calibri" w:hAnsi="Calibri"/>
        </w:rPr>
        <w:t>80</w:t>
      </w:r>
      <w:r w:rsidRPr="008C4C05">
        <w:rPr>
          <w:rFonts w:ascii="Calibri" w:hAnsi="Calibri"/>
        </w:rPr>
        <w:tab/>
      </w:r>
      <w:proofErr w:type="spellStart"/>
      <w:r w:rsidRPr="008C4C05">
        <w:rPr>
          <w:rFonts w:ascii="Calibri" w:hAnsi="Calibri"/>
        </w:rPr>
        <w:t>Kaufert</w:t>
      </w:r>
      <w:proofErr w:type="spellEnd"/>
      <w:r w:rsidRPr="008C4C05">
        <w:rPr>
          <w:rFonts w:ascii="Calibri" w:hAnsi="Calibri"/>
        </w:rPr>
        <w:t xml:space="preserve"> J, </w:t>
      </w:r>
      <w:proofErr w:type="spellStart"/>
      <w:r w:rsidRPr="008C4C05">
        <w:rPr>
          <w:rFonts w:ascii="Calibri" w:hAnsi="Calibri"/>
        </w:rPr>
        <w:t>Rw</w:t>
      </w:r>
      <w:proofErr w:type="spellEnd"/>
      <w:r w:rsidRPr="008C4C05">
        <w:rPr>
          <w:rFonts w:ascii="Calibri" w:hAnsi="Calibri"/>
        </w:rPr>
        <w:t xml:space="preserve"> P, M L. Experience of aboriginal health interpreters in mediation of conflicting values in end-of-life decision making. </w:t>
      </w:r>
      <w:r w:rsidRPr="008C4C05">
        <w:rPr>
          <w:rFonts w:ascii="Calibri" w:hAnsi="Calibri"/>
          <w:i/>
          <w:iCs/>
        </w:rPr>
        <w:t>Int J Circumpolar Health</w:t>
      </w:r>
      <w:r w:rsidRPr="008C4C05">
        <w:rPr>
          <w:rFonts w:ascii="Calibri" w:hAnsi="Calibri"/>
        </w:rPr>
        <w:t xml:space="preserve"> 1998;</w:t>
      </w:r>
      <w:r w:rsidRPr="008C4C05">
        <w:rPr>
          <w:rFonts w:ascii="Calibri" w:hAnsi="Calibri"/>
          <w:b/>
          <w:bCs/>
        </w:rPr>
        <w:t xml:space="preserve">57 </w:t>
      </w:r>
      <w:proofErr w:type="spellStart"/>
      <w:r w:rsidRPr="008C4C05">
        <w:rPr>
          <w:rFonts w:ascii="Calibri" w:hAnsi="Calibri"/>
          <w:b/>
          <w:bCs/>
        </w:rPr>
        <w:t>Suppl</w:t>
      </w:r>
      <w:proofErr w:type="spellEnd"/>
      <w:r w:rsidRPr="008C4C05">
        <w:rPr>
          <w:rFonts w:ascii="Calibri" w:hAnsi="Calibri"/>
          <w:b/>
          <w:bCs/>
        </w:rPr>
        <w:t xml:space="preserve"> 1</w:t>
      </w:r>
      <w:r w:rsidRPr="008C4C05">
        <w:rPr>
          <w:rFonts w:ascii="Calibri" w:hAnsi="Calibri"/>
        </w:rPr>
        <w:t>:43–8.</w:t>
      </w:r>
    </w:p>
    <w:p w14:paraId="53FCB8BF" w14:textId="77777777" w:rsidR="008C4C05" w:rsidRPr="008C4C05" w:rsidRDefault="008C4C05" w:rsidP="008C4C05">
      <w:pPr>
        <w:pStyle w:val="Bibliography"/>
        <w:rPr>
          <w:rFonts w:ascii="Calibri" w:hAnsi="Calibri"/>
        </w:rPr>
      </w:pPr>
      <w:r w:rsidRPr="008C4C05">
        <w:rPr>
          <w:rFonts w:ascii="Calibri" w:hAnsi="Calibri"/>
        </w:rPr>
        <w:t>81</w:t>
      </w:r>
      <w:r w:rsidRPr="008C4C05">
        <w:rPr>
          <w:rFonts w:ascii="Calibri" w:hAnsi="Calibri"/>
        </w:rPr>
        <w:tab/>
        <w:t xml:space="preserve">Kai J. </w:t>
      </w:r>
      <w:r w:rsidRPr="008C4C05">
        <w:rPr>
          <w:rFonts w:ascii="Calibri" w:hAnsi="Calibri"/>
          <w:i/>
          <w:iCs/>
        </w:rPr>
        <w:t>Valuing diversity: a resource for health professional training to respond to cultural diversity</w:t>
      </w:r>
      <w:r w:rsidRPr="008C4C05">
        <w:rPr>
          <w:rFonts w:ascii="Calibri" w:hAnsi="Calibri"/>
        </w:rPr>
        <w:t>. Royal College of General Practitioners; 2006.</w:t>
      </w:r>
    </w:p>
    <w:p w14:paraId="21486396" w14:textId="77777777" w:rsidR="008C4C05" w:rsidRPr="008C4C05" w:rsidRDefault="008C4C05" w:rsidP="008C4C05">
      <w:pPr>
        <w:pStyle w:val="Bibliography"/>
        <w:rPr>
          <w:rFonts w:ascii="Calibri" w:hAnsi="Calibri"/>
        </w:rPr>
      </w:pPr>
      <w:r w:rsidRPr="008C4C05">
        <w:rPr>
          <w:rFonts w:ascii="Calibri" w:hAnsi="Calibri"/>
        </w:rPr>
        <w:t>82</w:t>
      </w:r>
      <w:r w:rsidRPr="008C4C05">
        <w:rPr>
          <w:rFonts w:ascii="Calibri" w:hAnsi="Calibri"/>
        </w:rPr>
        <w:tab/>
        <w:t xml:space="preserve">van </w:t>
      </w:r>
      <w:proofErr w:type="spellStart"/>
      <w:r w:rsidRPr="008C4C05">
        <w:rPr>
          <w:rFonts w:ascii="Calibri" w:hAnsi="Calibri"/>
        </w:rPr>
        <w:t>Ryn</w:t>
      </w:r>
      <w:proofErr w:type="spellEnd"/>
      <w:r w:rsidRPr="008C4C05">
        <w:rPr>
          <w:rFonts w:ascii="Calibri" w:hAnsi="Calibri"/>
        </w:rPr>
        <w:t xml:space="preserve"> M. Research on the Provider Contribution to Race/Ethnicity Disparities in Medical Care. </w:t>
      </w:r>
      <w:r w:rsidRPr="008C4C05">
        <w:rPr>
          <w:rFonts w:ascii="Calibri" w:hAnsi="Calibri"/>
          <w:i/>
          <w:iCs/>
        </w:rPr>
        <w:t>Medical Care</w:t>
      </w:r>
      <w:r w:rsidRPr="008C4C05">
        <w:rPr>
          <w:rFonts w:ascii="Calibri" w:hAnsi="Calibri"/>
        </w:rPr>
        <w:t xml:space="preserve"> 2002;</w:t>
      </w:r>
      <w:r w:rsidRPr="008C4C05">
        <w:rPr>
          <w:rFonts w:ascii="Calibri" w:hAnsi="Calibri"/>
          <w:b/>
          <w:bCs/>
        </w:rPr>
        <w:t>40</w:t>
      </w:r>
      <w:r w:rsidRPr="008C4C05">
        <w:rPr>
          <w:rFonts w:ascii="Calibri" w:hAnsi="Calibri"/>
        </w:rPr>
        <w:t>:.</w:t>
      </w:r>
    </w:p>
    <w:p w14:paraId="7121300E" w14:textId="77777777" w:rsidR="008C4C05" w:rsidRPr="008C4C05" w:rsidRDefault="008C4C05" w:rsidP="008C4C05">
      <w:pPr>
        <w:pStyle w:val="Bibliography"/>
        <w:rPr>
          <w:rFonts w:ascii="Calibri" w:hAnsi="Calibri"/>
        </w:rPr>
      </w:pPr>
      <w:r w:rsidRPr="008C4C05">
        <w:rPr>
          <w:rFonts w:ascii="Calibri" w:hAnsi="Calibri"/>
        </w:rPr>
        <w:t>83</w:t>
      </w:r>
      <w:r w:rsidRPr="008C4C05">
        <w:rPr>
          <w:rFonts w:ascii="Calibri" w:hAnsi="Calibri"/>
        </w:rPr>
        <w:tab/>
        <w:t>Department of Health. National standards for ethnic group and related matters 2005.</w:t>
      </w:r>
    </w:p>
    <w:p w14:paraId="213D7CA1" w14:textId="77777777" w:rsidR="008C4C05" w:rsidRPr="008C4C05" w:rsidRDefault="008C4C05" w:rsidP="008C4C05">
      <w:pPr>
        <w:pStyle w:val="Bibliography"/>
        <w:rPr>
          <w:rFonts w:ascii="Calibri" w:hAnsi="Calibri"/>
        </w:rPr>
      </w:pPr>
      <w:r w:rsidRPr="008C4C05">
        <w:rPr>
          <w:rFonts w:ascii="Calibri" w:hAnsi="Calibri"/>
        </w:rPr>
        <w:t>84</w:t>
      </w:r>
      <w:r w:rsidRPr="008C4C05">
        <w:rPr>
          <w:rFonts w:ascii="Calibri" w:hAnsi="Calibri"/>
        </w:rPr>
        <w:tab/>
        <w:t xml:space="preserve">Cox CE, </w:t>
      </w:r>
      <w:proofErr w:type="spellStart"/>
      <w:r w:rsidRPr="008C4C05">
        <w:rPr>
          <w:rFonts w:ascii="Calibri" w:hAnsi="Calibri"/>
        </w:rPr>
        <w:t>Isaretta</w:t>
      </w:r>
      <w:proofErr w:type="spellEnd"/>
      <w:r w:rsidRPr="008C4C05">
        <w:rPr>
          <w:rFonts w:ascii="Calibri" w:hAnsi="Calibri"/>
        </w:rPr>
        <w:t xml:space="preserve"> L. Riley, , </w:t>
      </w:r>
      <w:proofErr w:type="spellStart"/>
      <w:r w:rsidRPr="008C4C05">
        <w:rPr>
          <w:rFonts w:ascii="Calibri" w:hAnsi="Calibri"/>
        </w:rPr>
        <w:t>Deepshikha</w:t>
      </w:r>
      <w:proofErr w:type="spellEnd"/>
      <w:r w:rsidRPr="008C4C05">
        <w:rPr>
          <w:rFonts w:ascii="Calibri" w:hAnsi="Calibri"/>
        </w:rPr>
        <w:t xml:space="preserve"> C. </w:t>
      </w:r>
      <w:proofErr w:type="spellStart"/>
      <w:r w:rsidRPr="008C4C05">
        <w:rPr>
          <w:rFonts w:ascii="Calibri" w:hAnsi="Calibri"/>
        </w:rPr>
        <w:t>Ashana</w:t>
      </w:r>
      <w:proofErr w:type="spellEnd"/>
      <w:r w:rsidRPr="008C4C05">
        <w:rPr>
          <w:rFonts w:ascii="Calibri" w:hAnsi="Calibri"/>
        </w:rPr>
        <w:t xml:space="preserve">, , Krista Haines, , Maren, K. Olsen, </w:t>
      </w:r>
      <w:r w:rsidRPr="008C4C05">
        <w:rPr>
          <w:rFonts w:ascii="Calibri" w:hAnsi="Calibri"/>
          <w:i/>
          <w:iCs/>
        </w:rPr>
        <w:t>et al.</w:t>
      </w:r>
      <w:r w:rsidRPr="008C4C05">
        <w:rPr>
          <w:rFonts w:ascii="Calibri" w:hAnsi="Calibri"/>
        </w:rPr>
        <w:t xml:space="preserve"> Improving racial disparities in unmet palliative care needs among intensive care unit family members with a needs-targeted app intervention: The </w:t>
      </w:r>
      <w:proofErr w:type="spellStart"/>
      <w:r w:rsidRPr="008C4C05">
        <w:rPr>
          <w:rFonts w:ascii="Calibri" w:hAnsi="Calibri"/>
        </w:rPr>
        <w:t>ICUconnect</w:t>
      </w:r>
      <w:proofErr w:type="spellEnd"/>
      <w:r w:rsidRPr="008C4C05">
        <w:rPr>
          <w:rFonts w:ascii="Calibri" w:hAnsi="Calibri"/>
        </w:rPr>
        <w:t xml:space="preserve"> randomized clinical trial. </w:t>
      </w:r>
      <w:r w:rsidRPr="008C4C05">
        <w:rPr>
          <w:rFonts w:ascii="Calibri" w:hAnsi="Calibri"/>
          <w:i/>
          <w:iCs/>
        </w:rPr>
        <w:t>Contemporary Clinical Trials</w:t>
      </w:r>
      <w:r w:rsidRPr="008C4C05">
        <w:rPr>
          <w:rFonts w:ascii="Calibri" w:hAnsi="Calibri"/>
        </w:rPr>
        <w:t xml:space="preserve"> 2021;</w:t>
      </w:r>
      <w:r w:rsidRPr="008C4C05">
        <w:rPr>
          <w:rFonts w:ascii="Calibri" w:hAnsi="Calibri"/>
          <w:b/>
          <w:bCs/>
        </w:rPr>
        <w:t>103</w:t>
      </w:r>
      <w:r w:rsidRPr="008C4C05">
        <w:rPr>
          <w:rFonts w:ascii="Calibri" w:hAnsi="Calibri"/>
        </w:rPr>
        <w:t>:106319. https://doi.org/10.1016/j.cct.2021.106319.</w:t>
      </w:r>
    </w:p>
    <w:p w14:paraId="4EE2E38F" w14:textId="77777777" w:rsidR="008C4C05" w:rsidRPr="008C4C05" w:rsidRDefault="008C4C05" w:rsidP="008C4C05">
      <w:pPr>
        <w:pStyle w:val="Bibliography"/>
        <w:rPr>
          <w:rFonts w:ascii="Calibri" w:hAnsi="Calibri"/>
        </w:rPr>
      </w:pPr>
      <w:r w:rsidRPr="008C4C05">
        <w:rPr>
          <w:rFonts w:ascii="Calibri" w:hAnsi="Calibri"/>
        </w:rPr>
        <w:t>85</w:t>
      </w:r>
      <w:r w:rsidRPr="008C4C05">
        <w:rPr>
          <w:rFonts w:ascii="Calibri" w:hAnsi="Calibri"/>
        </w:rPr>
        <w:tab/>
        <w:t xml:space="preserve">Harding R, Easterbrook P, Higginson IJ, </w:t>
      </w:r>
      <w:proofErr w:type="spellStart"/>
      <w:r w:rsidRPr="008C4C05">
        <w:rPr>
          <w:rFonts w:ascii="Calibri" w:hAnsi="Calibri"/>
        </w:rPr>
        <w:t>Karus</w:t>
      </w:r>
      <w:proofErr w:type="spellEnd"/>
      <w:r w:rsidRPr="008C4C05">
        <w:rPr>
          <w:rFonts w:ascii="Calibri" w:hAnsi="Calibri"/>
        </w:rPr>
        <w:t xml:space="preserve"> D, </w:t>
      </w:r>
      <w:proofErr w:type="spellStart"/>
      <w:r w:rsidRPr="008C4C05">
        <w:rPr>
          <w:rFonts w:ascii="Calibri" w:hAnsi="Calibri"/>
        </w:rPr>
        <w:t>Raveis</w:t>
      </w:r>
      <w:proofErr w:type="spellEnd"/>
      <w:r w:rsidRPr="008C4C05">
        <w:rPr>
          <w:rFonts w:ascii="Calibri" w:hAnsi="Calibri"/>
        </w:rPr>
        <w:t xml:space="preserve"> VH, Marconi K. Access and equity in HIV/AIDS palliative care: a review of the evidence and responses. </w:t>
      </w:r>
      <w:proofErr w:type="spellStart"/>
      <w:r w:rsidRPr="008C4C05">
        <w:rPr>
          <w:rFonts w:ascii="Calibri" w:hAnsi="Calibri"/>
          <w:i/>
          <w:iCs/>
        </w:rPr>
        <w:t>Palliat</w:t>
      </w:r>
      <w:proofErr w:type="spellEnd"/>
      <w:r w:rsidRPr="008C4C05">
        <w:rPr>
          <w:rFonts w:ascii="Calibri" w:hAnsi="Calibri"/>
          <w:i/>
          <w:iCs/>
        </w:rPr>
        <w:t xml:space="preserve"> Med</w:t>
      </w:r>
      <w:r w:rsidRPr="008C4C05">
        <w:rPr>
          <w:rFonts w:ascii="Calibri" w:hAnsi="Calibri"/>
        </w:rPr>
        <w:t xml:space="preserve"> 2005;</w:t>
      </w:r>
      <w:r w:rsidRPr="008C4C05">
        <w:rPr>
          <w:rFonts w:ascii="Calibri" w:hAnsi="Calibri"/>
          <w:b/>
          <w:bCs/>
        </w:rPr>
        <w:t>19</w:t>
      </w:r>
      <w:r w:rsidRPr="008C4C05">
        <w:rPr>
          <w:rFonts w:ascii="Calibri" w:hAnsi="Calibri"/>
        </w:rPr>
        <w:t>:251–8. https://doi.org/10.1191/0269216305pm1005oa.</w:t>
      </w:r>
    </w:p>
    <w:p w14:paraId="7140D231" w14:textId="77777777" w:rsidR="008C4C05" w:rsidRPr="008C4C05" w:rsidRDefault="008C4C05" w:rsidP="008C4C05">
      <w:pPr>
        <w:pStyle w:val="Bibliography"/>
        <w:rPr>
          <w:rFonts w:ascii="Calibri" w:hAnsi="Calibri"/>
        </w:rPr>
      </w:pPr>
      <w:r w:rsidRPr="008C4C05">
        <w:rPr>
          <w:rFonts w:ascii="Calibri" w:hAnsi="Calibri"/>
        </w:rPr>
        <w:t>86</w:t>
      </w:r>
      <w:r w:rsidRPr="008C4C05">
        <w:rPr>
          <w:rFonts w:ascii="Calibri" w:hAnsi="Calibri"/>
        </w:rPr>
        <w:tab/>
        <w:t xml:space="preserve">Cohen LL. Racial/Ethnic Disparities in Hospice Care: A Systematic Review. </w:t>
      </w:r>
      <w:r w:rsidRPr="008C4C05">
        <w:rPr>
          <w:rFonts w:ascii="Calibri" w:hAnsi="Calibri"/>
          <w:i/>
          <w:iCs/>
        </w:rPr>
        <w:t>Journal of Palliative Medicine</w:t>
      </w:r>
      <w:r w:rsidRPr="008C4C05">
        <w:rPr>
          <w:rFonts w:ascii="Calibri" w:hAnsi="Calibri"/>
        </w:rPr>
        <w:t xml:space="preserve"> 2008;</w:t>
      </w:r>
      <w:r w:rsidRPr="008C4C05">
        <w:rPr>
          <w:rFonts w:ascii="Calibri" w:hAnsi="Calibri"/>
          <w:b/>
          <w:bCs/>
        </w:rPr>
        <w:t>11</w:t>
      </w:r>
      <w:r w:rsidRPr="008C4C05">
        <w:rPr>
          <w:rFonts w:ascii="Calibri" w:hAnsi="Calibri"/>
        </w:rPr>
        <w:t>:763–8. https://doi.org/10.1089/jpm.2007.0216.</w:t>
      </w:r>
    </w:p>
    <w:p w14:paraId="5ECC9B8F" w14:textId="77777777" w:rsidR="008C4C05" w:rsidRPr="008C4C05" w:rsidRDefault="008C4C05" w:rsidP="008C4C05">
      <w:pPr>
        <w:pStyle w:val="Bibliography"/>
        <w:rPr>
          <w:rFonts w:ascii="Calibri" w:hAnsi="Calibri"/>
        </w:rPr>
      </w:pPr>
      <w:r w:rsidRPr="008C4C05">
        <w:rPr>
          <w:rFonts w:ascii="Calibri" w:hAnsi="Calibri"/>
        </w:rPr>
        <w:t>87</w:t>
      </w:r>
      <w:r w:rsidRPr="008C4C05">
        <w:rPr>
          <w:rFonts w:ascii="Calibri" w:hAnsi="Calibri"/>
        </w:rPr>
        <w:tab/>
      </w:r>
      <w:proofErr w:type="spellStart"/>
      <w:r w:rsidRPr="008C4C05">
        <w:rPr>
          <w:rFonts w:ascii="Calibri" w:hAnsi="Calibri"/>
        </w:rPr>
        <w:t>Cemlyn</w:t>
      </w:r>
      <w:proofErr w:type="spellEnd"/>
      <w:r w:rsidRPr="008C4C05">
        <w:rPr>
          <w:rFonts w:ascii="Calibri" w:hAnsi="Calibri"/>
        </w:rPr>
        <w:t xml:space="preserve">, Sarah, Greenfields, Margaret, Burnett, Sally, Matthews, Zoe, Whitwell, Chris. </w:t>
      </w:r>
      <w:r w:rsidRPr="008C4C05">
        <w:rPr>
          <w:rFonts w:ascii="Calibri" w:hAnsi="Calibri"/>
          <w:i/>
          <w:iCs/>
        </w:rPr>
        <w:t>Inequalities experienced by Gypsy and Traveller communities: A review</w:t>
      </w:r>
      <w:r w:rsidRPr="008C4C05">
        <w:rPr>
          <w:rFonts w:ascii="Calibri" w:hAnsi="Calibri"/>
        </w:rPr>
        <w:t>. 2009.</w:t>
      </w:r>
    </w:p>
    <w:p w14:paraId="6A789D3B" w14:textId="77777777" w:rsidR="008C4C05" w:rsidRPr="008C4C05" w:rsidRDefault="008C4C05" w:rsidP="008C4C05">
      <w:pPr>
        <w:pStyle w:val="Bibliography"/>
        <w:rPr>
          <w:rFonts w:ascii="Calibri" w:hAnsi="Calibri"/>
        </w:rPr>
      </w:pPr>
      <w:r w:rsidRPr="008C4C05">
        <w:rPr>
          <w:rFonts w:ascii="Calibri" w:hAnsi="Calibri"/>
        </w:rPr>
        <w:t>88</w:t>
      </w:r>
      <w:r w:rsidRPr="008C4C05">
        <w:rPr>
          <w:rFonts w:ascii="Calibri" w:hAnsi="Calibri"/>
        </w:rPr>
        <w:tab/>
        <w:t xml:space="preserve">Kelly L, Minty A. End-of-life issues for aboriginal patients. </w:t>
      </w:r>
      <w:r w:rsidRPr="008C4C05">
        <w:rPr>
          <w:rFonts w:ascii="Calibri" w:hAnsi="Calibri"/>
          <w:i/>
          <w:iCs/>
        </w:rPr>
        <w:t>Can Fam Physician</w:t>
      </w:r>
      <w:r w:rsidRPr="008C4C05">
        <w:rPr>
          <w:rFonts w:ascii="Calibri" w:hAnsi="Calibri"/>
        </w:rPr>
        <w:t xml:space="preserve"> 2007;</w:t>
      </w:r>
      <w:r w:rsidRPr="008C4C05">
        <w:rPr>
          <w:rFonts w:ascii="Calibri" w:hAnsi="Calibri"/>
          <w:b/>
          <w:bCs/>
        </w:rPr>
        <w:t>53</w:t>
      </w:r>
      <w:r w:rsidRPr="008C4C05">
        <w:rPr>
          <w:rFonts w:ascii="Calibri" w:hAnsi="Calibri"/>
        </w:rPr>
        <w:t>:1459–65.</w:t>
      </w:r>
    </w:p>
    <w:p w14:paraId="3034C9EF" w14:textId="77777777" w:rsidR="008C4C05" w:rsidRPr="008C4C05" w:rsidRDefault="008C4C05" w:rsidP="008C4C05">
      <w:pPr>
        <w:pStyle w:val="Bibliography"/>
        <w:rPr>
          <w:rFonts w:ascii="Calibri" w:hAnsi="Calibri"/>
        </w:rPr>
      </w:pPr>
      <w:r w:rsidRPr="008C4C05">
        <w:rPr>
          <w:rFonts w:ascii="Calibri" w:hAnsi="Calibri"/>
        </w:rPr>
        <w:t>89</w:t>
      </w:r>
      <w:r w:rsidRPr="008C4C05">
        <w:rPr>
          <w:rFonts w:ascii="Calibri" w:hAnsi="Calibri"/>
        </w:rPr>
        <w:tab/>
      </w:r>
      <w:proofErr w:type="spellStart"/>
      <w:r w:rsidRPr="008C4C05">
        <w:rPr>
          <w:rFonts w:ascii="Calibri" w:hAnsi="Calibri"/>
        </w:rPr>
        <w:t>Degenholtz</w:t>
      </w:r>
      <w:proofErr w:type="spellEnd"/>
      <w:r w:rsidRPr="008C4C05">
        <w:rPr>
          <w:rFonts w:ascii="Calibri" w:hAnsi="Calibri"/>
        </w:rPr>
        <w:t xml:space="preserve"> HB, Thomas SB, Miller MJ. Race and the intensive care unit: Disparities and preferences for end-of-life care: </w:t>
      </w:r>
      <w:r w:rsidRPr="008C4C05">
        <w:rPr>
          <w:rFonts w:ascii="Calibri" w:hAnsi="Calibri"/>
          <w:i/>
          <w:iCs/>
        </w:rPr>
        <w:t>Critical Care Medicine</w:t>
      </w:r>
      <w:r w:rsidRPr="008C4C05">
        <w:rPr>
          <w:rFonts w:ascii="Calibri" w:hAnsi="Calibri"/>
        </w:rPr>
        <w:t xml:space="preserve"> 2003;</w:t>
      </w:r>
      <w:r w:rsidRPr="008C4C05">
        <w:rPr>
          <w:rFonts w:ascii="Calibri" w:hAnsi="Calibri"/>
          <w:b/>
          <w:bCs/>
        </w:rPr>
        <w:t>31</w:t>
      </w:r>
      <w:r w:rsidRPr="008C4C05">
        <w:rPr>
          <w:rFonts w:ascii="Calibri" w:hAnsi="Calibri"/>
        </w:rPr>
        <w:t>:S373–8. https://doi.org/10.1097/01.CCM.0000065121.62144.0D.</w:t>
      </w:r>
    </w:p>
    <w:p w14:paraId="7433A612" w14:textId="77777777" w:rsidR="008C4C05" w:rsidRPr="008C4C05" w:rsidRDefault="008C4C05" w:rsidP="008C4C05">
      <w:pPr>
        <w:pStyle w:val="Bibliography"/>
        <w:rPr>
          <w:rFonts w:ascii="Calibri" w:hAnsi="Calibri"/>
        </w:rPr>
      </w:pPr>
      <w:r w:rsidRPr="008C4C05">
        <w:rPr>
          <w:rFonts w:ascii="Calibri" w:hAnsi="Calibri"/>
        </w:rPr>
        <w:t>90</w:t>
      </w:r>
      <w:r w:rsidRPr="008C4C05">
        <w:rPr>
          <w:rFonts w:ascii="Calibri" w:hAnsi="Calibri"/>
        </w:rPr>
        <w:tab/>
      </w:r>
      <w:proofErr w:type="spellStart"/>
      <w:r w:rsidRPr="008C4C05">
        <w:rPr>
          <w:rFonts w:ascii="Calibri" w:hAnsi="Calibri"/>
        </w:rPr>
        <w:t>Koffman</w:t>
      </w:r>
      <w:proofErr w:type="spellEnd"/>
      <w:r w:rsidRPr="008C4C05">
        <w:rPr>
          <w:rFonts w:ascii="Calibri" w:hAnsi="Calibri"/>
        </w:rPr>
        <w:t xml:space="preserve"> J, Higginson IJ. </w:t>
      </w:r>
      <w:r w:rsidRPr="008C4C05">
        <w:rPr>
          <w:rFonts w:ascii="Calibri" w:hAnsi="Calibri"/>
          <w:i/>
          <w:iCs/>
        </w:rPr>
        <w:t>Dying to be Home? Preferred Location of Death of First-Generation Black Caribbean and Native-Born White Patients in the United Kingdom</w:t>
      </w:r>
      <w:r w:rsidRPr="008C4C05">
        <w:rPr>
          <w:rFonts w:ascii="Calibri" w:hAnsi="Calibri"/>
        </w:rPr>
        <w:t>. Https://Home.Liebertpub.Com/Jpm. Mary Ann Liebert, Inc.  2 Madison Avenue Larchmont, NY 10538 USA; 2004. https://doi.org/10.1089/jpm.2004.7.628.</w:t>
      </w:r>
    </w:p>
    <w:p w14:paraId="7C76EEFB" w14:textId="77777777" w:rsidR="008C4C05" w:rsidRPr="008C4C05" w:rsidRDefault="008C4C05" w:rsidP="008C4C05">
      <w:pPr>
        <w:pStyle w:val="Bibliography"/>
        <w:rPr>
          <w:rFonts w:ascii="Calibri" w:hAnsi="Calibri"/>
        </w:rPr>
      </w:pPr>
      <w:r w:rsidRPr="008C4C05">
        <w:rPr>
          <w:rFonts w:ascii="Calibri" w:hAnsi="Calibri"/>
        </w:rPr>
        <w:t>91</w:t>
      </w:r>
      <w:r w:rsidRPr="008C4C05">
        <w:rPr>
          <w:rFonts w:ascii="Calibri" w:hAnsi="Calibri"/>
        </w:rPr>
        <w:tab/>
        <w:t xml:space="preserve">Seymour J, Payne S, Chapman A, Holloway M. Hospice or home? Expectations of end‐of‐life care among white and Chinese older people in the UK. </w:t>
      </w:r>
      <w:r w:rsidRPr="008C4C05">
        <w:rPr>
          <w:rFonts w:ascii="Calibri" w:hAnsi="Calibri"/>
          <w:i/>
          <w:iCs/>
        </w:rPr>
        <w:t>Sociology of Health &amp; Illness</w:t>
      </w:r>
      <w:r w:rsidRPr="008C4C05">
        <w:rPr>
          <w:rFonts w:ascii="Calibri" w:hAnsi="Calibri"/>
        </w:rPr>
        <w:t xml:space="preserve"> 2007;</w:t>
      </w:r>
      <w:r w:rsidRPr="008C4C05">
        <w:rPr>
          <w:rFonts w:ascii="Calibri" w:hAnsi="Calibri"/>
          <w:b/>
          <w:bCs/>
        </w:rPr>
        <w:t>29</w:t>
      </w:r>
      <w:r w:rsidRPr="008C4C05">
        <w:rPr>
          <w:rFonts w:ascii="Calibri" w:hAnsi="Calibri"/>
        </w:rPr>
        <w:t>:872–90. https://doi.org/10.1111/j.1467-9566.2007.01045.x.</w:t>
      </w:r>
    </w:p>
    <w:p w14:paraId="79BB097E" w14:textId="77777777" w:rsidR="008C4C05" w:rsidRPr="008C4C05" w:rsidRDefault="008C4C05" w:rsidP="008C4C05">
      <w:pPr>
        <w:pStyle w:val="Bibliography"/>
        <w:rPr>
          <w:rFonts w:ascii="Calibri" w:hAnsi="Calibri"/>
        </w:rPr>
      </w:pPr>
      <w:r w:rsidRPr="008C4C05">
        <w:rPr>
          <w:rFonts w:ascii="Calibri" w:hAnsi="Calibri"/>
        </w:rPr>
        <w:t>92</w:t>
      </w:r>
      <w:r w:rsidRPr="008C4C05">
        <w:rPr>
          <w:rFonts w:ascii="Calibri" w:hAnsi="Calibri"/>
        </w:rPr>
        <w:tab/>
        <w:t xml:space="preserve">Walter JA, Walter, T, Walter. </w:t>
      </w:r>
      <w:r w:rsidRPr="008C4C05">
        <w:rPr>
          <w:rFonts w:ascii="Calibri" w:hAnsi="Calibri"/>
          <w:i/>
          <w:iCs/>
        </w:rPr>
        <w:t>The Revival of Death</w:t>
      </w:r>
      <w:r w:rsidRPr="008C4C05">
        <w:rPr>
          <w:rFonts w:ascii="Calibri" w:hAnsi="Calibri"/>
        </w:rPr>
        <w:t>. 1994.</w:t>
      </w:r>
    </w:p>
    <w:p w14:paraId="17681FC9" w14:textId="77777777" w:rsidR="008C4C05" w:rsidRPr="008C4C05" w:rsidRDefault="008C4C05" w:rsidP="008C4C05">
      <w:pPr>
        <w:pStyle w:val="Bibliography"/>
        <w:rPr>
          <w:rFonts w:ascii="Calibri" w:hAnsi="Calibri"/>
        </w:rPr>
      </w:pPr>
      <w:r w:rsidRPr="008C4C05">
        <w:rPr>
          <w:rFonts w:ascii="Calibri" w:hAnsi="Calibri"/>
        </w:rPr>
        <w:t>93</w:t>
      </w:r>
      <w:r w:rsidRPr="008C4C05">
        <w:rPr>
          <w:rFonts w:ascii="Calibri" w:hAnsi="Calibri"/>
        </w:rPr>
        <w:tab/>
        <w:t xml:space="preserve">Seale, C. </w:t>
      </w:r>
      <w:r w:rsidRPr="008C4C05">
        <w:rPr>
          <w:rFonts w:ascii="Calibri" w:hAnsi="Calibri"/>
          <w:i/>
          <w:iCs/>
        </w:rPr>
        <w:t>Constructing Death, The sociology of dying and bereavement</w:t>
      </w:r>
      <w:r w:rsidRPr="008C4C05">
        <w:rPr>
          <w:rFonts w:ascii="Calibri" w:hAnsi="Calibri"/>
        </w:rPr>
        <w:t>. 1998.</w:t>
      </w:r>
    </w:p>
    <w:p w14:paraId="109822FC" w14:textId="77777777" w:rsidR="008C4C05" w:rsidRPr="008C4C05" w:rsidRDefault="008C4C05" w:rsidP="008C4C05">
      <w:pPr>
        <w:pStyle w:val="Bibliography"/>
        <w:rPr>
          <w:rFonts w:ascii="Calibri" w:hAnsi="Calibri"/>
        </w:rPr>
      </w:pPr>
      <w:r w:rsidRPr="008C4C05">
        <w:rPr>
          <w:rFonts w:ascii="Calibri" w:hAnsi="Calibri"/>
        </w:rPr>
        <w:t>94</w:t>
      </w:r>
      <w:r w:rsidRPr="008C4C05">
        <w:rPr>
          <w:rFonts w:ascii="Calibri" w:hAnsi="Calibri"/>
        </w:rPr>
        <w:tab/>
        <w:t xml:space="preserve">Long SO. Cultural scripts for a good death in Japan and the United States: similarities and differences. </w:t>
      </w:r>
      <w:r w:rsidRPr="008C4C05">
        <w:rPr>
          <w:rFonts w:ascii="Calibri" w:hAnsi="Calibri"/>
          <w:i/>
          <w:iCs/>
        </w:rPr>
        <w:t>Social Science &amp; Medicine</w:t>
      </w:r>
      <w:r w:rsidRPr="008C4C05">
        <w:rPr>
          <w:rFonts w:ascii="Calibri" w:hAnsi="Calibri"/>
        </w:rPr>
        <w:t xml:space="preserve"> 2004;</w:t>
      </w:r>
      <w:r w:rsidRPr="008C4C05">
        <w:rPr>
          <w:rFonts w:ascii="Calibri" w:hAnsi="Calibri"/>
          <w:b/>
          <w:bCs/>
        </w:rPr>
        <w:t>58</w:t>
      </w:r>
      <w:r w:rsidRPr="008C4C05">
        <w:rPr>
          <w:rFonts w:ascii="Calibri" w:hAnsi="Calibri"/>
        </w:rPr>
        <w:t>:913–28. https://doi.org/10.1016/j.socscimed.2003.10.037.</w:t>
      </w:r>
    </w:p>
    <w:p w14:paraId="3782E388" w14:textId="77777777" w:rsidR="008C4C05" w:rsidRPr="00D74EFC" w:rsidRDefault="008C4C05" w:rsidP="008C4C05">
      <w:pPr>
        <w:pStyle w:val="Bibliography"/>
        <w:rPr>
          <w:rFonts w:ascii="Calibri" w:hAnsi="Calibri"/>
          <w:lang w:val="de-DE"/>
        </w:rPr>
      </w:pPr>
      <w:r w:rsidRPr="008C4C05">
        <w:rPr>
          <w:rFonts w:ascii="Calibri" w:hAnsi="Calibri"/>
        </w:rPr>
        <w:lastRenderedPageBreak/>
        <w:t>95</w:t>
      </w:r>
      <w:r w:rsidRPr="008C4C05">
        <w:rPr>
          <w:rFonts w:ascii="Calibri" w:hAnsi="Calibri"/>
        </w:rPr>
        <w:tab/>
        <w:t xml:space="preserve">Williams BR, Lewis, Donna R, </w:t>
      </w:r>
      <w:proofErr w:type="spellStart"/>
      <w:r w:rsidRPr="008C4C05">
        <w:rPr>
          <w:rFonts w:ascii="Calibri" w:hAnsi="Calibri"/>
        </w:rPr>
        <w:t>Burgio</w:t>
      </w:r>
      <w:proofErr w:type="spellEnd"/>
      <w:r w:rsidRPr="008C4C05">
        <w:rPr>
          <w:rFonts w:ascii="Calibri" w:hAnsi="Calibri"/>
        </w:rPr>
        <w:t xml:space="preserve">, Kathryn L, Goode, Patricia S. </w:t>
      </w:r>
      <w:r w:rsidRPr="008C4C05">
        <w:rPr>
          <w:rFonts w:ascii="Calibri" w:hAnsi="Calibri"/>
          <w:i/>
          <w:iCs/>
        </w:rPr>
        <w:t>“Wrapped in Their Arms”: Next-of-Kin’s Perceptions of How... : Journal of Hospice &amp; Palliative Nursing</w:t>
      </w:r>
      <w:r w:rsidRPr="008C4C05">
        <w:rPr>
          <w:rFonts w:ascii="Calibri" w:hAnsi="Calibri"/>
        </w:rPr>
        <w:t xml:space="preserve">. </w:t>
      </w:r>
      <w:r w:rsidRPr="00D74EFC">
        <w:rPr>
          <w:rFonts w:ascii="Calibri" w:hAnsi="Calibri"/>
          <w:lang w:val="de-DE"/>
        </w:rPr>
        <w:t>LWW. 2012. https://doi.org/10.1097/NJH.0b013e31825d2af1.</w:t>
      </w:r>
    </w:p>
    <w:p w14:paraId="335FA4E9" w14:textId="77777777" w:rsidR="008C4C05" w:rsidRPr="008C4C05" w:rsidRDefault="008C4C05" w:rsidP="008C4C05">
      <w:pPr>
        <w:pStyle w:val="Bibliography"/>
        <w:rPr>
          <w:rFonts w:ascii="Calibri" w:hAnsi="Calibri"/>
        </w:rPr>
      </w:pPr>
      <w:r w:rsidRPr="00D74EFC">
        <w:rPr>
          <w:rFonts w:ascii="Calibri" w:hAnsi="Calibri"/>
          <w:lang w:val="de-DE"/>
        </w:rPr>
        <w:t>96</w:t>
      </w:r>
      <w:r w:rsidRPr="00D74EFC">
        <w:rPr>
          <w:rFonts w:ascii="Calibri" w:hAnsi="Calibri"/>
          <w:lang w:val="de-DE"/>
        </w:rPr>
        <w:tab/>
        <w:t xml:space="preserve">Heidenreich M, Fung </w:t>
      </w:r>
      <w:proofErr w:type="spellStart"/>
      <w:r w:rsidRPr="00D74EFC">
        <w:rPr>
          <w:rFonts w:ascii="Calibri" w:hAnsi="Calibri"/>
          <w:lang w:val="de-DE"/>
        </w:rPr>
        <w:t>KuenKoo</w:t>
      </w:r>
      <w:proofErr w:type="spellEnd"/>
      <w:r w:rsidRPr="00D74EFC">
        <w:rPr>
          <w:rFonts w:ascii="Calibri" w:hAnsi="Calibri"/>
          <w:lang w:val="de-DE"/>
        </w:rPr>
        <w:t xml:space="preserve">, </w:t>
      </w:r>
      <w:proofErr w:type="spellStart"/>
      <w:r w:rsidRPr="00D74EFC">
        <w:rPr>
          <w:rFonts w:ascii="Calibri" w:hAnsi="Calibri"/>
          <w:lang w:val="de-DE"/>
        </w:rPr>
        <w:t>KateWhite</w:t>
      </w:r>
      <w:proofErr w:type="spellEnd"/>
      <w:r w:rsidRPr="00D74EFC">
        <w:rPr>
          <w:rFonts w:ascii="Calibri" w:hAnsi="Calibri"/>
          <w:lang w:val="de-DE"/>
        </w:rPr>
        <w:t xml:space="preserve">. </w:t>
      </w:r>
      <w:r w:rsidRPr="008C4C05">
        <w:rPr>
          <w:rFonts w:ascii="Calibri" w:hAnsi="Calibri"/>
        </w:rPr>
        <w:t xml:space="preserve">The experience of Chinese immigrant women in caring for a terminally ill family member in Australia. </w:t>
      </w:r>
      <w:r w:rsidRPr="008C4C05">
        <w:rPr>
          <w:rFonts w:ascii="Calibri" w:hAnsi="Calibri"/>
          <w:i/>
          <w:iCs/>
        </w:rPr>
        <w:t>Collegian</w:t>
      </w:r>
      <w:r w:rsidRPr="008C4C05">
        <w:rPr>
          <w:rFonts w:ascii="Calibri" w:hAnsi="Calibri"/>
        </w:rPr>
        <w:t xml:space="preserve"> 2014;</w:t>
      </w:r>
      <w:r w:rsidRPr="008C4C05">
        <w:rPr>
          <w:rFonts w:ascii="Calibri" w:hAnsi="Calibri"/>
          <w:b/>
          <w:bCs/>
        </w:rPr>
        <w:t>21</w:t>
      </w:r>
      <w:r w:rsidRPr="008C4C05">
        <w:rPr>
          <w:rFonts w:ascii="Calibri" w:hAnsi="Calibri"/>
        </w:rPr>
        <w:t>:275–85. https://doi.org/10.1016/j.colegn.2013.06.002.</w:t>
      </w:r>
    </w:p>
    <w:p w14:paraId="77464393" w14:textId="77777777" w:rsidR="008C4C05" w:rsidRPr="008C4C05" w:rsidRDefault="008C4C05" w:rsidP="008C4C05">
      <w:pPr>
        <w:pStyle w:val="Bibliography"/>
        <w:rPr>
          <w:rFonts w:ascii="Calibri" w:hAnsi="Calibri"/>
        </w:rPr>
      </w:pPr>
      <w:r w:rsidRPr="008C4C05">
        <w:rPr>
          <w:rFonts w:ascii="Calibri" w:hAnsi="Calibri"/>
        </w:rPr>
        <w:t>97</w:t>
      </w:r>
      <w:r w:rsidRPr="008C4C05">
        <w:rPr>
          <w:rFonts w:ascii="Calibri" w:hAnsi="Calibri"/>
        </w:rPr>
        <w:tab/>
        <w:t xml:space="preserve">Kwok HHY, Low J, </w:t>
      </w:r>
      <w:proofErr w:type="spellStart"/>
      <w:r w:rsidRPr="008C4C05">
        <w:rPr>
          <w:rFonts w:ascii="Calibri" w:hAnsi="Calibri"/>
        </w:rPr>
        <w:t>Devakumar</w:t>
      </w:r>
      <w:proofErr w:type="spellEnd"/>
      <w:r w:rsidRPr="008C4C05">
        <w:rPr>
          <w:rFonts w:ascii="Calibri" w:hAnsi="Calibri"/>
        </w:rPr>
        <w:t xml:space="preserve"> D, Candy B. Experience and perspectives on palliative or end-of-life care of Chinese people and their families as immigrants to high-income countries: a systematic review and thematic synthesis. </w:t>
      </w:r>
      <w:r w:rsidRPr="008C4C05">
        <w:rPr>
          <w:rFonts w:ascii="Calibri" w:hAnsi="Calibri"/>
          <w:i/>
          <w:iCs/>
        </w:rPr>
        <w:t>BMJ Global Health</w:t>
      </w:r>
      <w:r w:rsidRPr="008C4C05">
        <w:rPr>
          <w:rFonts w:ascii="Calibri" w:hAnsi="Calibri"/>
        </w:rPr>
        <w:t xml:space="preserve"> 2020;</w:t>
      </w:r>
      <w:r w:rsidRPr="008C4C05">
        <w:rPr>
          <w:rFonts w:ascii="Calibri" w:hAnsi="Calibri"/>
          <w:b/>
          <w:bCs/>
        </w:rPr>
        <w:t>5</w:t>
      </w:r>
      <w:r w:rsidRPr="008C4C05">
        <w:rPr>
          <w:rFonts w:ascii="Calibri" w:hAnsi="Calibri"/>
        </w:rPr>
        <w:t>:e003232. https://doi.org/10.1136/bmjgh-2020-003232.</w:t>
      </w:r>
    </w:p>
    <w:p w14:paraId="5D9B62CD" w14:textId="77777777" w:rsidR="008C4C05" w:rsidRPr="008C4C05" w:rsidRDefault="008C4C05" w:rsidP="008C4C05">
      <w:pPr>
        <w:pStyle w:val="Bibliography"/>
        <w:rPr>
          <w:rFonts w:ascii="Calibri" w:hAnsi="Calibri"/>
        </w:rPr>
      </w:pPr>
      <w:r w:rsidRPr="008C4C05">
        <w:rPr>
          <w:rFonts w:ascii="Calibri" w:hAnsi="Calibri"/>
        </w:rPr>
        <w:t>98</w:t>
      </w:r>
      <w:r w:rsidRPr="008C4C05">
        <w:rPr>
          <w:rFonts w:ascii="Calibri" w:hAnsi="Calibri"/>
        </w:rPr>
        <w:tab/>
        <w:t xml:space="preserve">Johnson KS. Racial and Ethnic Disparities in Palliative Care. </w:t>
      </w:r>
      <w:r w:rsidRPr="008C4C05">
        <w:rPr>
          <w:rFonts w:ascii="Calibri" w:hAnsi="Calibri"/>
          <w:i/>
          <w:iCs/>
        </w:rPr>
        <w:t xml:space="preserve">J </w:t>
      </w:r>
      <w:proofErr w:type="spellStart"/>
      <w:r w:rsidRPr="008C4C05">
        <w:rPr>
          <w:rFonts w:ascii="Calibri" w:hAnsi="Calibri"/>
          <w:i/>
          <w:iCs/>
        </w:rPr>
        <w:t>Palliat</w:t>
      </w:r>
      <w:proofErr w:type="spellEnd"/>
      <w:r w:rsidRPr="008C4C05">
        <w:rPr>
          <w:rFonts w:ascii="Calibri" w:hAnsi="Calibri"/>
          <w:i/>
          <w:iCs/>
        </w:rPr>
        <w:t xml:space="preserve"> Med</w:t>
      </w:r>
      <w:r w:rsidRPr="008C4C05">
        <w:rPr>
          <w:rFonts w:ascii="Calibri" w:hAnsi="Calibri"/>
        </w:rPr>
        <w:t xml:space="preserve"> 2013;</w:t>
      </w:r>
      <w:r w:rsidRPr="008C4C05">
        <w:rPr>
          <w:rFonts w:ascii="Calibri" w:hAnsi="Calibri"/>
          <w:b/>
          <w:bCs/>
        </w:rPr>
        <w:t>16</w:t>
      </w:r>
      <w:r w:rsidRPr="008C4C05">
        <w:rPr>
          <w:rFonts w:ascii="Calibri" w:hAnsi="Calibri"/>
        </w:rPr>
        <w:t>:1329–34. https://doi.org/10.1089/jpm.2013.9468.</w:t>
      </w:r>
    </w:p>
    <w:p w14:paraId="2D2A2AD1" w14:textId="77777777" w:rsidR="008C4C05" w:rsidRPr="008C4C05" w:rsidRDefault="008C4C05" w:rsidP="008C4C05">
      <w:pPr>
        <w:pStyle w:val="Bibliography"/>
        <w:rPr>
          <w:rFonts w:ascii="Calibri" w:hAnsi="Calibri"/>
        </w:rPr>
      </w:pPr>
      <w:r w:rsidRPr="008C4C05">
        <w:rPr>
          <w:rFonts w:ascii="Calibri" w:hAnsi="Calibri"/>
        </w:rPr>
        <w:t>99</w:t>
      </w:r>
      <w:r w:rsidRPr="008C4C05">
        <w:rPr>
          <w:rFonts w:ascii="Calibri" w:hAnsi="Calibri"/>
        </w:rPr>
        <w:tab/>
        <w:t xml:space="preserve">Ornstein, KA, David L. Roth,, </w:t>
      </w:r>
      <w:proofErr w:type="spellStart"/>
      <w:r w:rsidRPr="008C4C05">
        <w:rPr>
          <w:rFonts w:ascii="Calibri" w:hAnsi="Calibri"/>
        </w:rPr>
        <w:t>Jin</w:t>
      </w:r>
      <w:proofErr w:type="spellEnd"/>
      <w:r w:rsidRPr="008C4C05">
        <w:rPr>
          <w:rFonts w:ascii="Calibri" w:hAnsi="Calibri"/>
        </w:rPr>
        <w:t xml:space="preserve"> Huang,. </w:t>
      </w:r>
      <w:r w:rsidRPr="008C4C05">
        <w:rPr>
          <w:rFonts w:ascii="Calibri" w:hAnsi="Calibri"/>
          <w:i/>
          <w:iCs/>
        </w:rPr>
        <w:t>Evaluation of Racial Disparities in Hospice Use and End-of-Life Treatment Intensity in the REGARDS Cohort</w:t>
      </w:r>
      <w:r w:rsidRPr="008C4C05">
        <w:rPr>
          <w:rFonts w:ascii="Calibri" w:hAnsi="Calibri"/>
        </w:rPr>
        <w:t>. 2020. URL: https://jamanetwork.com/journals/jamanetworkopen/article-abstract/2769692 (Accessed 24 February 2021).</w:t>
      </w:r>
    </w:p>
    <w:p w14:paraId="45B94D52" w14:textId="77777777" w:rsidR="008C4C05" w:rsidRPr="008C4C05" w:rsidRDefault="008C4C05" w:rsidP="008C4C05">
      <w:pPr>
        <w:pStyle w:val="Bibliography"/>
        <w:rPr>
          <w:rFonts w:ascii="Calibri" w:hAnsi="Calibri"/>
        </w:rPr>
      </w:pPr>
      <w:r w:rsidRPr="008C4C05">
        <w:rPr>
          <w:rFonts w:ascii="Calibri" w:hAnsi="Calibri"/>
        </w:rPr>
        <w:t>100</w:t>
      </w:r>
      <w:r w:rsidRPr="008C4C05">
        <w:rPr>
          <w:rFonts w:ascii="Calibri" w:hAnsi="Calibri"/>
        </w:rPr>
        <w:tab/>
        <w:t xml:space="preserve">Taylor L, Islam Z, </w:t>
      </w:r>
      <w:proofErr w:type="spellStart"/>
      <w:r w:rsidRPr="008C4C05">
        <w:rPr>
          <w:rFonts w:ascii="Calibri" w:hAnsi="Calibri"/>
        </w:rPr>
        <w:t>Eborall</w:t>
      </w:r>
      <w:proofErr w:type="spellEnd"/>
      <w:r w:rsidRPr="008C4C05">
        <w:rPr>
          <w:rFonts w:ascii="Calibri" w:hAnsi="Calibri"/>
        </w:rPr>
        <w:t xml:space="preserve"> H, </w:t>
      </w:r>
      <w:proofErr w:type="spellStart"/>
      <w:r w:rsidRPr="008C4C05">
        <w:rPr>
          <w:rFonts w:ascii="Calibri" w:hAnsi="Calibri"/>
        </w:rPr>
        <w:t>Miodrag</w:t>
      </w:r>
      <w:proofErr w:type="spellEnd"/>
      <w:r w:rsidRPr="008C4C05">
        <w:rPr>
          <w:rFonts w:ascii="Calibri" w:hAnsi="Calibri"/>
        </w:rPr>
        <w:t xml:space="preserve"> D, Gamble W, Faull C. P-95 Thinking ahead: discussing resuscitation decisions with diverse communities. </w:t>
      </w:r>
      <w:r w:rsidRPr="008C4C05">
        <w:rPr>
          <w:rFonts w:ascii="Calibri" w:hAnsi="Calibri"/>
          <w:i/>
          <w:iCs/>
        </w:rPr>
        <w:t>BMJ Supportive &amp; Palliative Care</w:t>
      </w:r>
      <w:r w:rsidRPr="008C4C05">
        <w:rPr>
          <w:rFonts w:ascii="Calibri" w:hAnsi="Calibri"/>
        </w:rPr>
        <w:t xml:space="preserve"> 2017;</w:t>
      </w:r>
      <w:r w:rsidRPr="008C4C05">
        <w:rPr>
          <w:rFonts w:ascii="Calibri" w:hAnsi="Calibri"/>
          <w:b/>
          <w:bCs/>
        </w:rPr>
        <w:t>7</w:t>
      </w:r>
      <w:r w:rsidRPr="008C4C05">
        <w:rPr>
          <w:rFonts w:ascii="Calibri" w:hAnsi="Calibri"/>
        </w:rPr>
        <w:t>:A35–A35. https://doi.org/10.1136/bmjspcare-2017-00133.94.</w:t>
      </w:r>
    </w:p>
    <w:p w14:paraId="70D821DF" w14:textId="77777777" w:rsidR="008C4C05" w:rsidRPr="008C4C05" w:rsidRDefault="008C4C05" w:rsidP="008C4C05">
      <w:pPr>
        <w:pStyle w:val="Bibliography"/>
        <w:rPr>
          <w:rFonts w:ascii="Calibri" w:hAnsi="Calibri"/>
        </w:rPr>
      </w:pPr>
      <w:r w:rsidRPr="008C4C05">
        <w:rPr>
          <w:rFonts w:ascii="Calibri" w:hAnsi="Calibri"/>
        </w:rPr>
        <w:t>101</w:t>
      </w:r>
      <w:r w:rsidRPr="008C4C05">
        <w:rPr>
          <w:rFonts w:ascii="Calibri" w:hAnsi="Calibri"/>
        </w:rPr>
        <w:tab/>
      </w:r>
      <w:proofErr w:type="spellStart"/>
      <w:r w:rsidRPr="008C4C05">
        <w:rPr>
          <w:rFonts w:ascii="Calibri" w:hAnsi="Calibri"/>
        </w:rPr>
        <w:t>Koffman</w:t>
      </w:r>
      <w:proofErr w:type="spellEnd"/>
      <w:r w:rsidRPr="008C4C05">
        <w:rPr>
          <w:rFonts w:ascii="Calibri" w:hAnsi="Calibri"/>
        </w:rPr>
        <w:t xml:space="preserve"> J, Ho YK, Davies J, Gao W, Higginson IJ. Does Ethnicity Affect Where People with Cancer Die? A Population-Based 10 Year Study. </w:t>
      </w:r>
      <w:r w:rsidRPr="008C4C05">
        <w:rPr>
          <w:rFonts w:ascii="Calibri" w:hAnsi="Calibri"/>
          <w:i/>
          <w:iCs/>
        </w:rPr>
        <w:t>PLOS ONE</w:t>
      </w:r>
      <w:r w:rsidRPr="008C4C05">
        <w:rPr>
          <w:rFonts w:ascii="Calibri" w:hAnsi="Calibri"/>
        </w:rPr>
        <w:t xml:space="preserve"> 2014;</w:t>
      </w:r>
      <w:r w:rsidRPr="008C4C05">
        <w:rPr>
          <w:rFonts w:ascii="Calibri" w:hAnsi="Calibri"/>
          <w:b/>
          <w:bCs/>
        </w:rPr>
        <w:t>9</w:t>
      </w:r>
      <w:r w:rsidRPr="008C4C05">
        <w:rPr>
          <w:rFonts w:ascii="Calibri" w:hAnsi="Calibri"/>
        </w:rPr>
        <w:t>:e95052. https://doi.org/10.1371/journal.pone.0095052.</w:t>
      </w:r>
    </w:p>
    <w:p w14:paraId="2E98551C" w14:textId="77777777" w:rsidR="008C4C05" w:rsidRPr="008C4C05" w:rsidRDefault="008C4C05" w:rsidP="008C4C05">
      <w:pPr>
        <w:pStyle w:val="Bibliography"/>
        <w:rPr>
          <w:rFonts w:ascii="Calibri" w:hAnsi="Calibri"/>
        </w:rPr>
      </w:pPr>
      <w:r w:rsidRPr="008C4C05">
        <w:rPr>
          <w:rFonts w:ascii="Calibri" w:hAnsi="Calibri"/>
        </w:rPr>
        <w:t>102</w:t>
      </w:r>
      <w:r w:rsidRPr="008C4C05">
        <w:rPr>
          <w:rFonts w:ascii="Calibri" w:hAnsi="Calibri"/>
        </w:rPr>
        <w:tab/>
      </w:r>
      <w:proofErr w:type="spellStart"/>
      <w:r w:rsidRPr="008C4C05">
        <w:rPr>
          <w:rFonts w:ascii="Calibri" w:hAnsi="Calibri"/>
        </w:rPr>
        <w:t>Frearson</w:t>
      </w:r>
      <w:proofErr w:type="spellEnd"/>
      <w:r w:rsidRPr="008C4C05">
        <w:rPr>
          <w:rFonts w:ascii="Calibri" w:hAnsi="Calibri"/>
        </w:rPr>
        <w:t xml:space="preserve"> S, Henderson, Jane, </w:t>
      </w:r>
      <w:proofErr w:type="spellStart"/>
      <w:r w:rsidRPr="008C4C05">
        <w:rPr>
          <w:rFonts w:ascii="Calibri" w:hAnsi="Calibri"/>
        </w:rPr>
        <w:t>Raval</w:t>
      </w:r>
      <w:proofErr w:type="spellEnd"/>
      <w:r w:rsidRPr="008C4C05">
        <w:rPr>
          <w:rFonts w:ascii="Calibri" w:hAnsi="Calibri"/>
        </w:rPr>
        <w:t xml:space="preserve">, Bharti, Daniels, Charles, Burke, Geraldine, </w:t>
      </w:r>
      <w:proofErr w:type="spellStart"/>
      <w:r w:rsidRPr="008C4C05">
        <w:rPr>
          <w:rFonts w:ascii="Calibri" w:hAnsi="Calibri"/>
        </w:rPr>
        <w:t>Koffman</w:t>
      </w:r>
      <w:proofErr w:type="spellEnd"/>
      <w:r w:rsidRPr="008C4C05">
        <w:rPr>
          <w:rFonts w:ascii="Calibri" w:hAnsi="Calibri"/>
        </w:rPr>
        <w:t xml:space="preserve">, Jonathan. </w:t>
      </w:r>
      <w:r w:rsidRPr="008C4C05">
        <w:rPr>
          <w:rFonts w:ascii="Calibri" w:hAnsi="Calibri"/>
          <w:i/>
          <w:iCs/>
        </w:rPr>
        <w:t>END-OF-LIFE CARE FOR THE BRITISH ASIAN HINDU COMMUNITY: PREFERENCES AND SOLUTIONS.</w:t>
      </w:r>
      <w:r w:rsidRPr="008C4C05">
        <w:rPr>
          <w:rFonts w:ascii="Calibri" w:hAnsi="Calibri"/>
        </w:rPr>
        <w:t xml:space="preserve"> 2013. URL: https://web.b.ebscohost.com/abstract?direct=true&amp;profile=ehost&amp;scope=site&amp;authtype=crawler&amp;jrnl=20476361&amp;AN=90453994&amp;h=ZCo1Cg%2b5ElgLg9HaL%2bSgavZSaAHjntjmZkas0HE8O6FIjRiR5ODZllRYH0xv8pTufCJqSCooEJdr4i%2fjjz3T6A%3d%3d&amp;crl=c&amp;resultNs=AdminWebAuth&amp;resultLocal=ErrCrlNotAuth&amp;crlhashurl=login.aspx%3fdirect%3dtrue%26profile%3dehost%26scope%3dsite%26authtype%3dcrawler%26jrnl%3d20476361%26AN%3d90453994 (Accessed 19 February 2021).</w:t>
      </w:r>
    </w:p>
    <w:p w14:paraId="2505D8A2" w14:textId="77777777" w:rsidR="008C4C05" w:rsidRPr="008C4C05" w:rsidRDefault="008C4C05" w:rsidP="008C4C05">
      <w:pPr>
        <w:pStyle w:val="Bibliography"/>
        <w:rPr>
          <w:rFonts w:ascii="Calibri" w:hAnsi="Calibri"/>
        </w:rPr>
      </w:pPr>
      <w:r w:rsidRPr="008C4C05">
        <w:rPr>
          <w:rFonts w:ascii="Calibri" w:hAnsi="Calibri"/>
        </w:rPr>
        <w:t>103</w:t>
      </w:r>
      <w:r w:rsidRPr="008C4C05">
        <w:rPr>
          <w:rFonts w:ascii="Calibri" w:hAnsi="Calibri"/>
        </w:rPr>
        <w:tab/>
        <w:t xml:space="preserve">Culver J, Pl A, </w:t>
      </w:r>
      <w:proofErr w:type="spellStart"/>
      <w:r w:rsidRPr="008C4C05">
        <w:rPr>
          <w:rFonts w:ascii="Calibri" w:hAnsi="Calibri"/>
        </w:rPr>
        <w:t>Mh</w:t>
      </w:r>
      <w:proofErr w:type="spellEnd"/>
      <w:r w:rsidRPr="008C4C05">
        <w:rPr>
          <w:rFonts w:ascii="Calibri" w:hAnsi="Calibri"/>
        </w:rPr>
        <w:t xml:space="preserve"> A, Cs C. </w:t>
      </w:r>
      <w:r w:rsidRPr="008C4C05">
        <w:rPr>
          <w:rFonts w:ascii="Calibri" w:hAnsi="Calibri"/>
          <w:i/>
          <w:iCs/>
        </w:rPr>
        <w:t>Coping and distress among women under treatment for early stage breast cancer: comparing African Americans, Hispanics and non-Hispanic Whites</w:t>
      </w:r>
      <w:r w:rsidRPr="008C4C05">
        <w:rPr>
          <w:rFonts w:ascii="Calibri" w:hAnsi="Calibri"/>
        </w:rPr>
        <w:t xml:space="preserve">. Psycho-Oncology. </w:t>
      </w:r>
      <w:proofErr w:type="spellStart"/>
      <w:r w:rsidRPr="008C4C05">
        <w:rPr>
          <w:rFonts w:ascii="Calibri" w:hAnsi="Calibri"/>
        </w:rPr>
        <w:t>Psychooncology</w:t>
      </w:r>
      <w:proofErr w:type="spellEnd"/>
      <w:r w:rsidRPr="008C4C05">
        <w:rPr>
          <w:rFonts w:ascii="Calibri" w:hAnsi="Calibri"/>
        </w:rPr>
        <w:t>; 2002. https://doi.org/10.1002/pon.615.</w:t>
      </w:r>
    </w:p>
    <w:p w14:paraId="6C5480F0" w14:textId="77777777" w:rsidR="008C4C05" w:rsidRPr="008C4C05" w:rsidRDefault="008C4C05" w:rsidP="008C4C05">
      <w:pPr>
        <w:pStyle w:val="Bibliography"/>
        <w:rPr>
          <w:rFonts w:ascii="Calibri" w:hAnsi="Calibri"/>
        </w:rPr>
      </w:pPr>
      <w:r w:rsidRPr="008C4C05">
        <w:rPr>
          <w:rFonts w:ascii="Calibri" w:hAnsi="Calibri"/>
        </w:rPr>
        <w:t>104</w:t>
      </w:r>
      <w:r w:rsidRPr="008C4C05">
        <w:rPr>
          <w:rFonts w:ascii="Calibri" w:hAnsi="Calibri"/>
        </w:rPr>
        <w:tab/>
        <w:t xml:space="preserve">Roy R, Symonds RP, Kumar DM, Ibrahim K, Mitchell A, Fallowfield L. The use of denial in an ethnically diverse British cancer population: a cross-sectional study. </w:t>
      </w:r>
      <w:r w:rsidRPr="008C4C05">
        <w:rPr>
          <w:rFonts w:ascii="Calibri" w:hAnsi="Calibri"/>
          <w:i/>
          <w:iCs/>
        </w:rPr>
        <w:t>Br J Cancer</w:t>
      </w:r>
      <w:r w:rsidRPr="008C4C05">
        <w:rPr>
          <w:rFonts w:ascii="Calibri" w:hAnsi="Calibri"/>
        </w:rPr>
        <w:t xml:space="preserve"> 2005;</w:t>
      </w:r>
      <w:r w:rsidRPr="008C4C05">
        <w:rPr>
          <w:rFonts w:ascii="Calibri" w:hAnsi="Calibri"/>
          <w:b/>
          <w:bCs/>
        </w:rPr>
        <w:t>92</w:t>
      </w:r>
      <w:r w:rsidRPr="008C4C05">
        <w:rPr>
          <w:rFonts w:ascii="Calibri" w:hAnsi="Calibri"/>
        </w:rPr>
        <w:t>:1393–7. https://doi.org/10.1038/sj.bjc.6602523.</w:t>
      </w:r>
    </w:p>
    <w:p w14:paraId="00E358F9" w14:textId="77777777" w:rsidR="008C4C05" w:rsidRPr="008C4C05" w:rsidRDefault="008C4C05" w:rsidP="008C4C05">
      <w:pPr>
        <w:pStyle w:val="Bibliography"/>
        <w:rPr>
          <w:rFonts w:ascii="Calibri" w:hAnsi="Calibri"/>
        </w:rPr>
      </w:pPr>
      <w:r w:rsidRPr="008C4C05">
        <w:rPr>
          <w:rFonts w:ascii="Calibri" w:hAnsi="Calibri"/>
        </w:rPr>
        <w:t>105</w:t>
      </w:r>
      <w:r w:rsidRPr="008C4C05">
        <w:rPr>
          <w:rFonts w:ascii="Calibri" w:hAnsi="Calibri"/>
        </w:rPr>
        <w:tab/>
        <w:t xml:space="preserve">Helman CG. </w:t>
      </w:r>
      <w:r w:rsidRPr="008C4C05">
        <w:rPr>
          <w:rFonts w:ascii="Calibri" w:hAnsi="Calibri"/>
          <w:i/>
          <w:iCs/>
        </w:rPr>
        <w:t>Culture, Health and Illness, Fifth edition</w:t>
      </w:r>
      <w:r w:rsidRPr="008C4C05">
        <w:rPr>
          <w:rFonts w:ascii="Calibri" w:hAnsi="Calibri"/>
        </w:rPr>
        <w:t>. 5 edition. London : New York, NY: CRC Press; 2007.</w:t>
      </w:r>
    </w:p>
    <w:p w14:paraId="2CD8FD95" w14:textId="77777777" w:rsidR="008C4C05" w:rsidRPr="008C4C05" w:rsidRDefault="008C4C05" w:rsidP="008C4C05">
      <w:pPr>
        <w:pStyle w:val="Bibliography"/>
        <w:rPr>
          <w:rFonts w:ascii="Calibri" w:hAnsi="Calibri"/>
        </w:rPr>
      </w:pPr>
      <w:r w:rsidRPr="008C4C05">
        <w:rPr>
          <w:rFonts w:ascii="Calibri" w:hAnsi="Calibri"/>
        </w:rPr>
        <w:t>106</w:t>
      </w:r>
      <w:r w:rsidRPr="008C4C05">
        <w:rPr>
          <w:rFonts w:ascii="Calibri" w:hAnsi="Calibri"/>
        </w:rPr>
        <w:tab/>
        <w:t xml:space="preserve">Kleinman A. Concepts and a model for the comparison of medical systems as cultural systems. </w:t>
      </w:r>
      <w:r w:rsidRPr="008C4C05">
        <w:rPr>
          <w:rFonts w:ascii="Calibri" w:hAnsi="Calibri"/>
          <w:i/>
          <w:iCs/>
        </w:rPr>
        <w:t>Social Science &amp; Medicine Part B: Medical Anthropology</w:t>
      </w:r>
      <w:r w:rsidRPr="008C4C05">
        <w:rPr>
          <w:rFonts w:ascii="Calibri" w:hAnsi="Calibri"/>
        </w:rPr>
        <w:t xml:space="preserve"> 1978;</w:t>
      </w:r>
      <w:r w:rsidRPr="008C4C05">
        <w:rPr>
          <w:rFonts w:ascii="Calibri" w:hAnsi="Calibri"/>
          <w:b/>
          <w:bCs/>
        </w:rPr>
        <w:t>12</w:t>
      </w:r>
      <w:r w:rsidRPr="008C4C05">
        <w:rPr>
          <w:rFonts w:ascii="Calibri" w:hAnsi="Calibri"/>
        </w:rPr>
        <w:t>:85–93.</w:t>
      </w:r>
    </w:p>
    <w:p w14:paraId="1B850EA8" w14:textId="77777777" w:rsidR="008C4C05" w:rsidRPr="008C4C05" w:rsidRDefault="008C4C05" w:rsidP="008C4C05">
      <w:pPr>
        <w:pStyle w:val="Bibliography"/>
        <w:rPr>
          <w:rFonts w:ascii="Calibri" w:hAnsi="Calibri"/>
        </w:rPr>
      </w:pPr>
      <w:r w:rsidRPr="008C4C05">
        <w:rPr>
          <w:rFonts w:ascii="Calibri" w:hAnsi="Calibri"/>
        </w:rPr>
        <w:t>107</w:t>
      </w:r>
      <w:r w:rsidRPr="008C4C05">
        <w:rPr>
          <w:rFonts w:ascii="Calibri" w:hAnsi="Calibri"/>
        </w:rPr>
        <w:tab/>
        <w:t xml:space="preserve">Mead EL, </w:t>
      </w:r>
      <w:proofErr w:type="spellStart"/>
      <w:r w:rsidRPr="008C4C05">
        <w:rPr>
          <w:rFonts w:ascii="Calibri" w:hAnsi="Calibri"/>
        </w:rPr>
        <w:t>Doorenbos</w:t>
      </w:r>
      <w:proofErr w:type="spellEnd"/>
      <w:r w:rsidRPr="008C4C05">
        <w:rPr>
          <w:rFonts w:ascii="Calibri" w:hAnsi="Calibri"/>
        </w:rPr>
        <w:t xml:space="preserve"> AZ, Javid SH, </w:t>
      </w:r>
      <w:proofErr w:type="spellStart"/>
      <w:r w:rsidRPr="008C4C05">
        <w:rPr>
          <w:rFonts w:ascii="Calibri" w:hAnsi="Calibri"/>
        </w:rPr>
        <w:t>Haozous</w:t>
      </w:r>
      <w:proofErr w:type="spellEnd"/>
      <w:r w:rsidRPr="008C4C05">
        <w:rPr>
          <w:rFonts w:ascii="Calibri" w:hAnsi="Calibri"/>
        </w:rPr>
        <w:t xml:space="preserve"> EA, Alvord LA, </w:t>
      </w:r>
      <w:proofErr w:type="spellStart"/>
      <w:r w:rsidRPr="008C4C05">
        <w:rPr>
          <w:rFonts w:ascii="Calibri" w:hAnsi="Calibri"/>
        </w:rPr>
        <w:t>Flum</w:t>
      </w:r>
      <w:proofErr w:type="spellEnd"/>
      <w:r w:rsidRPr="008C4C05">
        <w:rPr>
          <w:rFonts w:ascii="Calibri" w:hAnsi="Calibri"/>
        </w:rPr>
        <w:t xml:space="preserve"> DR, </w:t>
      </w:r>
      <w:r w:rsidRPr="008C4C05">
        <w:rPr>
          <w:rFonts w:ascii="Calibri" w:hAnsi="Calibri"/>
          <w:i/>
          <w:iCs/>
        </w:rPr>
        <w:t>et al.</w:t>
      </w:r>
      <w:r w:rsidRPr="008C4C05">
        <w:rPr>
          <w:rFonts w:ascii="Calibri" w:hAnsi="Calibri"/>
        </w:rPr>
        <w:t xml:space="preserve"> </w:t>
      </w:r>
      <w:r w:rsidRPr="008C4C05">
        <w:rPr>
          <w:rFonts w:ascii="Calibri" w:hAnsi="Calibri"/>
          <w:i/>
          <w:iCs/>
        </w:rPr>
        <w:t>Shared Decision-Making for Cancer Care Among Racial and Ethnic Minorities: A Systematic Review</w:t>
      </w:r>
      <w:r w:rsidRPr="008C4C05">
        <w:rPr>
          <w:rFonts w:ascii="Calibri" w:hAnsi="Calibri"/>
        </w:rPr>
        <w:t>. Https://Doi.Org/10.2105/AJPH.2013.301631. American Public Health Association; 2013. https://doi.org/10.2105/AJPH.2013.301631.</w:t>
      </w:r>
    </w:p>
    <w:p w14:paraId="5A8FF39F" w14:textId="77777777" w:rsidR="008C4C05" w:rsidRPr="008C4C05" w:rsidRDefault="008C4C05" w:rsidP="008C4C05">
      <w:pPr>
        <w:pStyle w:val="Bibliography"/>
        <w:rPr>
          <w:rFonts w:ascii="Calibri" w:hAnsi="Calibri"/>
        </w:rPr>
      </w:pPr>
      <w:r w:rsidRPr="00D74EFC">
        <w:rPr>
          <w:rFonts w:ascii="Calibri" w:hAnsi="Calibri"/>
          <w:lang w:val="nl-NL"/>
        </w:rPr>
        <w:t>108</w:t>
      </w:r>
      <w:r w:rsidRPr="00D74EFC">
        <w:rPr>
          <w:rFonts w:ascii="Calibri" w:hAnsi="Calibri"/>
          <w:lang w:val="nl-NL"/>
        </w:rPr>
        <w:tab/>
      </w:r>
      <w:proofErr w:type="spellStart"/>
      <w:r w:rsidRPr="00D74EFC">
        <w:rPr>
          <w:rFonts w:ascii="Calibri" w:hAnsi="Calibri"/>
          <w:lang w:val="nl-NL"/>
        </w:rPr>
        <w:t>Alden</w:t>
      </w:r>
      <w:proofErr w:type="spellEnd"/>
      <w:r w:rsidRPr="00D74EFC">
        <w:rPr>
          <w:rFonts w:ascii="Calibri" w:hAnsi="Calibri"/>
          <w:lang w:val="nl-NL"/>
        </w:rPr>
        <w:t xml:space="preserve"> DL, </w:t>
      </w:r>
      <w:proofErr w:type="spellStart"/>
      <w:r w:rsidRPr="00D74EFC">
        <w:rPr>
          <w:rFonts w:ascii="Calibri" w:hAnsi="Calibri"/>
          <w:lang w:val="nl-NL"/>
        </w:rPr>
        <w:t>Friend</w:t>
      </w:r>
      <w:proofErr w:type="spellEnd"/>
      <w:r w:rsidRPr="00D74EFC">
        <w:rPr>
          <w:rFonts w:ascii="Calibri" w:hAnsi="Calibri"/>
          <w:lang w:val="nl-NL"/>
        </w:rPr>
        <w:t xml:space="preserve"> J, Lee PY, Lee YK, </w:t>
      </w:r>
      <w:proofErr w:type="spellStart"/>
      <w:r w:rsidRPr="00D74EFC">
        <w:rPr>
          <w:rFonts w:ascii="Calibri" w:hAnsi="Calibri"/>
          <w:lang w:val="nl-NL"/>
        </w:rPr>
        <w:t>Trevena</w:t>
      </w:r>
      <w:proofErr w:type="spellEnd"/>
      <w:r w:rsidRPr="00D74EFC">
        <w:rPr>
          <w:rFonts w:ascii="Calibri" w:hAnsi="Calibri"/>
          <w:lang w:val="nl-NL"/>
        </w:rPr>
        <w:t xml:space="preserve"> L, </w:t>
      </w:r>
      <w:proofErr w:type="spellStart"/>
      <w:r w:rsidRPr="00D74EFC">
        <w:rPr>
          <w:rFonts w:ascii="Calibri" w:hAnsi="Calibri"/>
          <w:lang w:val="nl-NL"/>
        </w:rPr>
        <w:t>Ng</w:t>
      </w:r>
      <w:proofErr w:type="spellEnd"/>
      <w:r w:rsidRPr="00D74EFC">
        <w:rPr>
          <w:rFonts w:ascii="Calibri" w:hAnsi="Calibri"/>
          <w:lang w:val="nl-NL"/>
        </w:rPr>
        <w:t xml:space="preserve"> CJ, </w:t>
      </w:r>
      <w:r w:rsidRPr="00D74EFC">
        <w:rPr>
          <w:rFonts w:ascii="Calibri" w:hAnsi="Calibri"/>
          <w:i/>
          <w:iCs/>
          <w:lang w:val="nl-NL"/>
        </w:rPr>
        <w:t>et al.</w:t>
      </w:r>
      <w:r w:rsidRPr="00D74EFC">
        <w:rPr>
          <w:rFonts w:ascii="Calibri" w:hAnsi="Calibri"/>
          <w:lang w:val="nl-NL"/>
        </w:rPr>
        <w:t xml:space="preserve"> </w:t>
      </w:r>
      <w:r w:rsidRPr="008C4C05">
        <w:rPr>
          <w:rFonts w:ascii="Calibri" w:hAnsi="Calibri"/>
        </w:rPr>
        <w:t xml:space="preserve">Who Decides: Me or We? Family Involvement in Medical Decision Making in Eastern and Western Countries: </w:t>
      </w:r>
      <w:r w:rsidRPr="008C4C05">
        <w:rPr>
          <w:rFonts w:ascii="Calibri" w:hAnsi="Calibri"/>
          <w:i/>
          <w:iCs/>
        </w:rPr>
        <w:t>Medical Decision Making</w:t>
      </w:r>
      <w:r w:rsidRPr="008C4C05">
        <w:rPr>
          <w:rFonts w:ascii="Calibri" w:hAnsi="Calibri"/>
        </w:rPr>
        <w:t xml:space="preserve"> 2017. https://doi.org/10.1177/0272989X17715628.</w:t>
      </w:r>
    </w:p>
    <w:p w14:paraId="5F81FFE0" w14:textId="77777777" w:rsidR="008C4C05" w:rsidRPr="008C4C05" w:rsidRDefault="008C4C05" w:rsidP="008C4C05">
      <w:pPr>
        <w:pStyle w:val="Bibliography"/>
        <w:rPr>
          <w:rFonts w:ascii="Calibri" w:hAnsi="Calibri"/>
        </w:rPr>
      </w:pPr>
      <w:r w:rsidRPr="008C4C05">
        <w:rPr>
          <w:rFonts w:ascii="Calibri" w:hAnsi="Calibri"/>
        </w:rPr>
        <w:t>109</w:t>
      </w:r>
      <w:r w:rsidRPr="008C4C05">
        <w:rPr>
          <w:rFonts w:ascii="Calibri" w:hAnsi="Calibri"/>
        </w:rPr>
        <w:tab/>
        <w:t xml:space="preserve">Worth A, Irshad T, Bhopal R, Brown D, Lawton J, Grant E, </w:t>
      </w:r>
      <w:r w:rsidRPr="008C4C05">
        <w:rPr>
          <w:rFonts w:ascii="Calibri" w:hAnsi="Calibri"/>
          <w:i/>
          <w:iCs/>
        </w:rPr>
        <w:t>et al.</w:t>
      </w:r>
      <w:r w:rsidRPr="008C4C05">
        <w:rPr>
          <w:rFonts w:ascii="Calibri" w:hAnsi="Calibri"/>
        </w:rPr>
        <w:t xml:space="preserve"> Vulnerability and access to care for South Asian Sikh and Muslim patients with life limiting illness in Scotland: prospective longitudinal qualitative study. </w:t>
      </w:r>
      <w:r w:rsidRPr="008C4C05">
        <w:rPr>
          <w:rFonts w:ascii="Calibri" w:hAnsi="Calibri"/>
          <w:i/>
          <w:iCs/>
        </w:rPr>
        <w:t>BMJ</w:t>
      </w:r>
      <w:r w:rsidRPr="008C4C05">
        <w:rPr>
          <w:rFonts w:ascii="Calibri" w:hAnsi="Calibri"/>
        </w:rPr>
        <w:t xml:space="preserve"> 2009;</w:t>
      </w:r>
      <w:r w:rsidRPr="008C4C05">
        <w:rPr>
          <w:rFonts w:ascii="Calibri" w:hAnsi="Calibri"/>
          <w:b/>
          <w:bCs/>
        </w:rPr>
        <w:t>338</w:t>
      </w:r>
      <w:r w:rsidRPr="008C4C05">
        <w:rPr>
          <w:rFonts w:ascii="Calibri" w:hAnsi="Calibri"/>
        </w:rPr>
        <w:t>:b183–b183. https://doi.org/10.1136/bmj.b183.</w:t>
      </w:r>
    </w:p>
    <w:p w14:paraId="1942261E" w14:textId="77777777" w:rsidR="008C4C05" w:rsidRPr="008C4C05" w:rsidRDefault="008C4C05" w:rsidP="008C4C05">
      <w:pPr>
        <w:pStyle w:val="Bibliography"/>
        <w:rPr>
          <w:rFonts w:ascii="Calibri" w:hAnsi="Calibri"/>
        </w:rPr>
      </w:pPr>
      <w:r w:rsidRPr="008C4C05">
        <w:rPr>
          <w:rFonts w:ascii="Calibri" w:hAnsi="Calibri"/>
        </w:rPr>
        <w:t>110</w:t>
      </w:r>
      <w:r w:rsidRPr="008C4C05">
        <w:rPr>
          <w:rFonts w:ascii="Calibri" w:hAnsi="Calibri"/>
        </w:rPr>
        <w:tab/>
        <w:t xml:space="preserve">Charmaz K. </w:t>
      </w:r>
      <w:r w:rsidRPr="008C4C05">
        <w:rPr>
          <w:rFonts w:ascii="Calibri" w:hAnsi="Calibri"/>
          <w:i/>
          <w:iCs/>
        </w:rPr>
        <w:t>Constructing grounded theory</w:t>
      </w:r>
      <w:r w:rsidRPr="008C4C05">
        <w:rPr>
          <w:rFonts w:ascii="Calibri" w:hAnsi="Calibri"/>
        </w:rPr>
        <w:t>. London ; Thousand Oaks, Calif: Sage Publications; 2006.</w:t>
      </w:r>
    </w:p>
    <w:p w14:paraId="19BD1C66" w14:textId="77777777" w:rsidR="008C4C05" w:rsidRPr="008C4C05" w:rsidRDefault="008C4C05" w:rsidP="008C4C05">
      <w:pPr>
        <w:pStyle w:val="Bibliography"/>
        <w:rPr>
          <w:rFonts w:ascii="Calibri" w:hAnsi="Calibri"/>
        </w:rPr>
      </w:pPr>
      <w:r w:rsidRPr="008C4C05">
        <w:rPr>
          <w:rFonts w:ascii="Calibri" w:hAnsi="Calibri"/>
        </w:rPr>
        <w:t>111</w:t>
      </w:r>
      <w:r w:rsidRPr="008C4C05">
        <w:rPr>
          <w:rFonts w:ascii="Calibri" w:hAnsi="Calibri"/>
        </w:rPr>
        <w:tab/>
      </w:r>
      <w:proofErr w:type="spellStart"/>
      <w:r w:rsidRPr="008C4C05">
        <w:rPr>
          <w:rFonts w:ascii="Calibri" w:hAnsi="Calibri"/>
        </w:rPr>
        <w:t>Bazeley</w:t>
      </w:r>
      <w:proofErr w:type="spellEnd"/>
      <w:r w:rsidRPr="008C4C05">
        <w:rPr>
          <w:rFonts w:ascii="Calibri" w:hAnsi="Calibri"/>
        </w:rPr>
        <w:t xml:space="preserve"> P. </w:t>
      </w:r>
      <w:r w:rsidRPr="008C4C05">
        <w:rPr>
          <w:rFonts w:ascii="Calibri" w:hAnsi="Calibri"/>
          <w:i/>
          <w:iCs/>
        </w:rPr>
        <w:t>Qualitative Data Analysis: Practical Strategies</w:t>
      </w:r>
      <w:r w:rsidRPr="008C4C05">
        <w:rPr>
          <w:rFonts w:ascii="Calibri" w:hAnsi="Calibri"/>
        </w:rPr>
        <w:t>. 1 edition. London: SAGE Publications Ltd; 2013.</w:t>
      </w:r>
    </w:p>
    <w:p w14:paraId="06F7442F" w14:textId="77777777" w:rsidR="008C4C05" w:rsidRPr="008C4C05" w:rsidRDefault="008C4C05" w:rsidP="008C4C05">
      <w:pPr>
        <w:pStyle w:val="Bibliography"/>
        <w:rPr>
          <w:rFonts w:ascii="Calibri" w:hAnsi="Calibri"/>
        </w:rPr>
      </w:pPr>
      <w:r w:rsidRPr="008C4C05">
        <w:rPr>
          <w:rFonts w:ascii="Calibri" w:hAnsi="Calibri"/>
        </w:rPr>
        <w:lastRenderedPageBreak/>
        <w:t>112</w:t>
      </w:r>
      <w:r w:rsidRPr="008C4C05">
        <w:rPr>
          <w:rFonts w:ascii="Calibri" w:hAnsi="Calibri"/>
        </w:rPr>
        <w:tab/>
        <w:t xml:space="preserve">Rubin HJ, Rubin IS. </w:t>
      </w:r>
      <w:r w:rsidRPr="008C4C05">
        <w:rPr>
          <w:rFonts w:ascii="Calibri" w:hAnsi="Calibri"/>
          <w:i/>
          <w:iCs/>
        </w:rPr>
        <w:t>Qualitative Interviewing: The Art of Hearing Data</w:t>
      </w:r>
      <w:r w:rsidRPr="008C4C05">
        <w:rPr>
          <w:rFonts w:ascii="Calibri" w:hAnsi="Calibri"/>
        </w:rPr>
        <w:t>. Third edition. Thousand Oaks, Calif: SAGE Publications, Inc; 2011.</w:t>
      </w:r>
    </w:p>
    <w:p w14:paraId="56FF6B5B" w14:textId="77777777" w:rsidR="008C4C05" w:rsidRPr="008C4C05" w:rsidRDefault="008C4C05" w:rsidP="008C4C05">
      <w:pPr>
        <w:pStyle w:val="Bibliography"/>
        <w:rPr>
          <w:rFonts w:ascii="Calibri" w:hAnsi="Calibri"/>
        </w:rPr>
      </w:pPr>
      <w:r w:rsidRPr="008C4C05">
        <w:rPr>
          <w:rFonts w:ascii="Calibri" w:hAnsi="Calibri"/>
        </w:rPr>
        <w:t>113</w:t>
      </w:r>
      <w:r w:rsidRPr="008C4C05">
        <w:rPr>
          <w:rFonts w:ascii="Calibri" w:hAnsi="Calibri"/>
        </w:rPr>
        <w:tab/>
      </w:r>
      <w:proofErr w:type="spellStart"/>
      <w:r w:rsidRPr="008C4C05">
        <w:rPr>
          <w:rFonts w:ascii="Calibri" w:hAnsi="Calibri"/>
        </w:rPr>
        <w:t>Malterud</w:t>
      </w:r>
      <w:proofErr w:type="spellEnd"/>
      <w:r w:rsidRPr="008C4C05">
        <w:rPr>
          <w:rFonts w:ascii="Calibri" w:hAnsi="Calibri"/>
        </w:rPr>
        <w:t xml:space="preserve"> K, </w:t>
      </w:r>
      <w:proofErr w:type="spellStart"/>
      <w:r w:rsidRPr="008C4C05">
        <w:rPr>
          <w:rFonts w:ascii="Calibri" w:hAnsi="Calibri"/>
        </w:rPr>
        <w:t>Siersma</w:t>
      </w:r>
      <w:proofErr w:type="spellEnd"/>
      <w:r w:rsidRPr="008C4C05">
        <w:rPr>
          <w:rFonts w:ascii="Calibri" w:hAnsi="Calibri"/>
        </w:rPr>
        <w:t xml:space="preserve"> VD, </w:t>
      </w:r>
      <w:proofErr w:type="spellStart"/>
      <w:r w:rsidRPr="008C4C05">
        <w:rPr>
          <w:rFonts w:ascii="Calibri" w:hAnsi="Calibri"/>
        </w:rPr>
        <w:t>Guassora</w:t>
      </w:r>
      <w:proofErr w:type="spellEnd"/>
      <w:r w:rsidRPr="008C4C05">
        <w:rPr>
          <w:rFonts w:ascii="Calibri" w:hAnsi="Calibri"/>
        </w:rPr>
        <w:t xml:space="preserve"> AD. Sample Size in Qualitative Interview Studies: Guided by Information Power. </w:t>
      </w:r>
      <w:r w:rsidRPr="008C4C05">
        <w:rPr>
          <w:rFonts w:ascii="Calibri" w:hAnsi="Calibri"/>
          <w:i/>
          <w:iCs/>
        </w:rPr>
        <w:t>Qual Health Res</w:t>
      </w:r>
      <w:r w:rsidRPr="008C4C05">
        <w:rPr>
          <w:rFonts w:ascii="Calibri" w:hAnsi="Calibri"/>
        </w:rPr>
        <w:t xml:space="preserve"> 2016;</w:t>
      </w:r>
      <w:r w:rsidRPr="008C4C05">
        <w:rPr>
          <w:rFonts w:ascii="Calibri" w:hAnsi="Calibri"/>
          <w:b/>
          <w:bCs/>
        </w:rPr>
        <w:t>26</w:t>
      </w:r>
      <w:r w:rsidRPr="008C4C05">
        <w:rPr>
          <w:rFonts w:ascii="Calibri" w:hAnsi="Calibri"/>
        </w:rPr>
        <w:t>:1753–60. https://doi.org/10.1177/1049732315617444.</w:t>
      </w:r>
    </w:p>
    <w:p w14:paraId="1FC66950" w14:textId="77777777" w:rsidR="008C4C05" w:rsidRPr="008C4C05" w:rsidRDefault="008C4C05" w:rsidP="008C4C05">
      <w:pPr>
        <w:pStyle w:val="Bibliography"/>
        <w:rPr>
          <w:rFonts w:ascii="Calibri" w:hAnsi="Calibri"/>
        </w:rPr>
      </w:pPr>
      <w:r w:rsidRPr="008C4C05">
        <w:rPr>
          <w:rFonts w:ascii="Calibri" w:hAnsi="Calibri"/>
        </w:rPr>
        <w:t>114</w:t>
      </w:r>
      <w:r w:rsidRPr="008C4C05">
        <w:rPr>
          <w:rFonts w:ascii="Calibri" w:hAnsi="Calibri"/>
        </w:rPr>
        <w:tab/>
        <w:t xml:space="preserve">Miles M, Huberman AM. </w:t>
      </w:r>
      <w:r w:rsidRPr="008C4C05">
        <w:rPr>
          <w:rFonts w:ascii="Calibri" w:hAnsi="Calibri"/>
          <w:i/>
          <w:iCs/>
        </w:rPr>
        <w:t>Qualitative Data Analysis: An Expanded Sourcebook</w:t>
      </w:r>
      <w:r w:rsidRPr="008C4C05">
        <w:rPr>
          <w:rFonts w:ascii="Calibri" w:hAnsi="Calibri"/>
        </w:rPr>
        <w:t xml:space="preserve">. Second Edition </w:t>
      </w:r>
      <w:proofErr w:type="spellStart"/>
      <w:r w:rsidRPr="008C4C05">
        <w:rPr>
          <w:rFonts w:ascii="Calibri" w:hAnsi="Calibri"/>
        </w:rPr>
        <w:t>edition</w:t>
      </w:r>
      <w:proofErr w:type="spellEnd"/>
      <w:r w:rsidRPr="008C4C05">
        <w:rPr>
          <w:rFonts w:ascii="Calibri" w:hAnsi="Calibri"/>
        </w:rPr>
        <w:t>. Thousand Oaks: SAGE Publications, Inc; 1994.</w:t>
      </w:r>
    </w:p>
    <w:p w14:paraId="19C2E114" w14:textId="77777777" w:rsidR="008C4C05" w:rsidRPr="008C4C05" w:rsidRDefault="008C4C05" w:rsidP="008C4C05">
      <w:pPr>
        <w:pStyle w:val="Bibliography"/>
        <w:rPr>
          <w:rFonts w:ascii="Calibri" w:hAnsi="Calibri"/>
        </w:rPr>
      </w:pPr>
      <w:r w:rsidRPr="008C4C05">
        <w:rPr>
          <w:rFonts w:ascii="Calibri" w:hAnsi="Calibri"/>
        </w:rPr>
        <w:t>115</w:t>
      </w:r>
      <w:r w:rsidRPr="008C4C05">
        <w:rPr>
          <w:rFonts w:ascii="Calibri" w:hAnsi="Calibri"/>
        </w:rPr>
        <w:tab/>
        <w:t>Leech NL. The role of sampling in qualitative research. Academic Exchange Quarterly 2005;</w:t>
      </w:r>
      <w:r w:rsidRPr="008C4C05">
        <w:rPr>
          <w:rFonts w:ascii="Calibri" w:hAnsi="Calibri"/>
          <w:b/>
          <w:bCs/>
        </w:rPr>
        <w:t>9</w:t>
      </w:r>
      <w:r w:rsidRPr="008C4C05">
        <w:rPr>
          <w:rFonts w:ascii="Calibri" w:hAnsi="Calibri"/>
        </w:rPr>
        <w:t>:280–4.</w:t>
      </w:r>
    </w:p>
    <w:p w14:paraId="64418CE3" w14:textId="77777777" w:rsidR="008C4C05" w:rsidRPr="008C4C05" w:rsidRDefault="008C4C05" w:rsidP="008C4C05">
      <w:pPr>
        <w:pStyle w:val="Bibliography"/>
        <w:rPr>
          <w:rFonts w:ascii="Calibri" w:hAnsi="Calibri"/>
        </w:rPr>
      </w:pPr>
      <w:r w:rsidRPr="008C4C05">
        <w:rPr>
          <w:rFonts w:ascii="Calibri" w:hAnsi="Calibri"/>
        </w:rPr>
        <w:t>116</w:t>
      </w:r>
      <w:r w:rsidRPr="008C4C05">
        <w:rPr>
          <w:rFonts w:ascii="Calibri" w:hAnsi="Calibri"/>
        </w:rPr>
        <w:tab/>
        <w:t xml:space="preserve">Stake RE. </w:t>
      </w:r>
      <w:r w:rsidRPr="008C4C05">
        <w:rPr>
          <w:rFonts w:ascii="Calibri" w:hAnsi="Calibri"/>
          <w:i/>
          <w:iCs/>
        </w:rPr>
        <w:t>Multiple Case Study Analysis</w:t>
      </w:r>
      <w:r w:rsidRPr="008C4C05">
        <w:rPr>
          <w:rFonts w:ascii="Calibri" w:hAnsi="Calibri"/>
        </w:rPr>
        <w:t>. 1 edition. New York: Guilford Press; 2006.</w:t>
      </w:r>
    </w:p>
    <w:p w14:paraId="41C6CB63" w14:textId="77777777" w:rsidR="008C4C05" w:rsidRPr="008C4C05" w:rsidRDefault="008C4C05" w:rsidP="008C4C05">
      <w:pPr>
        <w:pStyle w:val="Bibliography"/>
        <w:rPr>
          <w:rFonts w:ascii="Calibri" w:hAnsi="Calibri"/>
        </w:rPr>
      </w:pPr>
      <w:r w:rsidRPr="008C4C05">
        <w:rPr>
          <w:rFonts w:ascii="Calibri" w:hAnsi="Calibri"/>
        </w:rPr>
        <w:t>117</w:t>
      </w:r>
      <w:r w:rsidRPr="008C4C05">
        <w:rPr>
          <w:rFonts w:ascii="Calibri" w:hAnsi="Calibri"/>
        </w:rPr>
        <w:tab/>
        <w:t xml:space="preserve">Yin RK. </w:t>
      </w:r>
      <w:r w:rsidRPr="008C4C05">
        <w:rPr>
          <w:rFonts w:ascii="Calibri" w:hAnsi="Calibri"/>
          <w:i/>
          <w:iCs/>
        </w:rPr>
        <w:t>Case Study Research, Design and Method. 4th ed.</w:t>
      </w:r>
      <w:r w:rsidRPr="008C4C05">
        <w:rPr>
          <w:rFonts w:ascii="Calibri" w:hAnsi="Calibri"/>
        </w:rPr>
        <w:t xml:space="preserve"> London: SAGE.; 2008.</w:t>
      </w:r>
    </w:p>
    <w:p w14:paraId="02757687" w14:textId="77777777" w:rsidR="008C4C05" w:rsidRPr="008C4C05" w:rsidRDefault="008C4C05" w:rsidP="008C4C05">
      <w:pPr>
        <w:pStyle w:val="Bibliography"/>
        <w:rPr>
          <w:rFonts w:ascii="Calibri" w:hAnsi="Calibri"/>
        </w:rPr>
      </w:pPr>
      <w:r w:rsidRPr="008C4C05">
        <w:rPr>
          <w:rFonts w:ascii="Calibri" w:hAnsi="Calibri"/>
        </w:rPr>
        <w:t>118</w:t>
      </w:r>
      <w:r w:rsidRPr="008C4C05">
        <w:rPr>
          <w:rFonts w:ascii="Calibri" w:hAnsi="Calibri"/>
        </w:rPr>
        <w:tab/>
        <w:t xml:space="preserve">Baker SE, Edwards R. </w:t>
      </w:r>
      <w:r w:rsidRPr="008C4C05">
        <w:rPr>
          <w:rFonts w:ascii="Calibri" w:hAnsi="Calibri"/>
          <w:i/>
          <w:iCs/>
        </w:rPr>
        <w:t>How many qualitative interviews is enough</w:t>
      </w:r>
      <w:r w:rsidRPr="008C4C05">
        <w:rPr>
          <w:rFonts w:ascii="Calibri" w:hAnsi="Calibri"/>
        </w:rPr>
        <w:t>. NCRM; 2012.</w:t>
      </w:r>
    </w:p>
    <w:p w14:paraId="6F50B92F" w14:textId="77777777" w:rsidR="008C4C05" w:rsidRPr="008C4C05" w:rsidRDefault="008C4C05" w:rsidP="008C4C05">
      <w:pPr>
        <w:pStyle w:val="Bibliography"/>
        <w:rPr>
          <w:rFonts w:ascii="Calibri" w:hAnsi="Calibri"/>
        </w:rPr>
      </w:pPr>
      <w:r w:rsidRPr="008C4C05">
        <w:rPr>
          <w:rFonts w:ascii="Calibri" w:hAnsi="Calibri"/>
        </w:rPr>
        <w:t>119</w:t>
      </w:r>
      <w:r w:rsidRPr="008C4C05">
        <w:rPr>
          <w:rFonts w:ascii="Calibri" w:hAnsi="Calibri"/>
        </w:rPr>
        <w:tab/>
        <w:t xml:space="preserve">Morse JM. Determining Sample Size. </w:t>
      </w:r>
      <w:r w:rsidRPr="008C4C05">
        <w:rPr>
          <w:rFonts w:ascii="Calibri" w:hAnsi="Calibri"/>
          <w:i/>
          <w:iCs/>
        </w:rPr>
        <w:t>Qual Health Res</w:t>
      </w:r>
      <w:r w:rsidRPr="008C4C05">
        <w:rPr>
          <w:rFonts w:ascii="Calibri" w:hAnsi="Calibri"/>
        </w:rPr>
        <w:t xml:space="preserve"> 2000;</w:t>
      </w:r>
      <w:r w:rsidRPr="008C4C05">
        <w:rPr>
          <w:rFonts w:ascii="Calibri" w:hAnsi="Calibri"/>
          <w:b/>
          <w:bCs/>
        </w:rPr>
        <w:t>10</w:t>
      </w:r>
      <w:r w:rsidRPr="008C4C05">
        <w:rPr>
          <w:rFonts w:ascii="Calibri" w:hAnsi="Calibri"/>
        </w:rPr>
        <w:t>:3–5. https://doi.org/10.1177/104973200129118183.</w:t>
      </w:r>
    </w:p>
    <w:p w14:paraId="06DD3D5C" w14:textId="77777777" w:rsidR="008C4C05" w:rsidRPr="008C4C05" w:rsidRDefault="008C4C05" w:rsidP="008C4C05">
      <w:pPr>
        <w:pStyle w:val="Bibliography"/>
        <w:rPr>
          <w:rFonts w:ascii="Calibri" w:hAnsi="Calibri"/>
        </w:rPr>
      </w:pPr>
      <w:r w:rsidRPr="008C4C05">
        <w:rPr>
          <w:rFonts w:ascii="Calibri" w:hAnsi="Calibri"/>
        </w:rPr>
        <w:t>120</w:t>
      </w:r>
      <w:r w:rsidRPr="008C4C05">
        <w:rPr>
          <w:rFonts w:ascii="Calibri" w:hAnsi="Calibri"/>
        </w:rPr>
        <w:tab/>
        <w:t xml:space="preserve">Pinnock H, Kendall M, Murray SA, Worth A, </w:t>
      </w:r>
      <w:proofErr w:type="spellStart"/>
      <w:r w:rsidRPr="008C4C05">
        <w:rPr>
          <w:rFonts w:ascii="Calibri" w:hAnsi="Calibri"/>
        </w:rPr>
        <w:t>Levack</w:t>
      </w:r>
      <w:proofErr w:type="spellEnd"/>
      <w:r w:rsidRPr="008C4C05">
        <w:rPr>
          <w:rFonts w:ascii="Calibri" w:hAnsi="Calibri"/>
        </w:rPr>
        <w:t xml:space="preserve"> P, Porter M, </w:t>
      </w:r>
      <w:r w:rsidRPr="008C4C05">
        <w:rPr>
          <w:rFonts w:ascii="Calibri" w:hAnsi="Calibri"/>
          <w:i/>
          <w:iCs/>
        </w:rPr>
        <w:t>et al.</w:t>
      </w:r>
      <w:r w:rsidRPr="008C4C05">
        <w:rPr>
          <w:rFonts w:ascii="Calibri" w:hAnsi="Calibri"/>
        </w:rPr>
        <w:t xml:space="preserve"> Living and dying with severe chronic obstructive pulmonary disease: multi-perspective longitudinal qualitative study. </w:t>
      </w:r>
      <w:r w:rsidRPr="008C4C05">
        <w:rPr>
          <w:rFonts w:ascii="Calibri" w:hAnsi="Calibri"/>
          <w:i/>
          <w:iCs/>
        </w:rPr>
        <w:t>BMJ</w:t>
      </w:r>
      <w:r w:rsidRPr="008C4C05">
        <w:rPr>
          <w:rFonts w:ascii="Calibri" w:hAnsi="Calibri"/>
        </w:rPr>
        <w:t xml:space="preserve"> 2011;</w:t>
      </w:r>
      <w:r w:rsidRPr="008C4C05">
        <w:rPr>
          <w:rFonts w:ascii="Calibri" w:hAnsi="Calibri"/>
          <w:b/>
          <w:bCs/>
        </w:rPr>
        <w:t>342</w:t>
      </w:r>
      <w:r w:rsidRPr="008C4C05">
        <w:rPr>
          <w:rFonts w:ascii="Calibri" w:hAnsi="Calibri"/>
        </w:rPr>
        <w:t>:d142. https://doi.org/10.1136/bmj.d142.</w:t>
      </w:r>
    </w:p>
    <w:p w14:paraId="7087B195" w14:textId="77777777" w:rsidR="008C4C05" w:rsidRPr="008C4C05" w:rsidRDefault="008C4C05" w:rsidP="008C4C05">
      <w:pPr>
        <w:pStyle w:val="Bibliography"/>
        <w:rPr>
          <w:rFonts w:ascii="Calibri" w:hAnsi="Calibri"/>
        </w:rPr>
      </w:pPr>
      <w:r w:rsidRPr="008C4C05">
        <w:rPr>
          <w:rFonts w:ascii="Calibri" w:hAnsi="Calibri"/>
        </w:rPr>
        <w:t>121</w:t>
      </w:r>
      <w:r w:rsidRPr="008C4C05">
        <w:rPr>
          <w:rFonts w:ascii="Calibri" w:hAnsi="Calibri"/>
        </w:rPr>
        <w:tab/>
      </w:r>
      <w:r w:rsidRPr="008C4C05">
        <w:rPr>
          <w:rFonts w:ascii="Calibri" w:hAnsi="Calibri"/>
          <w:i/>
          <w:iCs/>
        </w:rPr>
        <w:t>Ethnic group, national identity and religion - Office for National Statistics</w:t>
      </w:r>
      <w:r w:rsidRPr="008C4C05">
        <w:rPr>
          <w:rFonts w:ascii="Calibri" w:hAnsi="Calibri"/>
        </w:rPr>
        <w:t>. n.d. URL: https://www.ons.gov.uk/methodology/classificationsandstandards/measuringequality/ethnicgroupnationalidentityandreligion (Accessed 1 December 2021).</w:t>
      </w:r>
    </w:p>
    <w:p w14:paraId="20B4A60E" w14:textId="77777777" w:rsidR="008C4C05" w:rsidRPr="008C4C05" w:rsidRDefault="008C4C05" w:rsidP="008C4C05">
      <w:pPr>
        <w:pStyle w:val="Bibliography"/>
        <w:rPr>
          <w:rFonts w:ascii="Calibri" w:hAnsi="Calibri"/>
        </w:rPr>
      </w:pPr>
      <w:r w:rsidRPr="008C4C05">
        <w:rPr>
          <w:rFonts w:ascii="Calibri" w:hAnsi="Calibri"/>
        </w:rPr>
        <w:t>122</w:t>
      </w:r>
      <w:r w:rsidRPr="008C4C05">
        <w:rPr>
          <w:rFonts w:ascii="Calibri" w:hAnsi="Calibri"/>
        </w:rPr>
        <w:tab/>
        <w:t xml:space="preserve">Farooqi, </w:t>
      </w:r>
      <w:proofErr w:type="spellStart"/>
      <w:r w:rsidRPr="008C4C05">
        <w:rPr>
          <w:rFonts w:ascii="Calibri" w:hAnsi="Calibri"/>
        </w:rPr>
        <w:t>Azhar</w:t>
      </w:r>
      <w:proofErr w:type="spellEnd"/>
      <w:r w:rsidRPr="008C4C05">
        <w:rPr>
          <w:rFonts w:ascii="Calibri" w:hAnsi="Calibri"/>
        </w:rPr>
        <w:t xml:space="preserve"> (Professor), Raghavan, Raghu (Professor), </w:t>
      </w:r>
      <w:proofErr w:type="spellStart"/>
      <w:r w:rsidRPr="008C4C05">
        <w:rPr>
          <w:rFonts w:ascii="Calibri" w:hAnsi="Calibri"/>
        </w:rPr>
        <w:t>Jutlla</w:t>
      </w:r>
      <w:proofErr w:type="spellEnd"/>
      <w:r w:rsidRPr="008C4C05">
        <w:rPr>
          <w:rFonts w:ascii="Calibri" w:hAnsi="Calibri"/>
        </w:rPr>
        <w:t xml:space="preserve">, Karan (Dr), </w:t>
      </w:r>
      <w:proofErr w:type="spellStart"/>
      <w:r w:rsidRPr="008C4C05">
        <w:rPr>
          <w:rFonts w:ascii="Calibri" w:hAnsi="Calibri"/>
        </w:rPr>
        <w:t>Patal</w:t>
      </w:r>
      <w:proofErr w:type="spellEnd"/>
      <w:r w:rsidRPr="008C4C05">
        <w:rPr>
          <w:rFonts w:ascii="Calibri" w:hAnsi="Calibri"/>
        </w:rPr>
        <w:t xml:space="preserve">, </w:t>
      </w:r>
      <w:proofErr w:type="spellStart"/>
      <w:r w:rsidRPr="008C4C05">
        <w:rPr>
          <w:rFonts w:ascii="Calibri" w:hAnsi="Calibri"/>
        </w:rPr>
        <w:t>Naina</w:t>
      </w:r>
      <w:proofErr w:type="spellEnd"/>
      <w:r w:rsidRPr="008C4C05">
        <w:rPr>
          <w:rFonts w:ascii="Calibri" w:hAnsi="Calibri"/>
        </w:rPr>
        <w:t xml:space="preserve">, </w:t>
      </w:r>
      <w:proofErr w:type="spellStart"/>
      <w:r w:rsidRPr="008C4C05">
        <w:rPr>
          <w:rFonts w:ascii="Calibri" w:hAnsi="Calibri"/>
        </w:rPr>
        <w:t>Akroyd</w:t>
      </w:r>
      <w:proofErr w:type="spellEnd"/>
      <w:r w:rsidRPr="008C4C05">
        <w:rPr>
          <w:rFonts w:ascii="Calibri" w:hAnsi="Calibri"/>
        </w:rPr>
        <w:t xml:space="preserve">, Carol, Desai, </w:t>
      </w:r>
      <w:proofErr w:type="spellStart"/>
      <w:r w:rsidRPr="008C4C05">
        <w:rPr>
          <w:rFonts w:ascii="Calibri" w:hAnsi="Calibri"/>
        </w:rPr>
        <w:t>Binal</w:t>
      </w:r>
      <w:proofErr w:type="spellEnd"/>
      <w:r w:rsidRPr="008C4C05">
        <w:rPr>
          <w:rFonts w:ascii="Calibri" w:hAnsi="Calibri"/>
        </w:rPr>
        <w:t xml:space="preserve">. </w:t>
      </w:r>
      <w:r w:rsidRPr="008C4C05">
        <w:rPr>
          <w:rFonts w:ascii="Calibri" w:hAnsi="Calibri"/>
          <w:i/>
          <w:iCs/>
        </w:rPr>
        <w:t>Toolkit for: Increasing participation of Black Asian and Minority Ethnic (BAME) groups in health and social care research</w:t>
      </w:r>
      <w:r w:rsidRPr="008C4C05">
        <w:rPr>
          <w:rFonts w:ascii="Calibri" w:hAnsi="Calibri"/>
        </w:rPr>
        <w:t>. Increasing Participation for Black, Asian and Minority Groups in Health and Social Care Research. 2018. URL: https://arc-em.nihr.ac.uk/clahrcs-store/increasing-participation-black-asian-and-minority-ethnic-bame-groups-health-and-social.</w:t>
      </w:r>
    </w:p>
    <w:p w14:paraId="4D53238D" w14:textId="77777777" w:rsidR="008C4C05" w:rsidRPr="008C4C05" w:rsidRDefault="008C4C05" w:rsidP="008C4C05">
      <w:pPr>
        <w:pStyle w:val="Bibliography"/>
        <w:rPr>
          <w:rFonts w:ascii="Calibri" w:hAnsi="Calibri"/>
        </w:rPr>
      </w:pPr>
      <w:r w:rsidRPr="008C4C05">
        <w:rPr>
          <w:rFonts w:ascii="Calibri" w:hAnsi="Calibri"/>
        </w:rPr>
        <w:t>123</w:t>
      </w:r>
      <w:r w:rsidRPr="008C4C05">
        <w:rPr>
          <w:rFonts w:ascii="Calibri" w:hAnsi="Calibri"/>
        </w:rPr>
        <w:tab/>
        <w:t xml:space="preserve">Wallerstein N, </w:t>
      </w:r>
      <w:proofErr w:type="spellStart"/>
      <w:r w:rsidRPr="008C4C05">
        <w:rPr>
          <w:rFonts w:ascii="Calibri" w:hAnsi="Calibri"/>
        </w:rPr>
        <w:t>Minkler</w:t>
      </w:r>
      <w:proofErr w:type="spellEnd"/>
      <w:r w:rsidRPr="008C4C05">
        <w:rPr>
          <w:rFonts w:ascii="Calibri" w:hAnsi="Calibri"/>
        </w:rPr>
        <w:t xml:space="preserve"> M, Carter-Edwards L, Avila M, Sánchez V. Improving health through community engagement, community organization, and community building. </w:t>
      </w:r>
      <w:r w:rsidRPr="008C4C05">
        <w:rPr>
          <w:rFonts w:ascii="Calibri" w:hAnsi="Calibri"/>
          <w:i/>
          <w:iCs/>
        </w:rPr>
        <w:t xml:space="preserve">Health </w:t>
      </w:r>
      <w:proofErr w:type="spellStart"/>
      <w:r w:rsidRPr="008C4C05">
        <w:rPr>
          <w:rFonts w:ascii="Calibri" w:hAnsi="Calibri"/>
          <w:i/>
          <w:iCs/>
        </w:rPr>
        <w:t>behavior</w:t>
      </w:r>
      <w:proofErr w:type="spellEnd"/>
      <w:r w:rsidRPr="008C4C05">
        <w:rPr>
          <w:rFonts w:ascii="Calibri" w:hAnsi="Calibri"/>
          <w:i/>
          <w:iCs/>
        </w:rPr>
        <w:t>: Theory, research, and practice, 5th ed</w:t>
      </w:r>
      <w:r w:rsidRPr="008C4C05">
        <w:rPr>
          <w:rFonts w:ascii="Calibri" w:hAnsi="Calibri"/>
        </w:rPr>
        <w:t>. Hoboken, NJ, US: Jossey-Bass/Wiley; 2015. p. 277–300.</w:t>
      </w:r>
    </w:p>
    <w:p w14:paraId="0987C878" w14:textId="77777777" w:rsidR="008C4C05" w:rsidRPr="008C4C05" w:rsidRDefault="008C4C05" w:rsidP="008C4C05">
      <w:pPr>
        <w:pStyle w:val="Bibliography"/>
        <w:rPr>
          <w:rFonts w:ascii="Calibri" w:hAnsi="Calibri"/>
        </w:rPr>
      </w:pPr>
      <w:r w:rsidRPr="008C4C05">
        <w:rPr>
          <w:rFonts w:ascii="Calibri" w:hAnsi="Calibri"/>
        </w:rPr>
        <w:t>124</w:t>
      </w:r>
      <w:r w:rsidRPr="008C4C05">
        <w:rPr>
          <w:rFonts w:ascii="Calibri" w:hAnsi="Calibri"/>
        </w:rPr>
        <w:tab/>
      </w:r>
      <w:proofErr w:type="spellStart"/>
      <w:r w:rsidRPr="008C4C05">
        <w:rPr>
          <w:rFonts w:ascii="Calibri" w:hAnsi="Calibri"/>
        </w:rPr>
        <w:t>Highet</w:t>
      </w:r>
      <w:proofErr w:type="spellEnd"/>
      <w:r w:rsidRPr="008C4C05">
        <w:rPr>
          <w:rFonts w:ascii="Calibri" w:hAnsi="Calibri"/>
        </w:rPr>
        <w:t xml:space="preserve"> G, Crawford D, Murray SA, Boyd K. Development and evaluation of the Supportive and Palliative Care Indicators Tool (SPICT): a mixed-methods study. </w:t>
      </w:r>
      <w:r w:rsidRPr="008C4C05">
        <w:rPr>
          <w:rFonts w:ascii="Calibri" w:hAnsi="Calibri"/>
          <w:i/>
          <w:iCs/>
        </w:rPr>
        <w:t>BMJ Supportive &amp; Palliative Care</w:t>
      </w:r>
      <w:r w:rsidRPr="008C4C05">
        <w:rPr>
          <w:rFonts w:ascii="Calibri" w:hAnsi="Calibri"/>
        </w:rPr>
        <w:t xml:space="preserve"> 2014;</w:t>
      </w:r>
      <w:r w:rsidRPr="008C4C05">
        <w:rPr>
          <w:rFonts w:ascii="Calibri" w:hAnsi="Calibri"/>
          <w:b/>
          <w:bCs/>
        </w:rPr>
        <w:t>4</w:t>
      </w:r>
      <w:r w:rsidRPr="008C4C05">
        <w:rPr>
          <w:rFonts w:ascii="Calibri" w:hAnsi="Calibri"/>
        </w:rPr>
        <w:t>:285–90. https://doi.org/10.1136/bmjspcare-2013-000488.</w:t>
      </w:r>
    </w:p>
    <w:p w14:paraId="39225AD1" w14:textId="77777777" w:rsidR="008C4C05" w:rsidRPr="008C4C05" w:rsidRDefault="008C4C05" w:rsidP="008C4C05">
      <w:pPr>
        <w:pStyle w:val="Bibliography"/>
        <w:rPr>
          <w:rFonts w:ascii="Calibri" w:hAnsi="Calibri"/>
        </w:rPr>
      </w:pPr>
      <w:r w:rsidRPr="008C4C05">
        <w:rPr>
          <w:rFonts w:ascii="Calibri" w:hAnsi="Calibri"/>
        </w:rPr>
        <w:t>125</w:t>
      </w:r>
      <w:r w:rsidRPr="008C4C05">
        <w:rPr>
          <w:rFonts w:ascii="Calibri" w:hAnsi="Calibri"/>
        </w:rPr>
        <w:tab/>
      </w:r>
      <w:r w:rsidRPr="008C4C05">
        <w:rPr>
          <w:rFonts w:ascii="Calibri" w:hAnsi="Calibri"/>
          <w:i/>
          <w:iCs/>
        </w:rPr>
        <w:t>SPICT</w:t>
      </w:r>
      <w:r w:rsidRPr="008C4C05">
        <w:rPr>
          <w:rFonts w:ascii="Calibri" w:hAnsi="Calibri"/>
        </w:rPr>
        <w:t>. SPICT. n.d. URL: https://www.spict.org.uk/ (Accessed 13 December 2021).</w:t>
      </w:r>
    </w:p>
    <w:p w14:paraId="7602D8BE" w14:textId="77777777" w:rsidR="008C4C05" w:rsidRPr="008C4C05" w:rsidRDefault="008C4C05" w:rsidP="008C4C05">
      <w:pPr>
        <w:pStyle w:val="Bibliography"/>
        <w:rPr>
          <w:rFonts w:ascii="Calibri" w:hAnsi="Calibri"/>
        </w:rPr>
      </w:pPr>
      <w:r w:rsidRPr="008C4C05">
        <w:rPr>
          <w:rFonts w:ascii="Calibri" w:hAnsi="Calibri"/>
        </w:rPr>
        <w:t>126</w:t>
      </w:r>
      <w:r w:rsidRPr="008C4C05">
        <w:rPr>
          <w:rFonts w:ascii="Calibri" w:hAnsi="Calibri"/>
        </w:rPr>
        <w:tab/>
        <w:t xml:space="preserve">Lloyd CE, Johnson MR, Mughal S, Sturt JA, Collins GS, Roy T, </w:t>
      </w:r>
      <w:r w:rsidRPr="008C4C05">
        <w:rPr>
          <w:rFonts w:ascii="Calibri" w:hAnsi="Calibri"/>
          <w:i/>
          <w:iCs/>
        </w:rPr>
        <w:t>et al.</w:t>
      </w:r>
      <w:r w:rsidRPr="008C4C05">
        <w:rPr>
          <w:rFonts w:ascii="Calibri" w:hAnsi="Calibri"/>
        </w:rPr>
        <w:t xml:space="preserve"> Securing recruitment and obtaining informed consent in minority ethnic groups in the UK. </w:t>
      </w:r>
      <w:r w:rsidRPr="008C4C05">
        <w:rPr>
          <w:rFonts w:ascii="Calibri" w:hAnsi="Calibri"/>
          <w:i/>
          <w:iCs/>
        </w:rPr>
        <w:t>BMC Health Services Research</w:t>
      </w:r>
      <w:r w:rsidRPr="008C4C05">
        <w:rPr>
          <w:rFonts w:ascii="Calibri" w:hAnsi="Calibri"/>
        </w:rPr>
        <w:t xml:space="preserve"> 2008;</w:t>
      </w:r>
      <w:r w:rsidRPr="008C4C05">
        <w:rPr>
          <w:rFonts w:ascii="Calibri" w:hAnsi="Calibri"/>
          <w:b/>
          <w:bCs/>
        </w:rPr>
        <w:t>8</w:t>
      </w:r>
      <w:r w:rsidRPr="008C4C05">
        <w:rPr>
          <w:rFonts w:ascii="Calibri" w:hAnsi="Calibri"/>
        </w:rPr>
        <w:t>:68. https://doi.org/10.1186/1472-6963-8-68.</w:t>
      </w:r>
    </w:p>
    <w:p w14:paraId="6641E28A" w14:textId="77777777" w:rsidR="008C4C05" w:rsidRPr="008C4C05" w:rsidRDefault="008C4C05" w:rsidP="008C4C05">
      <w:pPr>
        <w:pStyle w:val="Bibliography"/>
        <w:rPr>
          <w:rFonts w:ascii="Calibri" w:hAnsi="Calibri"/>
        </w:rPr>
      </w:pPr>
      <w:r w:rsidRPr="008C4C05">
        <w:rPr>
          <w:rFonts w:ascii="Calibri" w:hAnsi="Calibri"/>
        </w:rPr>
        <w:t>127</w:t>
      </w:r>
      <w:r w:rsidRPr="008C4C05">
        <w:rPr>
          <w:rFonts w:ascii="Calibri" w:hAnsi="Calibri"/>
        </w:rPr>
        <w:tab/>
        <w:t xml:space="preserve">Chiesa M, Hobbs S. Making sense of social research: how useful is the Hawthorne Effect? </w:t>
      </w:r>
      <w:r w:rsidRPr="008C4C05">
        <w:rPr>
          <w:rFonts w:ascii="Calibri" w:hAnsi="Calibri"/>
          <w:i/>
          <w:iCs/>
        </w:rPr>
        <w:t>European Journal of Social Psychology</w:t>
      </w:r>
      <w:r w:rsidRPr="008C4C05">
        <w:rPr>
          <w:rFonts w:ascii="Calibri" w:hAnsi="Calibri"/>
        </w:rPr>
        <w:t xml:space="preserve"> 2008;</w:t>
      </w:r>
      <w:r w:rsidRPr="008C4C05">
        <w:rPr>
          <w:rFonts w:ascii="Calibri" w:hAnsi="Calibri"/>
          <w:b/>
          <w:bCs/>
        </w:rPr>
        <w:t>38</w:t>
      </w:r>
      <w:r w:rsidRPr="008C4C05">
        <w:rPr>
          <w:rFonts w:ascii="Calibri" w:hAnsi="Calibri"/>
        </w:rPr>
        <w:t>:67–74. https://doi.org/10.1002/ejsp.401.</w:t>
      </w:r>
    </w:p>
    <w:p w14:paraId="089CA92B" w14:textId="77777777" w:rsidR="008C4C05" w:rsidRPr="008C4C05" w:rsidRDefault="008C4C05" w:rsidP="008C4C05">
      <w:pPr>
        <w:pStyle w:val="Bibliography"/>
        <w:rPr>
          <w:rFonts w:ascii="Calibri" w:hAnsi="Calibri"/>
        </w:rPr>
      </w:pPr>
      <w:r w:rsidRPr="008C4C05">
        <w:rPr>
          <w:rFonts w:ascii="Calibri" w:hAnsi="Calibri"/>
        </w:rPr>
        <w:t>128</w:t>
      </w:r>
      <w:r w:rsidRPr="008C4C05">
        <w:rPr>
          <w:rFonts w:ascii="Calibri" w:hAnsi="Calibri"/>
        </w:rPr>
        <w:tab/>
        <w:t xml:space="preserve">Singh S, Z Islam, LJ Brown, R </w:t>
      </w:r>
      <w:proofErr w:type="spellStart"/>
      <w:r w:rsidRPr="008C4C05">
        <w:rPr>
          <w:rFonts w:ascii="Calibri" w:hAnsi="Calibri"/>
        </w:rPr>
        <w:t>Gajwani</w:t>
      </w:r>
      <w:proofErr w:type="spellEnd"/>
      <w:r w:rsidRPr="008C4C05">
        <w:rPr>
          <w:rFonts w:ascii="Calibri" w:hAnsi="Calibri"/>
        </w:rPr>
        <w:t xml:space="preserve"> RJ F </w:t>
      </w:r>
      <w:proofErr w:type="spellStart"/>
      <w:r w:rsidRPr="008C4C05">
        <w:rPr>
          <w:rFonts w:ascii="Calibri" w:hAnsi="Calibri"/>
        </w:rPr>
        <w:t>Rabiee</w:t>
      </w:r>
      <w:proofErr w:type="spellEnd"/>
      <w:r w:rsidRPr="008C4C05">
        <w:rPr>
          <w:rFonts w:ascii="Calibri" w:hAnsi="Calibri"/>
        </w:rPr>
        <w:t xml:space="preserve"> and H Parsons. </w:t>
      </w:r>
      <w:r w:rsidRPr="008C4C05">
        <w:rPr>
          <w:rFonts w:ascii="Calibri" w:hAnsi="Calibri"/>
          <w:i/>
          <w:iCs/>
        </w:rPr>
        <w:t>Ethnicity, detention and early intervention : reducing inequalities and improving outcomes for black and minority ethnic</w:t>
      </w:r>
      <w:r w:rsidRPr="008C4C05">
        <w:rPr>
          <w:rFonts w:ascii="Calibri" w:hAnsi="Calibri"/>
        </w:rPr>
        <w:t>. 2013.</w:t>
      </w:r>
    </w:p>
    <w:p w14:paraId="7D1292B6" w14:textId="77777777" w:rsidR="008C4C05" w:rsidRPr="008C4C05" w:rsidRDefault="008C4C05" w:rsidP="008C4C05">
      <w:pPr>
        <w:pStyle w:val="Bibliography"/>
        <w:rPr>
          <w:rFonts w:ascii="Calibri" w:hAnsi="Calibri"/>
        </w:rPr>
      </w:pPr>
      <w:r w:rsidRPr="008C4C05">
        <w:rPr>
          <w:rFonts w:ascii="Calibri" w:hAnsi="Calibri"/>
        </w:rPr>
        <w:t>129</w:t>
      </w:r>
      <w:r w:rsidRPr="008C4C05">
        <w:rPr>
          <w:rFonts w:ascii="Calibri" w:hAnsi="Calibri"/>
        </w:rPr>
        <w:tab/>
      </w:r>
      <w:proofErr w:type="spellStart"/>
      <w:r w:rsidRPr="008C4C05">
        <w:rPr>
          <w:rFonts w:ascii="Calibri" w:hAnsi="Calibri"/>
        </w:rPr>
        <w:t>Bazeley</w:t>
      </w:r>
      <w:proofErr w:type="spellEnd"/>
      <w:r w:rsidRPr="008C4C05">
        <w:rPr>
          <w:rFonts w:ascii="Calibri" w:hAnsi="Calibri"/>
        </w:rPr>
        <w:t xml:space="preserve"> P. Analysing Qualitative Data: More Than ‘Identifying Themes’. </w:t>
      </w:r>
      <w:r w:rsidRPr="008C4C05">
        <w:rPr>
          <w:rFonts w:ascii="Calibri" w:hAnsi="Calibri"/>
          <w:i/>
          <w:iCs/>
        </w:rPr>
        <w:t>THE MALAYSIAN JOURNAL OF QUALITATIVE RESEARCH</w:t>
      </w:r>
      <w:r w:rsidRPr="008C4C05">
        <w:rPr>
          <w:rFonts w:ascii="Calibri" w:hAnsi="Calibri"/>
        </w:rPr>
        <w:t xml:space="preserve"> 2009;</w:t>
      </w:r>
      <w:r w:rsidRPr="008C4C05">
        <w:rPr>
          <w:rFonts w:ascii="Calibri" w:hAnsi="Calibri"/>
          <w:b/>
          <w:bCs/>
        </w:rPr>
        <w:t>2</w:t>
      </w:r>
      <w:r w:rsidRPr="008C4C05">
        <w:rPr>
          <w:rFonts w:ascii="Calibri" w:hAnsi="Calibri"/>
        </w:rPr>
        <w:t>:18.</w:t>
      </w:r>
    </w:p>
    <w:p w14:paraId="4C9343E2" w14:textId="77777777" w:rsidR="008C4C05" w:rsidRPr="008C4C05" w:rsidRDefault="008C4C05" w:rsidP="008C4C05">
      <w:pPr>
        <w:pStyle w:val="Bibliography"/>
        <w:rPr>
          <w:rFonts w:ascii="Calibri" w:hAnsi="Calibri"/>
        </w:rPr>
      </w:pPr>
      <w:r w:rsidRPr="008C4C05">
        <w:rPr>
          <w:rFonts w:ascii="Calibri" w:hAnsi="Calibri"/>
        </w:rPr>
        <w:t>130</w:t>
      </w:r>
      <w:r w:rsidRPr="008C4C05">
        <w:rPr>
          <w:rFonts w:ascii="Calibri" w:hAnsi="Calibri"/>
        </w:rPr>
        <w:tab/>
        <w:t xml:space="preserve">Michie S, M R, M J, C A, J F, W H, </w:t>
      </w:r>
      <w:r w:rsidRPr="008C4C05">
        <w:rPr>
          <w:rFonts w:ascii="Calibri" w:hAnsi="Calibri"/>
          <w:i/>
          <w:iCs/>
        </w:rPr>
        <w:t>et al.</w:t>
      </w:r>
      <w:r w:rsidRPr="008C4C05">
        <w:rPr>
          <w:rFonts w:ascii="Calibri" w:hAnsi="Calibri"/>
        </w:rPr>
        <w:t xml:space="preserve"> The </w:t>
      </w:r>
      <w:proofErr w:type="spellStart"/>
      <w:r w:rsidRPr="008C4C05">
        <w:rPr>
          <w:rFonts w:ascii="Calibri" w:hAnsi="Calibri"/>
        </w:rPr>
        <w:t>behavior</w:t>
      </w:r>
      <w:proofErr w:type="spellEnd"/>
      <w:r w:rsidRPr="008C4C05">
        <w:rPr>
          <w:rFonts w:ascii="Calibri" w:hAnsi="Calibri"/>
        </w:rPr>
        <w:t xml:space="preserve"> change technique taxonomy (v1) of 93 hierarchically clustered techniques: building an international consensus for the reporting of </w:t>
      </w:r>
      <w:proofErr w:type="spellStart"/>
      <w:r w:rsidRPr="008C4C05">
        <w:rPr>
          <w:rFonts w:ascii="Calibri" w:hAnsi="Calibri"/>
        </w:rPr>
        <w:t>behavior</w:t>
      </w:r>
      <w:proofErr w:type="spellEnd"/>
      <w:r w:rsidRPr="008C4C05">
        <w:rPr>
          <w:rFonts w:ascii="Calibri" w:hAnsi="Calibri"/>
        </w:rPr>
        <w:t xml:space="preserve"> change interventions. </w:t>
      </w:r>
      <w:r w:rsidRPr="008C4C05">
        <w:rPr>
          <w:rFonts w:ascii="Calibri" w:hAnsi="Calibri"/>
          <w:i/>
          <w:iCs/>
        </w:rPr>
        <w:t xml:space="preserve">Annals of </w:t>
      </w:r>
      <w:proofErr w:type="spellStart"/>
      <w:r w:rsidRPr="008C4C05">
        <w:rPr>
          <w:rFonts w:ascii="Calibri" w:hAnsi="Calibri"/>
          <w:i/>
          <w:iCs/>
        </w:rPr>
        <w:t>Behavioral</w:t>
      </w:r>
      <w:proofErr w:type="spellEnd"/>
      <w:r w:rsidRPr="008C4C05">
        <w:rPr>
          <w:rFonts w:ascii="Calibri" w:hAnsi="Calibri"/>
          <w:i/>
          <w:iCs/>
        </w:rPr>
        <w:t xml:space="preserve"> Medicine : A Publication of the Society of </w:t>
      </w:r>
      <w:proofErr w:type="spellStart"/>
      <w:r w:rsidRPr="008C4C05">
        <w:rPr>
          <w:rFonts w:ascii="Calibri" w:hAnsi="Calibri"/>
          <w:i/>
          <w:iCs/>
        </w:rPr>
        <w:t>Behavioral</w:t>
      </w:r>
      <w:proofErr w:type="spellEnd"/>
      <w:r w:rsidRPr="008C4C05">
        <w:rPr>
          <w:rFonts w:ascii="Calibri" w:hAnsi="Calibri"/>
          <w:i/>
          <w:iCs/>
        </w:rPr>
        <w:t xml:space="preserve"> Medicine</w:t>
      </w:r>
      <w:r w:rsidRPr="008C4C05">
        <w:rPr>
          <w:rFonts w:ascii="Calibri" w:hAnsi="Calibri"/>
        </w:rPr>
        <w:t xml:space="preserve"> 2013;</w:t>
      </w:r>
      <w:r w:rsidRPr="008C4C05">
        <w:rPr>
          <w:rFonts w:ascii="Calibri" w:hAnsi="Calibri"/>
          <w:b/>
          <w:bCs/>
        </w:rPr>
        <w:t>46</w:t>
      </w:r>
      <w:r w:rsidRPr="008C4C05">
        <w:rPr>
          <w:rFonts w:ascii="Calibri" w:hAnsi="Calibri"/>
        </w:rPr>
        <w:t>:. https://doi.org/10.1007/s12160-013-9486-6.</w:t>
      </w:r>
    </w:p>
    <w:p w14:paraId="48A00101" w14:textId="77777777" w:rsidR="008C4C05" w:rsidRPr="008C4C05" w:rsidRDefault="008C4C05" w:rsidP="008C4C05">
      <w:pPr>
        <w:pStyle w:val="Bibliography"/>
        <w:rPr>
          <w:rFonts w:ascii="Calibri" w:hAnsi="Calibri"/>
        </w:rPr>
      </w:pPr>
      <w:r w:rsidRPr="008C4C05">
        <w:rPr>
          <w:rFonts w:ascii="Calibri" w:hAnsi="Calibri"/>
        </w:rPr>
        <w:t>131</w:t>
      </w:r>
      <w:r w:rsidRPr="008C4C05">
        <w:rPr>
          <w:rFonts w:ascii="Calibri" w:hAnsi="Calibri"/>
        </w:rPr>
        <w:tab/>
        <w:t xml:space="preserve">Murray E, </w:t>
      </w:r>
      <w:proofErr w:type="spellStart"/>
      <w:r w:rsidRPr="008C4C05">
        <w:rPr>
          <w:rFonts w:ascii="Calibri" w:hAnsi="Calibri"/>
        </w:rPr>
        <w:t>Treweek</w:t>
      </w:r>
      <w:proofErr w:type="spellEnd"/>
      <w:r w:rsidRPr="008C4C05">
        <w:rPr>
          <w:rFonts w:ascii="Calibri" w:hAnsi="Calibri"/>
        </w:rPr>
        <w:t xml:space="preserve"> S, Pope C, MacFarlane A, </w:t>
      </w:r>
      <w:proofErr w:type="spellStart"/>
      <w:r w:rsidRPr="008C4C05">
        <w:rPr>
          <w:rFonts w:ascii="Calibri" w:hAnsi="Calibri"/>
        </w:rPr>
        <w:t>Ballini</w:t>
      </w:r>
      <w:proofErr w:type="spellEnd"/>
      <w:r w:rsidRPr="008C4C05">
        <w:rPr>
          <w:rFonts w:ascii="Calibri" w:hAnsi="Calibri"/>
        </w:rPr>
        <w:t xml:space="preserve"> L, </w:t>
      </w:r>
      <w:proofErr w:type="spellStart"/>
      <w:r w:rsidRPr="008C4C05">
        <w:rPr>
          <w:rFonts w:ascii="Calibri" w:hAnsi="Calibri"/>
        </w:rPr>
        <w:t>Dowrick</w:t>
      </w:r>
      <w:proofErr w:type="spellEnd"/>
      <w:r w:rsidRPr="008C4C05">
        <w:rPr>
          <w:rFonts w:ascii="Calibri" w:hAnsi="Calibri"/>
        </w:rPr>
        <w:t xml:space="preserve"> C, </w:t>
      </w:r>
      <w:r w:rsidRPr="008C4C05">
        <w:rPr>
          <w:rFonts w:ascii="Calibri" w:hAnsi="Calibri"/>
          <w:i/>
          <w:iCs/>
        </w:rPr>
        <w:t>et al.</w:t>
      </w:r>
      <w:r w:rsidRPr="008C4C05">
        <w:rPr>
          <w:rFonts w:ascii="Calibri" w:hAnsi="Calibri"/>
        </w:rPr>
        <w:t xml:space="preserve"> Normalisation process theory: a framework for developing, evaluating and implementing complex interventions. </w:t>
      </w:r>
      <w:r w:rsidRPr="008C4C05">
        <w:rPr>
          <w:rFonts w:ascii="Calibri" w:hAnsi="Calibri"/>
          <w:i/>
          <w:iCs/>
        </w:rPr>
        <w:t>BMC Med</w:t>
      </w:r>
      <w:r w:rsidRPr="008C4C05">
        <w:rPr>
          <w:rFonts w:ascii="Calibri" w:hAnsi="Calibri"/>
        </w:rPr>
        <w:t xml:space="preserve"> 2010;</w:t>
      </w:r>
      <w:r w:rsidRPr="008C4C05">
        <w:rPr>
          <w:rFonts w:ascii="Calibri" w:hAnsi="Calibri"/>
          <w:b/>
          <w:bCs/>
        </w:rPr>
        <w:t>8</w:t>
      </w:r>
      <w:r w:rsidRPr="008C4C05">
        <w:rPr>
          <w:rFonts w:ascii="Calibri" w:hAnsi="Calibri"/>
        </w:rPr>
        <w:t>:1–11. https://doi.org/10.1186/1741-7015-8-63.</w:t>
      </w:r>
    </w:p>
    <w:p w14:paraId="3D535D47" w14:textId="77777777" w:rsidR="008C4C05" w:rsidRPr="008C4C05" w:rsidRDefault="008C4C05" w:rsidP="008C4C05">
      <w:pPr>
        <w:pStyle w:val="Bibliography"/>
        <w:rPr>
          <w:rFonts w:ascii="Calibri" w:hAnsi="Calibri"/>
        </w:rPr>
      </w:pPr>
      <w:r w:rsidRPr="008C4C05">
        <w:rPr>
          <w:rFonts w:ascii="Calibri" w:hAnsi="Calibri"/>
        </w:rPr>
        <w:t>132</w:t>
      </w:r>
      <w:r w:rsidRPr="008C4C05">
        <w:rPr>
          <w:rFonts w:ascii="Calibri" w:hAnsi="Calibri"/>
        </w:rPr>
        <w:tab/>
        <w:t xml:space="preserve">Cartwright, Julia, Kabir, Thomas, Simons, Lucy. INVOLVE: Budgeting for involvement: Practical advice on budgeting for actively involving the public in research studies. </w:t>
      </w:r>
      <w:r w:rsidRPr="008C4C05">
        <w:rPr>
          <w:rFonts w:ascii="Calibri" w:hAnsi="Calibri"/>
          <w:i/>
          <w:iCs/>
        </w:rPr>
        <w:t>NIHR</w:t>
      </w:r>
      <w:r w:rsidRPr="008C4C05">
        <w:rPr>
          <w:rFonts w:ascii="Calibri" w:hAnsi="Calibri"/>
        </w:rPr>
        <w:t xml:space="preserve"> 2013.</w:t>
      </w:r>
    </w:p>
    <w:p w14:paraId="422E456F" w14:textId="77777777" w:rsidR="008C4C05" w:rsidRPr="008C4C05" w:rsidRDefault="008C4C05" w:rsidP="008C4C05">
      <w:pPr>
        <w:pStyle w:val="Bibliography"/>
        <w:rPr>
          <w:rFonts w:ascii="Calibri" w:hAnsi="Calibri"/>
        </w:rPr>
      </w:pPr>
      <w:r w:rsidRPr="008C4C05">
        <w:rPr>
          <w:rFonts w:ascii="Calibri" w:hAnsi="Calibri"/>
        </w:rPr>
        <w:t>133</w:t>
      </w:r>
      <w:r w:rsidRPr="008C4C05">
        <w:rPr>
          <w:rFonts w:ascii="Calibri" w:hAnsi="Calibri"/>
        </w:rPr>
        <w:tab/>
        <w:t xml:space="preserve">Kai J, Beavan J, Faull C, Dodson L, Gill P, Beighton A. Professional Uncertainty and Disempowerment Responding to Ethnic Diversity in Health Care: A Qualitative Study. </w:t>
      </w:r>
      <w:r w:rsidRPr="008C4C05">
        <w:rPr>
          <w:rFonts w:ascii="Calibri" w:hAnsi="Calibri"/>
          <w:i/>
          <w:iCs/>
        </w:rPr>
        <w:t>PLOS Medicine</w:t>
      </w:r>
      <w:r w:rsidRPr="008C4C05">
        <w:rPr>
          <w:rFonts w:ascii="Calibri" w:hAnsi="Calibri"/>
        </w:rPr>
        <w:t xml:space="preserve"> 2007;</w:t>
      </w:r>
      <w:r w:rsidRPr="008C4C05">
        <w:rPr>
          <w:rFonts w:ascii="Calibri" w:hAnsi="Calibri"/>
          <w:b/>
          <w:bCs/>
        </w:rPr>
        <w:t>4</w:t>
      </w:r>
      <w:r w:rsidRPr="008C4C05">
        <w:rPr>
          <w:rFonts w:ascii="Calibri" w:hAnsi="Calibri"/>
        </w:rPr>
        <w:t>:e323. https://doi.org/10.1371/journal.pmed.0040323.</w:t>
      </w:r>
    </w:p>
    <w:p w14:paraId="042A8899" w14:textId="77777777" w:rsidR="008C4C05" w:rsidRPr="008C4C05" w:rsidRDefault="008C4C05" w:rsidP="008C4C05">
      <w:pPr>
        <w:pStyle w:val="Bibliography"/>
        <w:rPr>
          <w:rFonts w:ascii="Calibri" w:hAnsi="Calibri"/>
        </w:rPr>
      </w:pPr>
      <w:r w:rsidRPr="008C4C05">
        <w:rPr>
          <w:rFonts w:ascii="Calibri" w:hAnsi="Calibri"/>
        </w:rPr>
        <w:lastRenderedPageBreak/>
        <w:t>134</w:t>
      </w:r>
      <w:r w:rsidRPr="008C4C05">
        <w:rPr>
          <w:rFonts w:ascii="Calibri" w:hAnsi="Calibri"/>
        </w:rPr>
        <w:tab/>
        <w:t xml:space="preserve">Gerber K, Maharaj E, </w:t>
      </w:r>
      <w:proofErr w:type="spellStart"/>
      <w:r w:rsidRPr="008C4C05">
        <w:rPr>
          <w:rFonts w:ascii="Calibri" w:hAnsi="Calibri"/>
        </w:rPr>
        <w:t>Brijnath</w:t>
      </w:r>
      <w:proofErr w:type="spellEnd"/>
      <w:r w:rsidRPr="008C4C05">
        <w:rPr>
          <w:rFonts w:ascii="Calibri" w:hAnsi="Calibri"/>
        </w:rPr>
        <w:t xml:space="preserve"> B, </w:t>
      </w:r>
      <w:proofErr w:type="spellStart"/>
      <w:r w:rsidRPr="008C4C05">
        <w:rPr>
          <w:rFonts w:ascii="Calibri" w:hAnsi="Calibri"/>
        </w:rPr>
        <w:t>Antoniades</w:t>
      </w:r>
      <w:proofErr w:type="spellEnd"/>
      <w:r w:rsidRPr="008C4C05">
        <w:rPr>
          <w:rFonts w:ascii="Calibri" w:hAnsi="Calibri"/>
        </w:rPr>
        <w:t xml:space="preserve"> J. End-of-life care for older first-generation migrants: a scoping review. </w:t>
      </w:r>
      <w:r w:rsidRPr="008C4C05">
        <w:rPr>
          <w:rFonts w:ascii="Calibri" w:hAnsi="Calibri"/>
          <w:i/>
          <w:iCs/>
        </w:rPr>
        <w:t>BMJ Supportive &amp; Palliative Care</w:t>
      </w:r>
      <w:r w:rsidRPr="008C4C05">
        <w:rPr>
          <w:rFonts w:ascii="Calibri" w:hAnsi="Calibri"/>
        </w:rPr>
        <w:t xml:space="preserve"> 2020. https://doi.org/10.1136/bmjspcare-2020-002617.</w:t>
      </w:r>
    </w:p>
    <w:p w14:paraId="6EC6FDD1" w14:textId="77777777" w:rsidR="008C4C05" w:rsidRPr="008C4C05" w:rsidRDefault="008C4C05" w:rsidP="008C4C05">
      <w:pPr>
        <w:pStyle w:val="Bibliography"/>
        <w:rPr>
          <w:rFonts w:ascii="Calibri" w:hAnsi="Calibri"/>
        </w:rPr>
      </w:pPr>
      <w:r w:rsidRPr="008C4C05">
        <w:rPr>
          <w:rFonts w:ascii="Calibri" w:hAnsi="Calibri"/>
        </w:rPr>
        <w:t>135</w:t>
      </w:r>
      <w:r w:rsidRPr="008C4C05">
        <w:rPr>
          <w:rFonts w:ascii="Calibri" w:hAnsi="Calibri"/>
        </w:rPr>
        <w:tab/>
      </w:r>
      <w:proofErr w:type="spellStart"/>
      <w:r w:rsidRPr="008C4C05">
        <w:rPr>
          <w:rFonts w:ascii="Calibri" w:hAnsi="Calibri"/>
        </w:rPr>
        <w:t>Zwakman</w:t>
      </w:r>
      <w:proofErr w:type="spellEnd"/>
      <w:r w:rsidRPr="008C4C05">
        <w:rPr>
          <w:rFonts w:ascii="Calibri" w:hAnsi="Calibri"/>
        </w:rPr>
        <w:t xml:space="preserve"> M, </w:t>
      </w:r>
      <w:proofErr w:type="spellStart"/>
      <w:r w:rsidRPr="008C4C05">
        <w:rPr>
          <w:rFonts w:ascii="Calibri" w:hAnsi="Calibri"/>
        </w:rPr>
        <w:t>Jabbarian</w:t>
      </w:r>
      <w:proofErr w:type="spellEnd"/>
      <w:r w:rsidRPr="008C4C05">
        <w:rPr>
          <w:rFonts w:ascii="Calibri" w:hAnsi="Calibri"/>
        </w:rPr>
        <w:t xml:space="preserve"> LJ, van </w:t>
      </w:r>
      <w:proofErr w:type="spellStart"/>
      <w:r w:rsidRPr="008C4C05">
        <w:rPr>
          <w:rFonts w:ascii="Calibri" w:hAnsi="Calibri"/>
        </w:rPr>
        <w:t>Delden</w:t>
      </w:r>
      <w:proofErr w:type="spellEnd"/>
      <w:r w:rsidRPr="008C4C05">
        <w:rPr>
          <w:rFonts w:ascii="Calibri" w:hAnsi="Calibri"/>
        </w:rPr>
        <w:t xml:space="preserve"> JJM, van der Heide A, </w:t>
      </w:r>
      <w:proofErr w:type="spellStart"/>
      <w:r w:rsidRPr="008C4C05">
        <w:rPr>
          <w:rFonts w:ascii="Calibri" w:hAnsi="Calibri"/>
        </w:rPr>
        <w:t>Korfage</w:t>
      </w:r>
      <w:proofErr w:type="spellEnd"/>
      <w:r w:rsidRPr="008C4C05">
        <w:rPr>
          <w:rFonts w:ascii="Calibri" w:hAnsi="Calibri"/>
        </w:rPr>
        <w:t xml:space="preserve"> IJ, Pollock K, </w:t>
      </w:r>
      <w:r w:rsidRPr="008C4C05">
        <w:rPr>
          <w:rFonts w:ascii="Calibri" w:hAnsi="Calibri"/>
          <w:i/>
          <w:iCs/>
        </w:rPr>
        <w:t>et al.</w:t>
      </w:r>
      <w:r w:rsidRPr="008C4C05">
        <w:rPr>
          <w:rFonts w:ascii="Calibri" w:hAnsi="Calibri"/>
        </w:rPr>
        <w:t xml:space="preserve"> Advance care planning: A systematic review about experiences of patients with a life-threatening or life-limiting illness. </w:t>
      </w:r>
      <w:r w:rsidRPr="008C4C05">
        <w:rPr>
          <w:rFonts w:ascii="Calibri" w:hAnsi="Calibri"/>
          <w:i/>
          <w:iCs/>
        </w:rPr>
        <w:t>Palliative Medicine</w:t>
      </w:r>
      <w:r w:rsidRPr="008C4C05">
        <w:rPr>
          <w:rFonts w:ascii="Calibri" w:hAnsi="Calibri"/>
        </w:rPr>
        <w:t xml:space="preserve"> 2018:0269216318784474.</w:t>
      </w:r>
    </w:p>
    <w:p w14:paraId="63042985" w14:textId="77777777" w:rsidR="008C4C05" w:rsidRPr="008C4C05" w:rsidRDefault="008C4C05" w:rsidP="008C4C05">
      <w:pPr>
        <w:pStyle w:val="Bibliography"/>
        <w:rPr>
          <w:rFonts w:ascii="Calibri" w:hAnsi="Calibri"/>
        </w:rPr>
      </w:pPr>
      <w:r w:rsidRPr="008C4C05">
        <w:rPr>
          <w:rFonts w:ascii="Calibri" w:hAnsi="Calibri"/>
        </w:rPr>
        <w:t>136</w:t>
      </w:r>
      <w:r w:rsidRPr="008C4C05">
        <w:rPr>
          <w:rFonts w:ascii="Calibri" w:hAnsi="Calibri"/>
        </w:rPr>
        <w:tab/>
        <w:t xml:space="preserve">Evans N, </w:t>
      </w:r>
      <w:proofErr w:type="spellStart"/>
      <w:r w:rsidRPr="008C4C05">
        <w:rPr>
          <w:rFonts w:ascii="Calibri" w:hAnsi="Calibri"/>
        </w:rPr>
        <w:t>Meñaca</w:t>
      </w:r>
      <w:proofErr w:type="spellEnd"/>
      <w:r w:rsidRPr="008C4C05">
        <w:rPr>
          <w:rFonts w:ascii="Calibri" w:hAnsi="Calibri"/>
        </w:rPr>
        <w:t xml:space="preserve"> A, Andrew EVW, </w:t>
      </w:r>
      <w:proofErr w:type="spellStart"/>
      <w:r w:rsidRPr="008C4C05">
        <w:rPr>
          <w:rFonts w:ascii="Calibri" w:hAnsi="Calibri"/>
        </w:rPr>
        <w:t>Koffman</w:t>
      </w:r>
      <w:proofErr w:type="spellEnd"/>
      <w:r w:rsidRPr="008C4C05">
        <w:rPr>
          <w:rFonts w:ascii="Calibri" w:hAnsi="Calibri"/>
        </w:rPr>
        <w:t xml:space="preserve"> J, Harding R, Higginson IJ, </w:t>
      </w:r>
      <w:r w:rsidRPr="008C4C05">
        <w:rPr>
          <w:rFonts w:ascii="Calibri" w:hAnsi="Calibri"/>
          <w:i/>
          <w:iCs/>
        </w:rPr>
        <w:t>et al.</w:t>
      </w:r>
      <w:r w:rsidRPr="008C4C05">
        <w:rPr>
          <w:rFonts w:ascii="Calibri" w:hAnsi="Calibri"/>
        </w:rPr>
        <w:t xml:space="preserve"> Systematic Review of the Primary Research on Minority Ethnic Groups and End-of-Life Care From the United Kingdom. </w:t>
      </w:r>
      <w:r w:rsidRPr="008C4C05">
        <w:rPr>
          <w:rFonts w:ascii="Calibri" w:hAnsi="Calibri"/>
          <w:i/>
          <w:iCs/>
        </w:rPr>
        <w:t>Journal of Pain and Symptom Management</w:t>
      </w:r>
      <w:r w:rsidRPr="008C4C05">
        <w:rPr>
          <w:rFonts w:ascii="Calibri" w:hAnsi="Calibri"/>
        </w:rPr>
        <w:t xml:space="preserve"> 2012;</w:t>
      </w:r>
      <w:r w:rsidRPr="008C4C05">
        <w:rPr>
          <w:rFonts w:ascii="Calibri" w:hAnsi="Calibri"/>
          <w:b/>
          <w:bCs/>
        </w:rPr>
        <w:t>43</w:t>
      </w:r>
      <w:r w:rsidRPr="008C4C05">
        <w:rPr>
          <w:rFonts w:ascii="Calibri" w:hAnsi="Calibri"/>
        </w:rPr>
        <w:t>:261–86. https://doi.org/10.1016/j.jpainsymman.2011.04.012.</w:t>
      </w:r>
    </w:p>
    <w:p w14:paraId="31B9B10E" w14:textId="77777777" w:rsidR="008C4C05" w:rsidRPr="008C4C05" w:rsidRDefault="008C4C05" w:rsidP="008C4C05">
      <w:pPr>
        <w:pStyle w:val="Bibliography"/>
        <w:rPr>
          <w:rFonts w:ascii="Calibri" w:hAnsi="Calibri"/>
        </w:rPr>
      </w:pPr>
      <w:r w:rsidRPr="008C4C05">
        <w:rPr>
          <w:rFonts w:ascii="Calibri" w:hAnsi="Calibri"/>
        </w:rPr>
        <w:t>137</w:t>
      </w:r>
      <w:r w:rsidRPr="008C4C05">
        <w:rPr>
          <w:rFonts w:ascii="Calibri" w:hAnsi="Calibri"/>
        </w:rPr>
        <w:tab/>
      </w:r>
      <w:r w:rsidRPr="008C4C05">
        <w:rPr>
          <w:rFonts w:ascii="Calibri" w:hAnsi="Calibri"/>
          <w:i/>
          <w:iCs/>
        </w:rPr>
        <w:t>Next Steps: improving end-of-life care for Black, Asian and Minority Ethnic people in the UK</w:t>
      </w:r>
      <w:r w:rsidRPr="008C4C05">
        <w:rPr>
          <w:rFonts w:ascii="Calibri" w:hAnsi="Calibri"/>
        </w:rPr>
        <w:t>. Marie Curie Care UK; 2014.</w:t>
      </w:r>
    </w:p>
    <w:p w14:paraId="3BCA227B" w14:textId="77777777" w:rsidR="008C4C05" w:rsidRPr="008C4C05" w:rsidRDefault="008C4C05" w:rsidP="008C4C05">
      <w:pPr>
        <w:pStyle w:val="Bibliography"/>
        <w:rPr>
          <w:rFonts w:ascii="Calibri" w:hAnsi="Calibri"/>
        </w:rPr>
      </w:pPr>
      <w:r w:rsidRPr="008C4C05">
        <w:rPr>
          <w:rFonts w:ascii="Calibri" w:hAnsi="Calibri"/>
        </w:rPr>
        <w:t>138</w:t>
      </w:r>
      <w:r w:rsidRPr="008C4C05">
        <w:rPr>
          <w:rFonts w:ascii="Calibri" w:hAnsi="Calibri"/>
        </w:rPr>
        <w:tab/>
      </w:r>
      <w:proofErr w:type="spellStart"/>
      <w:r w:rsidRPr="008C4C05">
        <w:rPr>
          <w:rFonts w:ascii="Calibri" w:hAnsi="Calibri"/>
        </w:rPr>
        <w:t>Zivkovic</w:t>
      </w:r>
      <w:proofErr w:type="spellEnd"/>
      <w:r w:rsidRPr="008C4C05">
        <w:rPr>
          <w:rFonts w:ascii="Calibri" w:hAnsi="Calibri"/>
        </w:rPr>
        <w:t xml:space="preserve"> T. Forecasting and foreclosing futures: The temporal dissonance of advance care directives. </w:t>
      </w:r>
      <w:r w:rsidRPr="008C4C05">
        <w:rPr>
          <w:rFonts w:ascii="Calibri" w:hAnsi="Calibri"/>
          <w:i/>
          <w:iCs/>
        </w:rPr>
        <w:t>Social Science &amp; Medicine</w:t>
      </w:r>
      <w:r w:rsidRPr="008C4C05">
        <w:rPr>
          <w:rFonts w:ascii="Calibri" w:hAnsi="Calibri"/>
        </w:rPr>
        <w:t xml:space="preserve"> 2018;</w:t>
      </w:r>
      <w:r w:rsidRPr="008C4C05">
        <w:rPr>
          <w:rFonts w:ascii="Calibri" w:hAnsi="Calibri"/>
          <w:b/>
          <w:bCs/>
        </w:rPr>
        <w:t>215</w:t>
      </w:r>
      <w:r w:rsidRPr="008C4C05">
        <w:rPr>
          <w:rFonts w:ascii="Calibri" w:hAnsi="Calibri"/>
        </w:rPr>
        <w:t>:16–22. https://doi.org/10.1016/j.socscimed.2018.08.035.</w:t>
      </w:r>
    </w:p>
    <w:p w14:paraId="54998B98" w14:textId="77777777" w:rsidR="008C4C05" w:rsidRPr="008C4C05" w:rsidRDefault="008C4C05" w:rsidP="008C4C05">
      <w:pPr>
        <w:pStyle w:val="Bibliography"/>
        <w:rPr>
          <w:rFonts w:ascii="Calibri" w:hAnsi="Calibri"/>
        </w:rPr>
      </w:pPr>
      <w:r w:rsidRPr="008C4C05">
        <w:rPr>
          <w:rFonts w:ascii="Calibri" w:hAnsi="Calibri"/>
        </w:rPr>
        <w:t>139</w:t>
      </w:r>
      <w:r w:rsidRPr="008C4C05">
        <w:rPr>
          <w:rFonts w:ascii="Calibri" w:hAnsi="Calibri"/>
        </w:rPr>
        <w:tab/>
        <w:t xml:space="preserve">Drought TS, Koenig BA. Choice in End-of-Life Decision </w:t>
      </w:r>
      <w:proofErr w:type="spellStart"/>
      <w:r w:rsidRPr="008C4C05">
        <w:rPr>
          <w:rFonts w:ascii="Calibri" w:hAnsi="Calibri"/>
        </w:rPr>
        <w:t>MakingResearching</w:t>
      </w:r>
      <w:proofErr w:type="spellEnd"/>
      <w:r w:rsidRPr="008C4C05">
        <w:rPr>
          <w:rFonts w:ascii="Calibri" w:hAnsi="Calibri"/>
        </w:rPr>
        <w:t xml:space="preserve"> Fact or Fiction? </w:t>
      </w:r>
      <w:r w:rsidRPr="008C4C05">
        <w:rPr>
          <w:rFonts w:ascii="Calibri" w:hAnsi="Calibri"/>
          <w:i/>
          <w:iCs/>
        </w:rPr>
        <w:t>Gerontologist</w:t>
      </w:r>
      <w:r w:rsidRPr="008C4C05">
        <w:rPr>
          <w:rFonts w:ascii="Calibri" w:hAnsi="Calibri"/>
        </w:rPr>
        <w:t xml:space="preserve"> 2002;</w:t>
      </w:r>
      <w:r w:rsidRPr="008C4C05">
        <w:rPr>
          <w:rFonts w:ascii="Calibri" w:hAnsi="Calibri"/>
          <w:b/>
          <w:bCs/>
        </w:rPr>
        <w:t>42</w:t>
      </w:r>
      <w:r w:rsidRPr="008C4C05">
        <w:rPr>
          <w:rFonts w:ascii="Calibri" w:hAnsi="Calibri"/>
        </w:rPr>
        <w:t>:114–28. https://doi.org/10.1093/geront/42.suppl_3.114.</w:t>
      </w:r>
    </w:p>
    <w:p w14:paraId="218D27ED" w14:textId="77777777" w:rsidR="008C4C05" w:rsidRPr="008C4C05" w:rsidRDefault="008C4C05" w:rsidP="008C4C05">
      <w:pPr>
        <w:pStyle w:val="Bibliography"/>
        <w:rPr>
          <w:rFonts w:ascii="Calibri" w:hAnsi="Calibri"/>
        </w:rPr>
      </w:pPr>
      <w:r w:rsidRPr="008C4C05">
        <w:rPr>
          <w:rFonts w:ascii="Calibri" w:hAnsi="Calibri"/>
        </w:rPr>
        <w:t>140</w:t>
      </w:r>
      <w:r w:rsidRPr="008C4C05">
        <w:rPr>
          <w:rFonts w:ascii="Calibri" w:hAnsi="Calibri"/>
        </w:rPr>
        <w:tab/>
        <w:t xml:space="preserve">Moll, Annemarie. </w:t>
      </w:r>
      <w:r w:rsidRPr="008C4C05">
        <w:rPr>
          <w:rFonts w:ascii="Calibri" w:hAnsi="Calibri"/>
          <w:i/>
          <w:iCs/>
        </w:rPr>
        <w:t>The Logic of Care: Health and the Problem of Patient Choice</w:t>
      </w:r>
      <w:r w:rsidRPr="008C4C05">
        <w:rPr>
          <w:rFonts w:ascii="Calibri" w:hAnsi="Calibri"/>
        </w:rPr>
        <w:t>. Routledge &amp; CRC Press. n.d. URL: https://www.routledge.com/The-Logic-of-Care-Health-and-the-Problem-of-Patient-Choice/Mol/p/book/9780415453431 (Accessed 8 December 2021).</w:t>
      </w:r>
    </w:p>
    <w:p w14:paraId="3F41838B" w14:textId="77777777" w:rsidR="008C4C05" w:rsidRPr="008C4C05" w:rsidRDefault="008C4C05" w:rsidP="008C4C05">
      <w:pPr>
        <w:pStyle w:val="Bibliography"/>
        <w:rPr>
          <w:rFonts w:ascii="Calibri" w:hAnsi="Calibri"/>
        </w:rPr>
      </w:pPr>
      <w:r w:rsidRPr="008C4C05">
        <w:rPr>
          <w:rFonts w:ascii="Calibri" w:hAnsi="Calibri"/>
        </w:rPr>
        <w:t>141</w:t>
      </w:r>
      <w:r w:rsidRPr="008C4C05">
        <w:rPr>
          <w:rFonts w:ascii="Calibri" w:hAnsi="Calibri"/>
        </w:rPr>
        <w:tab/>
      </w:r>
      <w:r w:rsidRPr="008C4C05">
        <w:rPr>
          <w:rFonts w:ascii="Calibri" w:hAnsi="Calibri"/>
          <w:i/>
          <w:iCs/>
        </w:rPr>
        <w:t xml:space="preserve">Advance care planning re-imagined: a needed shift for COVID times and beyond - Julian Abel, Allan </w:t>
      </w:r>
      <w:proofErr w:type="spellStart"/>
      <w:r w:rsidRPr="008C4C05">
        <w:rPr>
          <w:rFonts w:ascii="Calibri" w:hAnsi="Calibri"/>
          <w:i/>
          <w:iCs/>
        </w:rPr>
        <w:t>Kellehear</w:t>
      </w:r>
      <w:proofErr w:type="spellEnd"/>
      <w:r w:rsidRPr="008C4C05">
        <w:rPr>
          <w:rFonts w:ascii="Calibri" w:hAnsi="Calibri"/>
          <w:i/>
          <w:iCs/>
        </w:rPr>
        <w:t xml:space="preserve">, Catherine Millington Sanders, Mark </w:t>
      </w:r>
      <w:proofErr w:type="spellStart"/>
      <w:r w:rsidRPr="008C4C05">
        <w:rPr>
          <w:rFonts w:ascii="Calibri" w:hAnsi="Calibri"/>
          <w:i/>
          <w:iCs/>
        </w:rPr>
        <w:t>Taubert</w:t>
      </w:r>
      <w:proofErr w:type="spellEnd"/>
      <w:r w:rsidRPr="008C4C05">
        <w:rPr>
          <w:rFonts w:ascii="Calibri" w:hAnsi="Calibri"/>
          <w:i/>
          <w:iCs/>
        </w:rPr>
        <w:t>, Helen Kingston, 2020</w:t>
      </w:r>
      <w:r w:rsidRPr="008C4C05">
        <w:rPr>
          <w:rFonts w:ascii="Calibri" w:hAnsi="Calibri"/>
        </w:rPr>
        <w:t>. n.d. URL: https://journals.sagepub.com/doi/full/10.1177/2632352420934491 (Accessed 8 December 2021).</w:t>
      </w:r>
    </w:p>
    <w:p w14:paraId="4F603A2C" w14:textId="77777777" w:rsidR="008C4C05" w:rsidRPr="008C4C05" w:rsidRDefault="008C4C05" w:rsidP="008C4C05">
      <w:pPr>
        <w:pStyle w:val="Bibliography"/>
        <w:rPr>
          <w:rFonts w:ascii="Calibri" w:hAnsi="Calibri"/>
        </w:rPr>
      </w:pPr>
      <w:r w:rsidRPr="008C4C05">
        <w:rPr>
          <w:rFonts w:ascii="Calibri" w:hAnsi="Calibri"/>
        </w:rPr>
        <w:t>142</w:t>
      </w:r>
      <w:r w:rsidRPr="008C4C05">
        <w:rPr>
          <w:rFonts w:ascii="Calibri" w:hAnsi="Calibri"/>
        </w:rPr>
        <w:tab/>
        <w:t xml:space="preserve">NHS. </w:t>
      </w:r>
      <w:r w:rsidRPr="008C4C05">
        <w:rPr>
          <w:rFonts w:ascii="Calibri" w:hAnsi="Calibri"/>
          <w:i/>
          <w:iCs/>
        </w:rPr>
        <w:t>End of life care</w:t>
      </w:r>
      <w:r w:rsidRPr="008C4C05">
        <w:rPr>
          <w:rFonts w:ascii="Calibri" w:hAnsi="Calibri"/>
        </w:rPr>
        <w:t>. Health Education England. 2017. URL: https://www.hee.nhs.uk/our-work/end-life-care (Accessed 8 December 2021).</w:t>
      </w:r>
    </w:p>
    <w:p w14:paraId="39A4792F" w14:textId="77777777" w:rsidR="008C4C05" w:rsidRPr="008C4C05" w:rsidRDefault="008C4C05" w:rsidP="008C4C05">
      <w:pPr>
        <w:pStyle w:val="Bibliography"/>
        <w:rPr>
          <w:rFonts w:ascii="Calibri" w:hAnsi="Calibri"/>
        </w:rPr>
      </w:pPr>
      <w:r w:rsidRPr="008C4C05">
        <w:rPr>
          <w:rFonts w:ascii="Calibri" w:hAnsi="Calibri"/>
        </w:rPr>
        <w:t>143</w:t>
      </w:r>
      <w:r w:rsidRPr="008C4C05">
        <w:rPr>
          <w:rFonts w:ascii="Calibri" w:hAnsi="Calibri"/>
        </w:rPr>
        <w:tab/>
      </w:r>
      <w:r w:rsidRPr="008C4C05">
        <w:rPr>
          <w:rFonts w:ascii="Calibri" w:hAnsi="Calibri"/>
          <w:i/>
          <w:iCs/>
        </w:rPr>
        <w:t>Ambitions for Palliative and End of Life Care: National Framework for Local Action (2021 - 2026)</w:t>
      </w:r>
      <w:r w:rsidRPr="008C4C05">
        <w:rPr>
          <w:rFonts w:ascii="Calibri" w:hAnsi="Calibri"/>
        </w:rPr>
        <w:t>. Association of Chartered Physiotherapists in Oncology and Palliative Care. n.d. URL: https://acpopc.csp.org.uk/documents/ambitions-palliative-end-life-care-national-framework-local-action-2021-2026 (Accessed 8 December 2021).</w:t>
      </w:r>
    </w:p>
    <w:p w14:paraId="75C9D9AF" w14:textId="77777777" w:rsidR="008C4C05" w:rsidRPr="008C4C05" w:rsidRDefault="008C4C05" w:rsidP="008C4C05">
      <w:pPr>
        <w:pStyle w:val="Bibliography"/>
        <w:rPr>
          <w:rFonts w:ascii="Calibri" w:hAnsi="Calibri"/>
        </w:rPr>
      </w:pPr>
      <w:r w:rsidRPr="008C4C05">
        <w:rPr>
          <w:rFonts w:ascii="Calibri" w:hAnsi="Calibri"/>
        </w:rPr>
        <w:t>144</w:t>
      </w:r>
      <w:r w:rsidRPr="008C4C05">
        <w:rPr>
          <w:rFonts w:ascii="Calibri" w:hAnsi="Calibri"/>
        </w:rPr>
        <w:tab/>
      </w:r>
      <w:proofErr w:type="spellStart"/>
      <w:r w:rsidRPr="008C4C05">
        <w:rPr>
          <w:rFonts w:ascii="Calibri" w:hAnsi="Calibri"/>
        </w:rPr>
        <w:t>Nouvet</w:t>
      </w:r>
      <w:proofErr w:type="spellEnd"/>
      <w:r w:rsidRPr="008C4C05">
        <w:rPr>
          <w:rFonts w:ascii="Calibri" w:hAnsi="Calibri"/>
        </w:rPr>
        <w:t xml:space="preserve"> E, Strachan PH, </w:t>
      </w:r>
      <w:proofErr w:type="spellStart"/>
      <w:r w:rsidRPr="008C4C05">
        <w:rPr>
          <w:rFonts w:ascii="Calibri" w:hAnsi="Calibri"/>
        </w:rPr>
        <w:t>Kryworuchko</w:t>
      </w:r>
      <w:proofErr w:type="spellEnd"/>
      <w:r w:rsidRPr="008C4C05">
        <w:rPr>
          <w:rFonts w:ascii="Calibri" w:hAnsi="Calibri"/>
        </w:rPr>
        <w:t xml:space="preserve"> J, </w:t>
      </w:r>
      <w:proofErr w:type="spellStart"/>
      <w:r w:rsidRPr="008C4C05">
        <w:rPr>
          <w:rFonts w:ascii="Calibri" w:hAnsi="Calibri"/>
        </w:rPr>
        <w:t>Downar</w:t>
      </w:r>
      <w:proofErr w:type="spellEnd"/>
      <w:r w:rsidRPr="008C4C05">
        <w:rPr>
          <w:rFonts w:ascii="Calibri" w:hAnsi="Calibri"/>
        </w:rPr>
        <w:t xml:space="preserve"> J, You JJ. Waiting for the body to fail: limits to end-of-life communication in Canadian hospitals. </w:t>
      </w:r>
      <w:r w:rsidRPr="008C4C05">
        <w:rPr>
          <w:rFonts w:ascii="Calibri" w:hAnsi="Calibri"/>
          <w:i/>
          <w:iCs/>
        </w:rPr>
        <w:t>Mortality</w:t>
      </w:r>
      <w:r w:rsidRPr="008C4C05">
        <w:rPr>
          <w:rFonts w:ascii="Calibri" w:hAnsi="Calibri"/>
        </w:rPr>
        <w:t xml:space="preserve"> 2016.</w:t>
      </w:r>
    </w:p>
    <w:p w14:paraId="5BB11811" w14:textId="77777777" w:rsidR="008C4C05" w:rsidRPr="008C4C05" w:rsidRDefault="008C4C05" w:rsidP="008C4C05">
      <w:pPr>
        <w:pStyle w:val="Bibliography"/>
        <w:rPr>
          <w:rFonts w:ascii="Calibri" w:hAnsi="Calibri"/>
        </w:rPr>
      </w:pPr>
      <w:r w:rsidRPr="008C4C05">
        <w:rPr>
          <w:rFonts w:ascii="Calibri" w:hAnsi="Calibri"/>
        </w:rPr>
        <w:t>145</w:t>
      </w:r>
      <w:r w:rsidRPr="008C4C05">
        <w:rPr>
          <w:rFonts w:ascii="Calibri" w:hAnsi="Calibri"/>
        </w:rPr>
        <w:tab/>
        <w:t xml:space="preserve">al LJJ et. </w:t>
      </w:r>
      <w:r w:rsidRPr="008C4C05">
        <w:rPr>
          <w:rFonts w:ascii="Calibri" w:hAnsi="Calibri"/>
          <w:i/>
          <w:iCs/>
        </w:rPr>
        <w:t>Advance care planning for patients with chronic respiratory diseases: a systematic review of preferences and practices | EndNote Click</w:t>
      </w:r>
      <w:r w:rsidRPr="008C4C05">
        <w:rPr>
          <w:rFonts w:ascii="Calibri" w:hAnsi="Calibri"/>
        </w:rPr>
        <w:t>. n.d. URL: https://click.endnote.com/viewer?doi=10.1136%2Fthoraxjnl-2016-209806&amp;token=WzMwNDM1MzAsIjEwLjExMzYvdGhvcmF4am5sLTIwMTYtMjA5ODA2Il0.-LNLfJDXsB_wQsMx2aEmY7yavIg (Accessed 8 December 2021).</w:t>
      </w:r>
    </w:p>
    <w:p w14:paraId="33F52A01" w14:textId="77777777" w:rsidR="008C4C05" w:rsidRPr="008C4C05" w:rsidRDefault="008C4C05" w:rsidP="008C4C05">
      <w:pPr>
        <w:pStyle w:val="Bibliography"/>
        <w:rPr>
          <w:rFonts w:ascii="Calibri" w:hAnsi="Calibri"/>
        </w:rPr>
      </w:pPr>
      <w:r w:rsidRPr="008C4C05">
        <w:rPr>
          <w:rFonts w:ascii="Calibri" w:hAnsi="Calibri"/>
        </w:rPr>
        <w:t>146</w:t>
      </w:r>
      <w:r w:rsidRPr="008C4C05">
        <w:rPr>
          <w:rFonts w:ascii="Calibri" w:hAnsi="Calibri"/>
        </w:rPr>
        <w:tab/>
      </w:r>
      <w:proofErr w:type="spellStart"/>
      <w:r w:rsidRPr="008C4C05">
        <w:rPr>
          <w:rFonts w:ascii="Calibri" w:hAnsi="Calibri"/>
        </w:rPr>
        <w:t>Almack</w:t>
      </w:r>
      <w:proofErr w:type="spellEnd"/>
      <w:r w:rsidRPr="008C4C05">
        <w:rPr>
          <w:rFonts w:ascii="Calibri" w:hAnsi="Calibri"/>
        </w:rPr>
        <w:t xml:space="preserve"> K, Cox K, Moghaddam N, Pollock K, Seymour J. After you: conversations between patients and healthcare professionals in planning for end of life care. </w:t>
      </w:r>
      <w:r w:rsidRPr="008C4C05">
        <w:rPr>
          <w:rFonts w:ascii="Calibri" w:hAnsi="Calibri"/>
          <w:i/>
          <w:iCs/>
        </w:rPr>
        <w:t>BMC Palliative Care</w:t>
      </w:r>
      <w:r w:rsidRPr="008C4C05">
        <w:rPr>
          <w:rFonts w:ascii="Calibri" w:hAnsi="Calibri"/>
        </w:rPr>
        <w:t xml:space="preserve"> 2012;</w:t>
      </w:r>
      <w:r w:rsidRPr="008C4C05">
        <w:rPr>
          <w:rFonts w:ascii="Calibri" w:hAnsi="Calibri"/>
          <w:b/>
          <w:bCs/>
        </w:rPr>
        <w:t>11</w:t>
      </w:r>
      <w:r w:rsidRPr="008C4C05">
        <w:rPr>
          <w:rFonts w:ascii="Calibri" w:hAnsi="Calibri"/>
        </w:rPr>
        <w:t>:15. https://doi.org/10.1186/1472-684X-11-15.</w:t>
      </w:r>
    </w:p>
    <w:p w14:paraId="5F593C6E" w14:textId="77777777" w:rsidR="008C4C05" w:rsidRPr="008C4C05" w:rsidRDefault="008C4C05" w:rsidP="008C4C05">
      <w:pPr>
        <w:pStyle w:val="Bibliography"/>
        <w:rPr>
          <w:rFonts w:ascii="Calibri" w:hAnsi="Calibri"/>
        </w:rPr>
      </w:pPr>
      <w:r w:rsidRPr="008C4C05">
        <w:rPr>
          <w:rFonts w:ascii="Calibri" w:hAnsi="Calibri"/>
        </w:rPr>
        <w:t>147</w:t>
      </w:r>
      <w:r w:rsidRPr="008C4C05">
        <w:rPr>
          <w:rFonts w:ascii="Calibri" w:hAnsi="Calibri"/>
        </w:rPr>
        <w:tab/>
      </w:r>
      <w:proofErr w:type="spellStart"/>
      <w:r w:rsidRPr="008C4C05">
        <w:rPr>
          <w:rFonts w:ascii="Calibri" w:hAnsi="Calibri"/>
        </w:rPr>
        <w:t>Mj</w:t>
      </w:r>
      <w:proofErr w:type="spellEnd"/>
      <w:r w:rsidRPr="008C4C05">
        <w:rPr>
          <w:rFonts w:ascii="Calibri" w:hAnsi="Calibri"/>
        </w:rPr>
        <w:t xml:space="preserve"> G, Jr S, Mm W, E F, E L, </w:t>
      </w:r>
      <w:proofErr w:type="spellStart"/>
      <w:r w:rsidRPr="008C4C05">
        <w:rPr>
          <w:rFonts w:ascii="Calibri" w:hAnsi="Calibri"/>
        </w:rPr>
        <w:t>Bh</w:t>
      </w:r>
      <w:proofErr w:type="spellEnd"/>
      <w:r w:rsidRPr="008C4C05">
        <w:rPr>
          <w:rFonts w:ascii="Calibri" w:hAnsi="Calibri"/>
        </w:rPr>
        <w:t xml:space="preserve"> L. Advance Care Planning Does Not Adversely Affect Hope or Anxiety Among Patients With Advanced Cancer. </w:t>
      </w:r>
      <w:r w:rsidRPr="008C4C05">
        <w:rPr>
          <w:rFonts w:ascii="Calibri" w:hAnsi="Calibri"/>
          <w:i/>
          <w:iCs/>
        </w:rPr>
        <w:t>Journal of Pain and Symptom Management</w:t>
      </w:r>
      <w:r w:rsidRPr="008C4C05">
        <w:rPr>
          <w:rFonts w:ascii="Calibri" w:hAnsi="Calibri"/>
        </w:rPr>
        <w:t xml:space="preserve"> 2015;</w:t>
      </w:r>
      <w:r w:rsidRPr="008C4C05">
        <w:rPr>
          <w:rFonts w:ascii="Calibri" w:hAnsi="Calibri"/>
          <w:b/>
          <w:bCs/>
        </w:rPr>
        <w:t>49</w:t>
      </w:r>
      <w:r w:rsidRPr="008C4C05">
        <w:rPr>
          <w:rFonts w:ascii="Calibri" w:hAnsi="Calibri"/>
        </w:rPr>
        <w:t>:. https://doi.org/10.1016/j.jpainsymman.2014.11.293.</w:t>
      </w:r>
    </w:p>
    <w:p w14:paraId="7D704084" w14:textId="77777777" w:rsidR="008C4C05" w:rsidRPr="008C4C05" w:rsidRDefault="008C4C05" w:rsidP="008C4C05">
      <w:pPr>
        <w:pStyle w:val="Bibliography"/>
        <w:rPr>
          <w:rFonts w:ascii="Calibri" w:hAnsi="Calibri"/>
        </w:rPr>
      </w:pPr>
      <w:r w:rsidRPr="008C4C05">
        <w:rPr>
          <w:rFonts w:ascii="Calibri" w:hAnsi="Calibri"/>
        </w:rPr>
        <w:t>148</w:t>
      </w:r>
      <w:r w:rsidRPr="008C4C05">
        <w:rPr>
          <w:rFonts w:ascii="Calibri" w:hAnsi="Calibri"/>
        </w:rPr>
        <w:tab/>
        <w:t xml:space="preserve">Am T, T H, G K, G  van der W. Collusion in doctor-patient communication about imminent death: an ethnographic study. </w:t>
      </w:r>
      <w:r w:rsidRPr="008C4C05">
        <w:rPr>
          <w:rFonts w:ascii="Calibri" w:hAnsi="Calibri"/>
          <w:i/>
          <w:iCs/>
        </w:rPr>
        <w:t>The Western Journal of Medicine</w:t>
      </w:r>
      <w:r w:rsidRPr="008C4C05">
        <w:rPr>
          <w:rFonts w:ascii="Calibri" w:hAnsi="Calibri"/>
        </w:rPr>
        <w:t xml:space="preserve"> 2001;</w:t>
      </w:r>
      <w:r w:rsidRPr="008C4C05">
        <w:rPr>
          <w:rFonts w:ascii="Calibri" w:hAnsi="Calibri"/>
          <w:b/>
          <w:bCs/>
        </w:rPr>
        <w:t>174</w:t>
      </w:r>
      <w:r w:rsidRPr="008C4C05">
        <w:rPr>
          <w:rFonts w:ascii="Calibri" w:hAnsi="Calibri"/>
        </w:rPr>
        <w:t>:. https://doi.org/10.1136/ewjm.174.4.247.</w:t>
      </w:r>
    </w:p>
    <w:p w14:paraId="5668121F" w14:textId="77777777" w:rsidR="008C4C05" w:rsidRPr="008C4C05" w:rsidRDefault="008C4C05" w:rsidP="008C4C05">
      <w:pPr>
        <w:pStyle w:val="Bibliography"/>
        <w:rPr>
          <w:rFonts w:ascii="Calibri" w:hAnsi="Calibri"/>
        </w:rPr>
      </w:pPr>
      <w:r w:rsidRPr="008C4C05">
        <w:rPr>
          <w:rFonts w:ascii="Calibri" w:hAnsi="Calibri"/>
        </w:rPr>
        <w:t>149</w:t>
      </w:r>
      <w:r w:rsidRPr="008C4C05">
        <w:rPr>
          <w:rFonts w:ascii="Calibri" w:hAnsi="Calibri"/>
        </w:rPr>
        <w:tab/>
        <w:t xml:space="preserve">Wilson MBC. Clinical nurse specialists’ perspectives on advance care planning conversations: a qualitative study. </w:t>
      </w:r>
      <w:r w:rsidRPr="008C4C05">
        <w:rPr>
          <w:rFonts w:ascii="Calibri" w:hAnsi="Calibri"/>
          <w:i/>
          <w:iCs/>
        </w:rPr>
        <w:t>International Journal of Palliative Nursing</w:t>
      </w:r>
      <w:r w:rsidRPr="008C4C05">
        <w:rPr>
          <w:rFonts w:ascii="Calibri" w:hAnsi="Calibri"/>
        </w:rPr>
        <w:t xml:space="preserve"> 2014. https://doi.org/10.12968/ijpn.2014.20.1.9.</w:t>
      </w:r>
    </w:p>
    <w:p w14:paraId="718C0700" w14:textId="77777777" w:rsidR="008C4C05" w:rsidRPr="008C4C05" w:rsidRDefault="008C4C05" w:rsidP="008C4C05">
      <w:pPr>
        <w:pStyle w:val="Bibliography"/>
        <w:rPr>
          <w:rFonts w:ascii="Calibri" w:hAnsi="Calibri"/>
        </w:rPr>
      </w:pPr>
      <w:r w:rsidRPr="008C4C05">
        <w:rPr>
          <w:rFonts w:ascii="Calibri" w:hAnsi="Calibri"/>
        </w:rPr>
        <w:t>150</w:t>
      </w:r>
      <w:r w:rsidRPr="008C4C05">
        <w:rPr>
          <w:rFonts w:ascii="Calibri" w:hAnsi="Calibri"/>
        </w:rPr>
        <w:tab/>
        <w:t xml:space="preserve">Stacey CL, Pai M, </w:t>
      </w:r>
      <w:proofErr w:type="spellStart"/>
      <w:r w:rsidRPr="008C4C05">
        <w:rPr>
          <w:rFonts w:ascii="Calibri" w:hAnsi="Calibri"/>
        </w:rPr>
        <w:t>Novisky</w:t>
      </w:r>
      <w:proofErr w:type="spellEnd"/>
      <w:r w:rsidRPr="008C4C05">
        <w:rPr>
          <w:rFonts w:ascii="Calibri" w:hAnsi="Calibri"/>
        </w:rPr>
        <w:t xml:space="preserve"> MA, </w:t>
      </w:r>
      <w:proofErr w:type="spellStart"/>
      <w:r w:rsidRPr="008C4C05">
        <w:rPr>
          <w:rFonts w:ascii="Calibri" w:hAnsi="Calibri"/>
        </w:rPr>
        <w:t>Radwany</w:t>
      </w:r>
      <w:proofErr w:type="spellEnd"/>
      <w:r w:rsidRPr="008C4C05">
        <w:rPr>
          <w:rFonts w:ascii="Calibri" w:hAnsi="Calibri"/>
        </w:rPr>
        <w:t xml:space="preserve"> SM. Revisiting ‘awareness contexts’ in the 21st century hospital: How fragmented and specialized care shape patients’ Awareness of Dying. </w:t>
      </w:r>
      <w:r w:rsidRPr="008C4C05">
        <w:rPr>
          <w:rFonts w:ascii="Calibri" w:hAnsi="Calibri"/>
          <w:i/>
          <w:iCs/>
        </w:rPr>
        <w:t>Soc Sci Med</w:t>
      </w:r>
      <w:r w:rsidRPr="008C4C05">
        <w:rPr>
          <w:rFonts w:ascii="Calibri" w:hAnsi="Calibri"/>
        </w:rPr>
        <w:t xml:space="preserve"> 2019;</w:t>
      </w:r>
      <w:r w:rsidRPr="008C4C05">
        <w:rPr>
          <w:rFonts w:ascii="Calibri" w:hAnsi="Calibri"/>
          <w:b/>
          <w:bCs/>
        </w:rPr>
        <w:t>220</w:t>
      </w:r>
      <w:r w:rsidRPr="008C4C05">
        <w:rPr>
          <w:rFonts w:ascii="Calibri" w:hAnsi="Calibri"/>
        </w:rPr>
        <w:t>:212–8. https://doi.org/10.1016/j.socscimed.2018.10.028.</w:t>
      </w:r>
    </w:p>
    <w:p w14:paraId="23F57FBE" w14:textId="77777777" w:rsidR="008C4C05" w:rsidRPr="008C4C05" w:rsidRDefault="008C4C05" w:rsidP="008C4C05">
      <w:pPr>
        <w:pStyle w:val="Bibliography"/>
        <w:rPr>
          <w:rFonts w:ascii="Calibri" w:hAnsi="Calibri"/>
        </w:rPr>
      </w:pPr>
      <w:r w:rsidRPr="008C4C05">
        <w:rPr>
          <w:rFonts w:ascii="Calibri" w:hAnsi="Calibri"/>
        </w:rPr>
        <w:lastRenderedPageBreak/>
        <w:t>151</w:t>
      </w:r>
      <w:r w:rsidRPr="008C4C05">
        <w:rPr>
          <w:rFonts w:ascii="Calibri" w:hAnsi="Calibri"/>
        </w:rPr>
        <w:tab/>
        <w:t xml:space="preserve">Department of Health. </w:t>
      </w:r>
      <w:r w:rsidRPr="008C4C05">
        <w:rPr>
          <w:rFonts w:ascii="Calibri" w:hAnsi="Calibri"/>
          <w:i/>
          <w:iCs/>
        </w:rPr>
        <w:t>Liberating the NHS: No Decision about me without me</w:t>
      </w:r>
      <w:r w:rsidRPr="008C4C05">
        <w:rPr>
          <w:rFonts w:ascii="Calibri" w:hAnsi="Calibri"/>
        </w:rPr>
        <w:t>. 2012. URL: https://scholar.google.com/scholar?hl=en&amp;as_sdt=0%2C5&amp;q=Liberating+the+NHS%3A+No+Decision+about+Me+without+Me.+Further+Consultation+on+Proposals+to+Secure+Shared+Decision-Making&amp;btnG= (Accessed 12 February 2021).</w:t>
      </w:r>
    </w:p>
    <w:p w14:paraId="1C324F80" w14:textId="77777777" w:rsidR="008C4C05" w:rsidRPr="008C4C05" w:rsidRDefault="008C4C05" w:rsidP="008C4C05">
      <w:pPr>
        <w:pStyle w:val="Bibliography"/>
        <w:rPr>
          <w:rFonts w:ascii="Calibri" w:hAnsi="Calibri"/>
        </w:rPr>
      </w:pPr>
      <w:r w:rsidRPr="008C4C05">
        <w:rPr>
          <w:rFonts w:ascii="Calibri" w:hAnsi="Calibri"/>
        </w:rPr>
        <w:t>152</w:t>
      </w:r>
      <w:r w:rsidRPr="008C4C05">
        <w:rPr>
          <w:rFonts w:ascii="Calibri" w:hAnsi="Calibri"/>
        </w:rPr>
        <w:tab/>
      </w:r>
      <w:proofErr w:type="spellStart"/>
      <w:r w:rsidRPr="008C4C05">
        <w:rPr>
          <w:rFonts w:ascii="Calibri" w:hAnsi="Calibri"/>
        </w:rPr>
        <w:t>Etkind</w:t>
      </w:r>
      <w:proofErr w:type="spellEnd"/>
      <w:r w:rsidRPr="008C4C05">
        <w:rPr>
          <w:rFonts w:ascii="Calibri" w:hAnsi="Calibri"/>
        </w:rPr>
        <w:t xml:space="preserve"> SN, </w:t>
      </w:r>
      <w:proofErr w:type="spellStart"/>
      <w:r w:rsidRPr="008C4C05">
        <w:rPr>
          <w:rFonts w:ascii="Calibri" w:hAnsi="Calibri"/>
        </w:rPr>
        <w:t>Bristowe</w:t>
      </w:r>
      <w:proofErr w:type="spellEnd"/>
      <w:r w:rsidRPr="008C4C05">
        <w:rPr>
          <w:rFonts w:ascii="Calibri" w:hAnsi="Calibri"/>
        </w:rPr>
        <w:t xml:space="preserve"> K, Bailey K, Selman LE, Murtagh FE. How does uncertainty shape patient experience in advanced illness? A secondary analysis of qualitative data: </w:t>
      </w:r>
      <w:r w:rsidRPr="008C4C05">
        <w:rPr>
          <w:rFonts w:ascii="Calibri" w:hAnsi="Calibri"/>
          <w:i/>
          <w:iCs/>
        </w:rPr>
        <w:t>Palliative Medicine</w:t>
      </w:r>
      <w:r w:rsidRPr="008C4C05">
        <w:rPr>
          <w:rFonts w:ascii="Calibri" w:hAnsi="Calibri"/>
        </w:rPr>
        <w:t xml:space="preserve"> 2016. https://doi.org/10.1177/0269216316647610.</w:t>
      </w:r>
    </w:p>
    <w:p w14:paraId="5120B32C" w14:textId="77777777" w:rsidR="008C4C05" w:rsidRPr="008C4C05" w:rsidRDefault="008C4C05" w:rsidP="008C4C05">
      <w:pPr>
        <w:pStyle w:val="Bibliography"/>
        <w:rPr>
          <w:rFonts w:ascii="Calibri" w:hAnsi="Calibri"/>
        </w:rPr>
      </w:pPr>
      <w:r w:rsidRPr="008C4C05">
        <w:rPr>
          <w:rFonts w:ascii="Calibri" w:hAnsi="Calibri"/>
        </w:rPr>
        <w:t>153</w:t>
      </w:r>
      <w:r w:rsidRPr="008C4C05">
        <w:rPr>
          <w:rFonts w:ascii="Calibri" w:hAnsi="Calibri"/>
        </w:rPr>
        <w:tab/>
      </w:r>
      <w:proofErr w:type="spellStart"/>
      <w:r w:rsidRPr="008C4C05">
        <w:rPr>
          <w:rFonts w:ascii="Calibri" w:hAnsi="Calibri"/>
        </w:rPr>
        <w:t>Spoden</w:t>
      </w:r>
      <w:proofErr w:type="spellEnd"/>
      <w:r w:rsidRPr="008C4C05">
        <w:rPr>
          <w:rFonts w:ascii="Calibri" w:hAnsi="Calibri"/>
        </w:rPr>
        <w:t xml:space="preserve"> C. Deciding one’s own death in advance: Biopower, living wills, and resistance to a legislation of death with dignity in Japan. </w:t>
      </w:r>
      <w:r w:rsidRPr="008C4C05">
        <w:rPr>
          <w:rFonts w:ascii="Calibri" w:hAnsi="Calibri"/>
          <w:i/>
          <w:iCs/>
        </w:rPr>
        <w:t>Contemporary Japan</w:t>
      </w:r>
      <w:r w:rsidRPr="008C4C05">
        <w:rPr>
          <w:rFonts w:ascii="Calibri" w:hAnsi="Calibri"/>
        </w:rPr>
        <w:t xml:space="preserve"> 2020;</w:t>
      </w:r>
      <w:r w:rsidRPr="008C4C05">
        <w:rPr>
          <w:rFonts w:ascii="Calibri" w:hAnsi="Calibri"/>
          <w:b/>
          <w:bCs/>
        </w:rPr>
        <w:t>32</w:t>
      </w:r>
      <w:r w:rsidRPr="008C4C05">
        <w:rPr>
          <w:rFonts w:ascii="Calibri" w:hAnsi="Calibri"/>
        </w:rPr>
        <w:t>:63–82. https://doi.org/10.1080/18692729.2020.1714279.</w:t>
      </w:r>
    </w:p>
    <w:p w14:paraId="6E86785F" w14:textId="77777777" w:rsidR="008C4C05" w:rsidRPr="008C4C05" w:rsidRDefault="008C4C05" w:rsidP="008C4C05">
      <w:pPr>
        <w:pStyle w:val="Bibliography"/>
        <w:rPr>
          <w:rFonts w:ascii="Calibri" w:hAnsi="Calibri"/>
        </w:rPr>
      </w:pPr>
      <w:r w:rsidRPr="008C4C05">
        <w:rPr>
          <w:rFonts w:ascii="Calibri" w:hAnsi="Calibri"/>
        </w:rPr>
        <w:t>154</w:t>
      </w:r>
      <w:r w:rsidRPr="008C4C05">
        <w:rPr>
          <w:rFonts w:ascii="Calibri" w:hAnsi="Calibri"/>
        </w:rPr>
        <w:tab/>
        <w:t xml:space="preserve">Glaser BG, Strauss AL. </w:t>
      </w:r>
      <w:r w:rsidRPr="008C4C05">
        <w:rPr>
          <w:rFonts w:ascii="Calibri" w:hAnsi="Calibri"/>
          <w:i/>
          <w:iCs/>
        </w:rPr>
        <w:t>Awareness of dying</w:t>
      </w:r>
      <w:r w:rsidRPr="008C4C05">
        <w:rPr>
          <w:rFonts w:ascii="Calibri" w:hAnsi="Calibri"/>
        </w:rPr>
        <w:t>. Routledge; 1965.</w:t>
      </w:r>
    </w:p>
    <w:p w14:paraId="37C4C91A" w14:textId="77777777" w:rsidR="008C4C05" w:rsidRPr="008C4C05" w:rsidRDefault="008C4C05" w:rsidP="008C4C05">
      <w:pPr>
        <w:pStyle w:val="Bibliography"/>
        <w:rPr>
          <w:rFonts w:ascii="Calibri" w:hAnsi="Calibri"/>
        </w:rPr>
      </w:pPr>
      <w:r w:rsidRPr="008C4C05">
        <w:rPr>
          <w:rFonts w:ascii="Calibri" w:hAnsi="Calibri"/>
        </w:rPr>
        <w:t>155</w:t>
      </w:r>
      <w:r w:rsidRPr="008C4C05">
        <w:rPr>
          <w:rFonts w:ascii="Calibri" w:hAnsi="Calibri"/>
        </w:rPr>
        <w:tab/>
      </w:r>
      <w:r w:rsidRPr="008C4C05">
        <w:rPr>
          <w:rFonts w:ascii="Calibri" w:hAnsi="Calibri"/>
          <w:i/>
          <w:iCs/>
        </w:rPr>
        <w:t xml:space="preserve">9780882021096: Communication and Awareness in a Cancer Ward - </w:t>
      </w:r>
      <w:proofErr w:type="spellStart"/>
      <w:r w:rsidRPr="008C4C05">
        <w:rPr>
          <w:rFonts w:ascii="Calibri" w:hAnsi="Calibri"/>
          <w:i/>
          <w:iCs/>
        </w:rPr>
        <w:t>AbeBooks</w:t>
      </w:r>
      <w:proofErr w:type="spellEnd"/>
      <w:r w:rsidRPr="008C4C05">
        <w:rPr>
          <w:rFonts w:ascii="Calibri" w:hAnsi="Calibri"/>
          <w:i/>
          <w:iCs/>
        </w:rPr>
        <w:t xml:space="preserve"> - McIntosh, Jim: 0882021095</w:t>
      </w:r>
      <w:r w:rsidRPr="008C4C05">
        <w:rPr>
          <w:rFonts w:ascii="Calibri" w:hAnsi="Calibri"/>
        </w:rPr>
        <w:t>. n.d. URL: https://www.abebooks.com/9780882021096/Communication-Awareness-Cancer-Ward-McIntosh-0882021095/plp (Accessed 8 December 2021).</w:t>
      </w:r>
    </w:p>
    <w:p w14:paraId="1363B633" w14:textId="77777777" w:rsidR="008C4C05" w:rsidRPr="008C4C05" w:rsidRDefault="008C4C05" w:rsidP="008C4C05">
      <w:pPr>
        <w:pStyle w:val="Bibliography"/>
        <w:rPr>
          <w:rFonts w:ascii="Calibri" w:hAnsi="Calibri"/>
        </w:rPr>
      </w:pPr>
      <w:r w:rsidRPr="008C4C05">
        <w:rPr>
          <w:rFonts w:ascii="Calibri" w:hAnsi="Calibri"/>
        </w:rPr>
        <w:t>156</w:t>
      </w:r>
      <w:r w:rsidRPr="008C4C05">
        <w:rPr>
          <w:rFonts w:ascii="Calibri" w:hAnsi="Calibri"/>
        </w:rPr>
        <w:tab/>
        <w:t xml:space="preserve">Richards N, Ingleton C, Gardiner C, Gott M. Awareness contexts revisited: indeterminacy in initiating discussions at the end-of-life. </w:t>
      </w:r>
      <w:r w:rsidRPr="008C4C05">
        <w:rPr>
          <w:rFonts w:ascii="Calibri" w:hAnsi="Calibri"/>
          <w:i/>
          <w:iCs/>
        </w:rPr>
        <w:t xml:space="preserve">J Adv </w:t>
      </w:r>
      <w:proofErr w:type="spellStart"/>
      <w:r w:rsidRPr="008C4C05">
        <w:rPr>
          <w:rFonts w:ascii="Calibri" w:hAnsi="Calibri"/>
          <w:i/>
          <w:iCs/>
        </w:rPr>
        <w:t>Nurs</w:t>
      </w:r>
      <w:proofErr w:type="spellEnd"/>
      <w:r w:rsidRPr="008C4C05">
        <w:rPr>
          <w:rFonts w:ascii="Calibri" w:hAnsi="Calibri"/>
        </w:rPr>
        <w:t xml:space="preserve"> 2013;</w:t>
      </w:r>
      <w:r w:rsidRPr="008C4C05">
        <w:rPr>
          <w:rFonts w:ascii="Calibri" w:hAnsi="Calibri"/>
          <w:b/>
          <w:bCs/>
        </w:rPr>
        <w:t>69</w:t>
      </w:r>
      <w:r w:rsidRPr="008C4C05">
        <w:rPr>
          <w:rFonts w:ascii="Calibri" w:hAnsi="Calibri"/>
        </w:rPr>
        <w:t>:2654–64. https://doi.org/10.1111/jan.12151.</w:t>
      </w:r>
    </w:p>
    <w:p w14:paraId="73518E80" w14:textId="77777777" w:rsidR="008C4C05" w:rsidRPr="008C4C05" w:rsidRDefault="008C4C05" w:rsidP="008C4C05">
      <w:pPr>
        <w:pStyle w:val="Bibliography"/>
        <w:rPr>
          <w:rFonts w:ascii="Calibri" w:hAnsi="Calibri"/>
        </w:rPr>
      </w:pPr>
      <w:r w:rsidRPr="008C4C05">
        <w:rPr>
          <w:rFonts w:ascii="Calibri" w:hAnsi="Calibri"/>
        </w:rPr>
        <w:t>157</w:t>
      </w:r>
      <w:r w:rsidRPr="008C4C05">
        <w:rPr>
          <w:rFonts w:ascii="Calibri" w:hAnsi="Calibri"/>
        </w:rPr>
        <w:tab/>
        <w:t xml:space="preserve">Davis F. </w:t>
      </w:r>
      <w:r w:rsidRPr="008C4C05">
        <w:rPr>
          <w:rFonts w:ascii="Calibri" w:hAnsi="Calibri"/>
          <w:i/>
          <w:iCs/>
        </w:rPr>
        <w:t>Passage through crisis; polio victims and their families.</w:t>
      </w:r>
      <w:r w:rsidRPr="008C4C05">
        <w:rPr>
          <w:rFonts w:ascii="Calibri" w:hAnsi="Calibri"/>
        </w:rPr>
        <w:t xml:space="preserve"> Indianapolis: </w:t>
      </w:r>
      <w:proofErr w:type="spellStart"/>
      <w:r w:rsidRPr="008C4C05">
        <w:rPr>
          <w:rFonts w:ascii="Calibri" w:hAnsi="Calibri"/>
        </w:rPr>
        <w:t>Bobbs</w:t>
      </w:r>
      <w:proofErr w:type="spellEnd"/>
      <w:r w:rsidRPr="008C4C05">
        <w:rPr>
          <w:rFonts w:ascii="Calibri" w:hAnsi="Calibri"/>
        </w:rPr>
        <w:t>-Merrill; 1963.</w:t>
      </w:r>
    </w:p>
    <w:p w14:paraId="1AD4CBC0" w14:textId="77777777" w:rsidR="008C4C05" w:rsidRPr="008C4C05" w:rsidRDefault="008C4C05" w:rsidP="008C4C05">
      <w:pPr>
        <w:pStyle w:val="Bibliography"/>
        <w:rPr>
          <w:rFonts w:ascii="Calibri" w:hAnsi="Calibri"/>
        </w:rPr>
      </w:pPr>
      <w:r w:rsidRPr="008C4C05">
        <w:rPr>
          <w:rFonts w:ascii="Calibri" w:hAnsi="Calibri"/>
        </w:rPr>
        <w:t>158</w:t>
      </w:r>
      <w:r w:rsidRPr="008C4C05">
        <w:rPr>
          <w:rFonts w:ascii="Calibri" w:hAnsi="Calibri"/>
        </w:rPr>
        <w:tab/>
        <w:t xml:space="preserve">Bellamy G, Gott M. What are the priorities for developing culturally appropriate palliative and end-of-life care for older people? The views of healthcare staff working in New Zealand. </w:t>
      </w:r>
      <w:r w:rsidRPr="008C4C05">
        <w:rPr>
          <w:rFonts w:ascii="Calibri" w:hAnsi="Calibri"/>
          <w:i/>
          <w:iCs/>
        </w:rPr>
        <w:t>Health Soc Care Community</w:t>
      </w:r>
      <w:r w:rsidRPr="008C4C05">
        <w:rPr>
          <w:rFonts w:ascii="Calibri" w:hAnsi="Calibri"/>
        </w:rPr>
        <w:t xml:space="preserve"> 2013;</w:t>
      </w:r>
      <w:r w:rsidRPr="008C4C05">
        <w:rPr>
          <w:rFonts w:ascii="Calibri" w:hAnsi="Calibri"/>
          <w:b/>
          <w:bCs/>
        </w:rPr>
        <w:t>21</w:t>
      </w:r>
      <w:r w:rsidRPr="008C4C05">
        <w:rPr>
          <w:rFonts w:ascii="Calibri" w:hAnsi="Calibri"/>
        </w:rPr>
        <w:t>:26–34. https://doi.org/10.1111/j.1365-2524.2012.01083.x.</w:t>
      </w:r>
    </w:p>
    <w:p w14:paraId="709932FA" w14:textId="77777777" w:rsidR="008C4C05" w:rsidRPr="008C4C05" w:rsidRDefault="008C4C05" w:rsidP="008C4C05">
      <w:pPr>
        <w:pStyle w:val="Bibliography"/>
        <w:rPr>
          <w:rFonts w:ascii="Calibri" w:hAnsi="Calibri"/>
        </w:rPr>
      </w:pPr>
      <w:r w:rsidRPr="00D74EFC">
        <w:rPr>
          <w:rFonts w:ascii="Calibri" w:hAnsi="Calibri"/>
          <w:lang w:val="fr-FR"/>
        </w:rPr>
        <w:t>159</w:t>
      </w:r>
      <w:r w:rsidRPr="00D74EFC">
        <w:rPr>
          <w:rFonts w:ascii="Calibri" w:hAnsi="Calibri"/>
          <w:lang w:val="fr-FR"/>
        </w:rPr>
        <w:tab/>
        <w:t xml:space="preserve">de </w:t>
      </w:r>
      <w:proofErr w:type="spellStart"/>
      <w:r w:rsidRPr="00D74EFC">
        <w:rPr>
          <w:rFonts w:ascii="Calibri" w:hAnsi="Calibri"/>
          <w:lang w:val="fr-FR"/>
        </w:rPr>
        <w:t>Graaff</w:t>
      </w:r>
      <w:proofErr w:type="spellEnd"/>
      <w:r w:rsidRPr="00D74EFC">
        <w:rPr>
          <w:rFonts w:ascii="Calibri" w:hAnsi="Calibri"/>
          <w:lang w:val="fr-FR"/>
        </w:rPr>
        <w:t xml:space="preserve"> FM, </w:t>
      </w:r>
      <w:proofErr w:type="spellStart"/>
      <w:r w:rsidRPr="00D74EFC">
        <w:rPr>
          <w:rFonts w:ascii="Calibri" w:hAnsi="Calibri"/>
          <w:lang w:val="fr-FR"/>
        </w:rPr>
        <w:t>Mistiaen</w:t>
      </w:r>
      <w:proofErr w:type="spellEnd"/>
      <w:r w:rsidRPr="00D74EFC">
        <w:rPr>
          <w:rFonts w:ascii="Calibri" w:hAnsi="Calibri"/>
          <w:lang w:val="fr-FR"/>
        </w:rPr>
        <w:t xml:space="preserve"> P, Devillé WL, </w:t>
      </w:r>
      <w:proofErr w:type="spellStart"/>
      <w:r w:rsidRPr="00D74EFC">
        <w:rPr>
          <w:rFonts w:ascii="Calibri" w:hAnsi="Calibri"/>
          <w:lang w:val="fr-FR"/>
        </w:rPr>
        <w:t>Francke</w:t>
      </w:r>
      <w:proofErr w:type="spellEnd"/>
      <w:r w:rsidRPr="00D74EFC">
        <w:rPr>
          <w:rFonts w:ascii="Calibri" w:hAnsi="Calibri"/>
          <w:lang w:val="fr-FR"/>
        </w:rPr>
        <w:t xml:space="preserve"> AL. </w:t>
      </w:r>
      <w:r w:rsidRPr="008C4C05">
        <w:rPr>
          <w:rFonts w:ascii="Calibri" w:hAnsi="Calibri"/>
        </w:rPr>
        <w:t xml:space="preserve">Perspectives on care and communication involving incurably ill Turkish and Moroccan patients, relatives and professionals: a systematic literature review. </w:t>
      </w:r>
      <w:r w:rsidRPr="008C4C05">
        <w:rPr>
          <w:rFonts w:ascii="Calibri" w:hAnsi="Calibri"/>
          <w:i/>
          <w:iCs/>
        </w:rPr>
        <w:t>BMC Palliative Care</w:t>
      </w:r>
      <w:r w:rsidRPr="008C4C05">
        <w:rPr>
          <w:rFonts w:ascii="Calibri" w:hAnsi="Calibri"/>
        </w:rPr>
        <w:t xml:space="preserve"> 2012;</w:t>
      </w:r>
      <w:r w:rsidRPr="008C4C05">
        <w:rPr>
          <w:rFonts w:ascii="Calibri" w:hAnsi="Calibri"/>
          <w:b/>
          <w:bCs/>
        </w:rPr>
        <w:t>11</w:t>
      </w:r>
      <w:r w:rsidRPr="008C4C05">
        <w:rPr>
          <w:rFonts w:ascii="Calibri" w:hAnsi="Calibri"/>
        </w:rPr>
        <w:t>:17. https://doi.org/10.1186/1472-684X-11-17.</w:t>
      </w:r>
    </w:p>
    <w:p w14:paraId="4045A3CC" w14:textId="77777777" w:rsidR="008C4C05" w:rsidRPr="008C4C05" w:rsidRDefault="008C4C05" w:rsidP="008C4C05">
      <w:pPr>
        <w:pStyle w:val="Bibliography"/>
        <w:rPr>
          <w:rFonts w:ascii="Calibri" w:hAnsi="Calibri"/>
        </w:rPr>
      </w:pPr>
      <w:r w:rsidRPr="008C4C05">
        <w:rPr>
          <w:rFonts w:ascii="Calibri" w:hAnsi="Calibri"/>
        </w:rPr>
        <w:t>160</w:t>
      </w:r>
      <w:r w:rsidRPr="008C4C05">
        <w:rPr>
          <w:rFonts w:ascii="Calibri" w:hAnsi="Calibri"/>
        </w:rPr>
        <w:tab/>
        <w:t xml:space="preserve">Brown EA, </w:t>
      </w:r>
      <w:proofErr w:type="spellStart"/>
      <w:r w:rsidRPr="008C4C05">
        <w:rPr>
          <w:rFonts w:ascii="Calibri" w:hAnsi="Calibri"/>
        </w:rPr>
        <w:t>Bekker</w:t>
      </w:r>
      <w:proofErr w:type="spellEnd"/>
      <w:r w:rsidRPr="008C4C05">
        <w:rPr>
          <w:rFonts w:ascii="Calibri" w:hAnsi="Calibri"/>
        </w:rPr>
        <w:t xml:space="preserve"> HL, Davison SN, </w:t>
      </w:r>
      <w:proofErr w:type="spellStart"/>
      <w:r w:rsidRPr="008C4C05">
        <w:rPr>
          <w:rFonts w:ascii="Calibri" w:hAnsi="Calibri"/>
        </w:rPr>
        <w:t>Koffman</w:t>
      </w:r>
      <w:proofErr w:type="spellEnd"/>
      <w:r w:rsidRPr="008C4C05">
        <w:rPr>
          <w:rFonts w:ascii="Calibri" w:hAnsi="Calibri"/>
        </w:rPr>
        <w:t xml:space="preserve"> J, Schell JO. Supportive Care: Communication Strategies to Improve Cultural Competence in Shared Decision Making. </w:t>
      </w:r>
      <w:r w:rsidRPr="008C4C05">
        <w:rPr>
          <w:rFonts w:ascii="Calibri" w:hAnsi="Calibri"/>
          <w:i/>
          <w:iCs/>
        </w:rPr>
        <w:t>CJASN</w:t>
      </w:r>
      <w:r w:rsidRPr="008C4C05">
        <w:rPr>
          <w:rFonts w:ascii="Calibri" w:hAnsi="Calibri"/>
        </w:rPr>
        <w:t xml:space="preserve"> 2016;</w:t>
      </w:r>
      <w:r w:rsidRPr="008C4C05">
        <w:rPr>
          <w:rFonts w:ascii="Calibri" w:hAnsi="Calibri"/>
          <w:b/>
          <w:bCs/>
        </w:rPr>
        <w:t>11</w:t>
      </w:r>
      <w:r w:rsidRPr="008C4C05">
        <w:rPr>
          <w:rFonts w:ascii="Calibri" w:hAnsi="Calibri"/>
        </w:rPr>
        <w:t>:1902–8. https://doi.org/10.2215/CJN.13661215.</w:t>
      </w:r>
    </w:p>
    <w:p w14:paraId="4AA99011" w14:textId="77777777" w:rsidR="008C4C05" w:rsidRPr="008C4C05" w:rsidRDefault="008C4C05" w:rsidP="008C4C05">
      <w:pPr>
        <w:pStyle w:val="Bibliography"/>
        <w:rPr>
          <w:rFonts w:ascii="Calibri" w:hAnsi="Calibri"/>
        </w:rPr>
      </w:pPr>
      <w:r w:rsidRPr="008C4C05">
        <w:rPr>
          <w:rFonts w:ascii="Calibri" w:hAnsi="Calibri"/>
        </w:rPr>
        <w:t>161</w:t>
      </w:r>
      <w:r w:rsidRPr="008C4C05">
        <w:rPr>
          <w:rFonts w:ascii="Calibri" w:hAnsi="Calibri"/>
        </w:rPr>
        <w:tab/>
      </w:r>
      <w:proofErr w:type="spellStart"/>
      <w:r w:rsidRPr="008C4C05">
        <w:rPr>
          <w:rFonts w:ascii="Calibri" w:hAnsi="Calibri"/>
        </w:rPr>
        <w:t>MacArtney</w:t>
      </w:r>
      <w:proofErr w:type="spellEnd"/>
      <w:r w:rsidRPr="008C4C05">
        <w:rPr>
          <w:rFonts w:ascii="Calibri" w:hAnsi="Calibri"/>
        </w:rPr>
        <w:t xml:space="preserve"> JI, Broom A, Kirby E, Good P, Wootton J. The Liminal and the Parallax: Living and Dying at the End of Life. </w:t>
      </w:r>
      <w:r w:rsidRPr="008C4C05">
        <w:rPr>
          <w:rFonts w:ascii="Calibri" w:hAnsi="Calibri"/>
          <w:i/>
          <w:iCs/>
        </w:rPr>
        <w:t>Qual Health Res</w:t>
      </w:r>
      <w:r w:rsidRPr="008C4C05">
        <w:rPr>
          <w:rFonts w:ascii="Calibri" w:hAnsi="Calibri"/>
        </w:rPr>
        <w:t xml:space="preserve"> 2017;</w:t>
      </w:r>
      <w:r w:rsidRPr="008C4C05">
        <w:rPr>
          <w:rFonts w:ascii="Calibri" w:hAnsi="Calibri"/>
          <w:b/>
          <w:bCs/>
        </w:rPr>
        <w:t>27</w:t>
      </w:r>
      <w:r w:rsidRPr="008C4C05">
        <w:rPr>
          <w:rFonts w:ascii="Calibri" w:hAnsi="Calibri"/>
        </w:rPr>
        <w:t>:623–33. https://doi.org/10.1177/1049732315618938.</w:t>
      </w:r>
    </w:p>
    <w:p w14:paraId="6608B68A" w14:textId="77777777" w:rsidR="008C4C05" w:rsidRPr="008C4C05" w:rsidRDefault="008C4C05" w:rsidP="008C4C05">
      <w:pPr>
        <w:pStyle w:val="Bibliography"/>
        <w:rPr>
          <w:rFonts w:ascii="Calibri" w:hAnsi="Calibri"/>
        </w:rPr>
      </w:pPr>
      <w:r w:rsidRPr="008C4C05">
        <w:rPr>
          <w:rFonts w:ascii="Calibri" w:hAnsi="Calibri"/>
        </w:rPr>
        <w:t>162</w:t>
      </w:r>
      <w:r w:rsidRPr="008C4C05">
        <w:rPr>
          <w:rFonts w:ascii="Calibri" w:hAnsi="Calibri"/>
        </w:rPr>
        <w:tab/>
      </w:r>
      <w:proofErr w:type="spellStart"/>
      <w:r w:rsidRPr="008C4C05">
        <w:rPr>
          <w:rFonts w:ascii="Calibri" w:hAnsi="Calibri"/>
        </w:rPr>
        <w:t>Bélanger</w:t>
      </w:r>
      <w:proofErr w:type="spellEnd"/>
      <w:r w:rsidRPr="008C4C05">
        <w:rPr>
          <w:rFonts w:ascii="Calibri" w:hAnsi="Calibri"/>
        </w:rPr>
        <w:t xml:space="preserve"> E, Rodríguez C, </w:t>
      </w:r>
      <w:proofErr w:type="spellStart"/>
      <w:r w:rsidRPr="008C4C05">
        <w:rPr>
          <w:rFonts w:ascii="Calibri" w:hAnsi="Calibri"/>
        </w:rPr>
        <w:t>Groleau</w:t>
      </w:r>
      <w:proofErr w:type="spellEnd"/>
      <w:r w:rsidRPr="008C4C05">
        <w:rPr>
          <w:rFonts w:ascii="Calibri" w:hAnsi="Calibri"/>
        </w:rPr>
        <w:t xml:space="preserve"> D, </w:t>
      </w:r>
      <w:proofErr w:type="spellStart"/>
      <w:r w:rsidRPr="008C4C05">
        <w:rPr>
          <w:rFonts w:ascii="Calibri" w:hAnsi="Calibri"/>
        </w:rPr>
        <w:t>Légaré</w:t>
      </w:r>
      <w:proofErr w:type="spellEnd"/>
      <w:r w:rsidRPr="008C4C05">
        <w:rPr>
          <w:rFonts w:ascii="Calibri" w:hAnsi="Calibri"/>
        </w:rPr>
        <w:t xml:space="preserve"> F, MacDonald ME, Marchand R. Patient participation in palliative care decisions: An ethnographic discourse analysis. </w:t>
      </w:r>
      <w:r w:rsidRPr="008C4C05">
        <w:rPr>
          <w:rFonts w:ascii="Calibri" w:hAnsi="Calibri"/>
          <w:i/>
          <w:iCs/>
        </w:rPr>
        <w:t>Int J Qual Stud Health Well-Being</w:t>
      </w:r>
      <w:r w:rsidRPr="008C4C05">
        <w:rPr>
          <w:rFonts w:ascii="Calibri" w:hAnsi="Calibri"/>
        </w:rPr>
        <w:t xml:space="preserve"> 2016;</w:t>
      </w:r>
      <w:r w:rsidRPr="008C4C05">
        <w:rPr>
          <w:rFonts w:ascii="Calibri" w:hAnsi="Calibri"/>
          <w:b/>
          <w:bCs/>
        </w:rPr>
        <w:t>11</w:t>
      </w:r>
      <w:r w:rsidRPr="008C4C05">
        <w:rPr>
          <w:rFonts w:ascii="Calibri" w:hAnsi="Calibri"/>
        </w:rPr>
        <w:t>:32438. https://doi.org/10.3402/qhw.v11.32438.</w:t>
      </w:r>
    </w:p>
    <w:p w14:paraId="774FA837" w14:textId="77777777" w:rsidR="008C4C05" w:rsidRPr="008C4C05" w:rsidRDefault="008C4C05" w:rsidP="008C4C05">
      <w:pPr>
        <w:pStyle w:val="Bibliography"/>
        <w:rPr>
          <w:rFonts w:ascii="Calibri" w:hAnsi="Calibri"/>
        </w:rPr>
      </w:pPr>
      <w:r w:rsidRPr="008C4C05">
        <w:rPr>
          <w:rFonts w:ascii="Calibri" w:hAnsi="Calibri"/>
        </w:rPr>
        <w:t>163</w:t>
      </w:r>
      <w:r w:rsidRPr="008C4C05">
        <w:rPr>
          <w:rFonts w:ascii="Calibri" w:hAnsi="Calibri"/>
        </w:rPr>
        <w:tab/>
      </w:r>
      <w:proofErr w:type="spellStart"/>
      <w:r w:rsidRPr="008C4C05">
        <w:rPr>
          <w:rFonts w:ascii="Calibri" w:hAnsi="Calibri"/>
        </w:rPr>
        <w:t>Borgstrom</w:t>
      </w:r>
      <w:proofErr w:type="spellEnd"/>
      <w:r w:rsidRPr="008C4C05">
        <w:rPr>
          <w:rFonts w:ascii="Calibri" w:hAnsi="Calibri"/>
        </w:rPr>
        <w:t xml:space="preserve"> E. Planning for an (un)certain future: Choice within English end-of-life care. </w:t>
      </w:r>
      <w:r w:rsidRPr="008C4C05">
        <w:rPr>
          <w:rFonts w:ascii="Calibri" w:hAnsi="Calibri"/>
          <w:i/>
          <w:iCs/>
        </w:rPr>
        <w:t>Current Sociology</w:t>
      </w:r>
      <w:r w:rsidRPr="008C4C05">
        <w:rPr>
          <w:rFonts w:ascii="Calibri" w:hAnsi="Calibri"/>
        </w:rPr>
        <w:t xml:space="preserve"> 2015;</w:t>
      </w:r>
      <w:r w:rsidRPr="008C4C05">
        <w:rPr>
          <w:rFonts w:ascii="Calibri" w:hAnsi="Calibri"/>
          <w:b/>
          <w:bCs/>
        </w:rPr>
        <w:t>63</w:t>
      </w:r>
      <w:r w:rsidRPr="008C4C05">
        <w:rPr>
          <w:rFonts w:ascii="Calibri" w:hAnsi="Calibri"/>
        </w:rPr>
        <w:t>:700–13. https://doi.org/10.1177/0011392115590084.</w:t>
      </w:r>
    </w:p>
    <w:p w14:paraId="45F54F40" w14:textId="77777777" w:rsidR="008C4C05" w:rsidRPr="008C4C05" w:rsidRDefault="008C4C05" w:rsidP="008C4C05">
      <w:pPr>
        <w:pStyle w:val="Bibliography"/>
        <w:rPr>
          <w:rFonts w:ascii="Calibri" w:hAnsi="Calibri"/>
        </w:rPr>
      </w:pPr>
      <w:r w:rsidRPr="008C4C05">
        <w:rPr>
          <w:rFonts w:ascii="Calibri" w:hAnsi="Calibri"/>
        </w:rPr>
        <w:t>164</w:t>
      </w:r>
      <w:r w:rsidRPr="008C4C05">
        <w:rPr>
          <w:rFonts w:ascii="Calibri" w:hAnsi="Calibri"/>
        </w:rPr>
        <w:tab/>
        <w:t xml:space="preserve">Gerber K, Hayes B, Bryant C. ‘It all depends!’: A qualitative study of preferences for place of care and place of death in terminally ill patients and their family caregivers. </w:t>
      </w:r>
      <w:proofErr w:type="spellStart"/>
      <w:r w:rsidRPr="008C4C05">
        <w:rPr>
          <w:rFonts w:ascii="Calibri" w:hAnsi="Calibri"/>
          <w:i/>
          <w:iCs/>
        </w:rPr>
        <w:t>Palliat</w:t>
      </w:r>
      <w:proofErr w:type="spellEnd"/>
      <w:r w:rsidRPr="008C4C05">
        <w:rPr>
          <w:rFonts w:ascii="Calibri" w:hAnsi="Calibri"/>
          <w:i/>
          <w:iCs/>
        </w:rPr>
        <w:t xml:space="preserve"> Med</w:t>
      </w:r>
      <w:r w:rsidRPr="008C4C05">
        <w:rPr>
          <w:rFonts w:ascii="Calibri" w:hAnsi="Calibri"/>
        </w:rPr>
        <w:t xml:space="preserve"> 2019;</w:t>
      </w:r>
      <w:r w:rsidRPr="008C4C05">
        <w:rPr>
          <w:rFonts w:ascii="Calibri" w:hAnsi="Calibri"/>
          <w:b/>
          <w:bCs/>
        </w:rPr>
        <w:t>33</w:t>
      </w:r>
      <w:r w:rsidRPr="008C4C05">
        <w:rPr>
          <w:rFonts w:ascii="Calibri" w:hAnsi="Calibri"/>
        </w:rPr>
        <w:t>:802–11. https://doi.org/10.1177/0269216319845794.</w:t>
      </w:r>
    </w:p>
    <w:p w14:paraId="6EEE1B18" w14:textId="77777777" w:rsidR="008C4C05" w:rsidRPr="008C4C05" w:rsidRDefault="008C4C05" w:rsidP="008C4C05">
      <w:pPr>
        <w:pStyle w:val="Bibliography"/>
        <w:rPr>
          <w:rFonts w:ascii="Calibri" w:hAnsi="Calibri"/>
        </w:rPr>
      </w:pPr>
      <w:r w:rsidRPr="008C4C05">
        <w:rPr>
          <w:rFonts w:ascii="Calibri" w:hAnsi="Calibri"/>
        </w:rPr>
        <w:t>165</w:t>
      </w:r>
      <w:r w:rsidRPr="008C4C05">
        <w:rPr>
          <w:rFonts w:ascii="Calibri" w:hAnsi="Calibri"/>
        </w:rPr>
        <w:tab/>
        <w:t xml:space="preserve">Nguyen N, </w:t>
      </w:r>
      <w:proofErr w:type="spellStart"/>
      <w:r w:rsidRPr="008C4C05">
        <w:rPr>
          <w:rFonts w:ascii="Calibri" w:hAnsi="Calibri"/>
        </w:rPr>
        <w:t>Zivkovic</w:t>
      </w:r>
      <w:proofErr w:type="spellEnd"/>
      <w:r w:rsidRPr="008C4C05">
        <w:rPr>
          <w:rFonts w:ascii="Calibri" w:hAnsi="Calibri"/>
        </w:rPr>
        <w:t xml:space="preserve"> T, de Haas R, Faulkner D. Problematizing “Planning Ahead”: A Cross-Cultural Analysis of Vietnamese Health and Community Workers’ Perspectives on Advance Care Directives. </w:t>
      </w:r>
      <w:r w:rsidRPr="008C4C05">
        <w:rPr>
          <w:rFonts w:ascii="Calibri" w:hAnsi="Calibri"/>
          <w:i/>
          <w:iCs/>
        </w:rPr>
        <w:t>Qual Health Res</w:t>
      </w:r>
      <w:r w:rsidRPr="008C4C05">
        <w:rPr>
          <w:rFonts w:ascii="Calibri" w:hAnsi="Calibri"/>
        </w:rPr>
        <w:t xml:space="preserve"> 2021;</w:t>
      </w:r>
      <w:r w:rsidRPr="008C4C05">
        <w:rPr>
          <w:rFonts w:ascii="Calibri" w:hAnsi="Calibri"/>
          <w:b/>
          <w:bCs/>
        </w:rPr>
        <w:t>31</w:t>
      </w:r>
      <w:r w:rsidRPr="008C4C05">
        <w:rPr>
          <w:rFonts w:ascii="Calibri" w:hAnsi="Calibri"/>
        </w:rPr>
        <w:t>:2304–16. https://doi.org/10.1177/10497323211023453.</w:t>
      </w:r>
    </w:p>
    <w:p w14:paraId="3F92678C" w14:textId="77777777" w:rsidR="008C4C05" w:rsidRPr="008C4C05" w:rsidRDefault="008C4C05" w:rsidP="008C4C05">
      <w:pPr>
        <w:pStyle w:val="Bibliography"/>
        <w:rPr>
          <w:rFonts w:ascii="Calibri" w:hAnsi="Calibri"/>
        </w:rPr>
      </w:pPr>
      <w:r w:rsidRPr="008C4C05">
        <w:rPr>
          <w:rFonts w:ascii="Calibri" w:hAnsi="Calibri"/>
        </w:rPr>
        <w:t>166</w:t>
      </w:r>
      <w:r w:rsidRPr="008C4C05">
        <w:rPr>
          <w:rFonts w:ascii="Calibri" w:hAnsi="Calibri"/>
        </w:rPr>
        <w:tab/>
        <w:t xml:space="preserve">Gott M, Small N, Barnes S, Payne S, Seamark D. Older people’s views of a good death in heart failure: implications for palliative care provision. </w:t>
      </w:r>
      <w:r w:rsidRPr="008C4C05">
        <w:rPr>
          <w:rFonts w:ascii="Calibri" w:hAnsi="Calibri"/>
          <w:i/>
          <w:iCs/>
        </w:rPr>
        <w:t>Soc Sci Med</w:t>
      </w:r>
      <w:r w:rsidRPr="008C4C05">
        <w:rPr>
          <w:rFonts w:ascii="Calibri" w:hAnsi="Calibri"/>
        </w:rPr>
        <w:t xml:space="preserve"> 2008;</w:t>
      </w:r>
      <w:r w:rsidRPr="008C4C05">
        <w:rPr>
          <w:rFonts w:ascii="Calibri" w:hAnsi="Calibri"/>
          <w:b/>
          <w:bCs/>
        </w:rPr>
        <w:t>67</w:t>
      </w:r>
      <w:r w:rsidRPr="008C4C05">
        <w:rPr>
          <w:rFonts w:ascii="Calibri" w:hAnsi="Calibri"/>
        </w:rPr>
        <w:t>:1113–21. https://doi.org/10.1016/j.socscimed.2008.05.024.</w:t>
      </w:r>
    </w:p>
    <w:p w14:paraId="6E9B3B33" w14:textId="77777777" w:rsidR="008C4C05" w:rsidRPr="008C4C05" w:rsidRDefault="008C4C05" w:rsidP="008C4C05">
      <w:pPr>
        <w:pStyle w:val="Bibliography"/>
        <w:rPr>
          <w:rFonts w:ascii="Calibri" w:hAnsi="Calibri"/>
        </w:rPr>
      </w:pPr>
      <w:r w:rsidRPr="008C4C05">
        <w:rPr>
          <w:rFonts w:ascii="Calibri" w:hAnsi="Calibri"/>
        </w:rPr>
        <w:t>167</w:t>
      </w:r>
      <w:r w:rsidRPr="008C4C05">
        <w:rPr>
          <w:rFonts w:ascii="Calibri" w:hAnsi="Calibri"/>
        </w:rPr>
        <w:tab/>
      </w:r>
      <w:proofErr w:type="spellStart"/>
      <w:r w:rsidRPr="008C4C05">
        <w:rPr>
          <w:rFonts w:ascii="Calibri" w:hAnsi="Calibri"/>
        </w:rPr>
        <w:t>Venkatasalu</w:t>
      </w:r>
      <w:proofErr w:type="spellEnd"/>
      <w:r w:rsidRPr="008C4C05">
        <w:rPr>
          <w:rFonts w:ascii="Calibri" w:hAnsi="Calibri"/>
        </w:rPr>
        <w:t xml:space="preserve"> MR, Arthur A, Seymour J. Talking about end-of-life care: the perspectives of older South Asians living in East London. </w:t>
      </w:r>
      <w:r w:rsidRPr="008C4C05">
        <w:rPr>
          <w:rFonts w:ascii="Calibri" w:hAnsi="Calibri"/>
          <w:i/>
          <w:iCs/>
        </w:rPr>
        <w:t>Journal of Research in Nursing</w:t>
      </w:r>
      <w:r w:rsidRPr="008C4C05">
        <w:rPr>
          <w:rFonts w:ascii="Calibri" w:hAnsi="Calibri"/>
        </w:rPr>
        <w:t xml:space="preserve"> 2013;</w:t>
      </w:r>
      <w:r w:rsidRPr="008C4C05">
        <w:rPr>
          <w:rFonts w:ascii="Calibri" w:hAnsi="Calibri"/>
          <w:b/>
          <w:bCs/>
        </w:rPr>
        <w:t>18</w:t>
      </w:r>
      <w:r w:rsidRPr="008C4C05">
        <w:rPr>
          <w:rFonts w:ascii="Calibri" w:hAnsi="Calibri"/>
        </w:rPr>
        <w:t>:394–406. https://doi.org/10.1177/1744987113490712.</w:t>
      </w:r>
    </w:p>
    <w:p w14:paraId="543B0F75" w14:textId="77777777" w:rsidR="008C4C05" w:rsidRPr="008C4C05" w:rsidRDefault="008C4C05" w:rsidP="008C4C05">
      <w:pPr>
        <w:pStyle w:val="Bibliography"/>
        <w:rPr>
          <w:rFonts w:ascii="Calibri" w:hAnsi="Calibri"/>
        </w:rPr>
      </w:pPr>
      <w:r w:rsidRPr="008C4C05">
        <w:rPr>
          <w:rFonts w:ascii="Calibri" w:hAnsi="Calibri"/>
        </w:rPr>
        <w:t>168</w:t>
      </w:r>
      <w:r w:rsidRPr="008C4C05">
        <w:rPr>
          <w:rFonts w:ascii="Calibri" w:hAnsi="Calibri"/>
        </w:rPr>
        <w:tab/>
        <w:t xml:space="preserve">Giusti A, Nkhoma K, Petrus R, Petersen I, </w:t>
      </w:r>
      <w:proofErr w:type="spellStart"/>
      <w:r w:rsidRPr="008C4C05">
        <w:rPr>
          <w:rFonts w:ascii="Calibri" w:hAnsi="Calibri"/>
        </w:rPr>
        <w:t>Gwyther</w:t>
      </w:r>
      <w:proofErr w:type="spellEnd"/>
      <w:r w:rsidRPr="008C4C05">
        <w:rPr>
          <w:rFonts w:ascii="Calibri" w:hAnsi="Calibri"/>
        </w:rPr>
        <w:t xml:space="preserve"> L, Farrant L, </w:t>
      </w:r>
      <w:r w:rsidRPr="008C4C05">
        <w:rPr>
          <w:rFonts w:ascii="Calibri" w:hAnsi="Calibri"/>
          <w:i/>
          <w:iCs/>
        </w:rPr>
        <w:t>et al.</w:t>
      </w:r>
      <w:r w:rsidRPr="008C4C05">
        <w:rPr>
          <w:rFonts w:ascii="Calibri" w:hAnsi="Calibri"/>
        </w:rPr>
        <w:t xml:space="preserve"> The empirical evidence underpinning the concept and practice of person-centred care for serious illness: a systematic review. </w:t>
      </w:r>
      <w:r w:rsidRPr="008C4C05">
        <w:rPr>
          <w:rFonts w:ascii="Calibri" w:hAnsi="Calibri"/>
          <w:i/>
          <w:iCs/>
        </w:rPr>
        <w:t>BMJ Global Health</w:t>
      </w:r>
      <w:r w:rsidRPr="008C4C05">
        <w:rPr>
          <w:rFonts w:ascii="Calibri" w:hAnsi="Calibri"/>
        </w:rPr>
        <w:t xml:space="preserve"> 2020;</w:t>
      </w:r>
      <w:r w:rsidRPr="008C4C05">
        <w:rPr>
          <w:rFonts w:ascii="Calibri" w:hAnsi="Calibri"/>
          <w:b/>
          <w:bCs/>
        </w:rPr>
        <w:t>5</w:t>
      </w:r>
      <w:r w:rsidRPr="008C4C05">
        <w:rPr>
          <w:rFonts w:ascii="Calibri" w:hAnsi="Calibri"/>
        </w:rPr>
        <w:t>:e003330. https://doi.org/10.1136/bmjgh-2020-003330.</w:t>
      </w:r>
    </w:p>
    <w:p w14:paraId="78CCE620" w14:textId="77777777" w:rsidR="008C4C05" w:rsidRPr="008C4C05" w:rsidRDefault="008C4C05" w:rsidP="008C4C05">
      <w:pPr>
        <w:pStyle w:val="Bibliography"/>
        <w:rPr>
          <w:rFonts w:ascii="Calibri" w:hAnsi="Calibri"/>
        </w:rPr>
      </w:pPr>
      <w:r w:rsidRPr="008C4C05">
        <w:rPr>
          <w:rFonts w:ascii="Calibri" w:hAnsi="Calibri"/>
        </w:rPr>
        <w:t>169</w:t>
      </w:r>
      <w:r w:rsidRPr="008C4C05">
        <w:rPr>
          <w:rFonts w:ascii="Calibri" w:hAnsi="Calibri"/>
        </w:rPr>
        <w:tab/>
        <w:t xml:space="preserve">Christakis NA. </w:t>
      </w:r>
      <w:r w:rsidRPr="008C4C05">
        <w:rPr>
          <w:rFonts w:ascii="Calibri" w:hAnsi="Calibri"/>
          <w:i/>
          <w:iCs/>
        </w:rPr>
        <w:t>Death Foretold: Prophecy and Prognosis in Medical Care</w:t>
      </w:r>
      <w:r w:rsidRPr="008C4C05">
        <w:rPr>
          <w:rFonts w:ascii="Calibri" w:hAnsi="Calibri"/>
        </w:rPr>
        <w:t>. Chicago, IL: University of Chicago Press; 2001.</w:t>
      </w:r>
    </w:p>
    <w:p w14:paraId="67A545AB" w14:textId="77777777" w:rsidR="008C4C05" w:rsidRPr="008C4C05" w:rsidRDefault="008C4C05" w:rsidP="008C4C05">
      <w:pPr>
        <w:pStyle w:val="Bibliography"/>
        <w:rPr>
          <w:rFonts w:ascii="Calibri" w:hAnsi="Calibri"/>
        </w:rPr>
      </w:pPr>
      <w:r w:rsidRPr="008C4C05">
        <w:rPr>
          <w:rFonts w:ascii="Calibri" w:hAnsi="Calibri"/>
        </w:rPr>
        <w:lastRenderedPageBreak/>
        <w:t>170</w:t>
      </w:r>
      <w:r w:rsidRPr="008C4C05">
        <w:rPr>
          <w:rFonts w:ascii="Calibri" w:hAnsi="Calibri"/>
        </w:rPr>
        <w:tab/>
        <w:t xml:space="preserve">Murray SA, Kendall M, Boyd K, Sheikh A. Illness trajectories and palliative care. </w:t>
      </w:r>
      <w:r w:rsidRPr="008C4C05">
        <w:rPr>
          <w:rFonts w:ascii="Calibri" w:hAnsi="Calibri"/>
          <w:i/>
          <w:iCs/>
        </w:rPr>
        <w:t>BMJ</w:t>
      </w:r>
      <w:r w:rsidRPr="008C4C05">
        <w:rPr>
          <w:rFonts w:ascii="Calibri" w:hAnsi="Calibri"/>
        </w:rPr>
        <w:t xml:space="preserve"> 2005;</w:t>
      </w:r>
      <w:r w:rsidRPr="008C4C05">
        <w:rPr>
          <w:rFonts w:ascii="Calibri" w:hAnsi="Calibri"/>
          <w:b/>
          <w:bCs/>
        </w:rPr>
        <w:t>330</w:t>
      </w:r>
      <w:r w:rsidRPr="008C4C05">
        <w:rPr>
          <w:rFonts w:ascii="Calibri" w:hAnsi="Calibri"/>
        </w:rPr>
        <w:t>:1007–11. https://doi.org/10.1136/bmj.330.7498.1007.</w:t>
      </w:r>
    </w:p>
    <w:p w14:paraId="4A6EAEA0" w14:textId="77777777" w:rsidR="008C4C05" w:rsidRPr="008C4C05" w:rsidRDefault="008C4C05" w:rsidP="008C4C05">
      <w:pPr>
        <w:pStyle w:val="Bibliography"/>
        <w:rPr>
          <w:rFonts w:ascii="Calibri" w:hAnsi="Calibri"/>
        </w:rPr>
      </w:pPr>
      <w:r w:rsidRPr="008C4C05">
        <w:rPr>
          <w:rFonts w:ascii="Calibri" w:hAnsi="Calibri"/>
        </w:rPr>
        <w:t>171</w:t>
      </w:r>
      <w:r w:rsidRPr="008C4C05">
        <w:rPr>
          <w:rFonts w:ascii="Calibri" w:hAnsi="Calibri"/>
        </w:rPr>
        <w:tab/>
      </w:r>
      <w:proofErr w:type="spellStart"/>
      <w:r w:rsidRPr="008C4C05">
        <w:rPr>
          <w:rFonts w:ascii="Calibri" w:hAnsi="Calibri"/>
        </w:rPr>
        <w:t>Downar</w:t>
      </w:r>
      <w:proofErr w:type="spellEnd"/>
      <w:r w:rsidRPr="008C4C05">
        <w:rPr>
          <w:rFonts w:ascii="Calibri" w:hAnsi="Calibri"/>
        </w:rPr>
        <w:t xml:space="preserve"> J, Goldman R, Pinto R, </w:t>
      </w:r>
      <w:proofErr w:type="spellStart"/>
      <w:r w:rsidRPr="008C4C05">
        <w:rPr>
          <w:rFonts w:ascii="Calibri" w:hAnsi="Calibri"/>
        </w:rPr>
        <w:t>Englesakis</w:t>
      </w:r>
      <w:proofErr w:type="spellEnd"/>
      <w:r w:rsidRPr="008C4C05">
        <w:rPr>
          <w:rFonts w:ascii="Calibri" w:hAnsi="Calibri"/>
        </w:rPr>
        <w:t xml:space="preserve"> M, Adhikari NKJ. The ‘surprise question’ for predicting death in seriously ill patients: a systematic review and meta-analysis. </w:t>
      </w:r>
      <w:r w:rsidRPr="008C4C05">
        <w:rPr>
          <w:rFonts w:ascii="Calibri" w:hAnsi="Calibri"/>
          <w:i/>
          <w:iCs/>
        </w:rPr>
        <w:t>CMAJ</w:t>
      </w:r>
      <w:r w:rsidRPr="008C4C05">
        <w:rPr>
          <w:rFonts w:ascii="Calibri" w:hAnsi="Calibri"/>
        </w:rPr>
        <w:t xml:space="preserve"> 2017;</w:t>
      </w:r>
      <w:r w:rsidRPr="008C4C05">
        <w:rPr>
          <w:rFonts w:ascii="Calibri" w:hAnsi="Calibri"/>
          <w:b/>
          <w:bCs/>
        </w:rPr>
        <w:t>189</w:t>
      </w:r>
      <w:r w:rsidRPr="008C4C05">
        <w:rPr>
          <w:rFonts w:ascii="Calibri" w:hAnsi="Calibri"/>
        </w:rPr>
        <w:t>:E484–93. https://doi.org/10.1503/cmaj.160775.</w:t>
      </w:r>
    </w:p>
    <w:p w14:paraId="132E137C" w14:textId="77777777" w:rsidR="008C4C05" w:rsidRPr="008C4C05" w:rsidRDefault="008C4C05" w:rsidP="008C4C05">
      <w:pPr>
        <w:pStyle w:val="Bibliography"/>
        <w:rPr>
          <w:rFonts w:ascii="Calibri" w:hAnsi="Calibri"/>
        </w:rPr>
      </w:pPr>
      <w:r w:rsidRPr="008C4C05">
        <w:rPr>
          <w:rFonts w:ascii="Calibri" w:hAnsi="Calibri"/>
        </w:rPr>
        <w:t>172</w:t>
      </w:r>
      <w:r w:rsidRPr="008C4C05">
        <w:rPr>
          <w:rFonts w:ascii="Calibri" w:hAnsi="Calibri"/>
        </w:rPr>
        <w:tab/>
        <w:t xml:space="preserve">White N, </w:t>
      </w:r>
      <w:proofErr w:type="spellStart"/>
      <w:r w:rsidRPr="008C4C05">
        <w:rPr>
          <w:rFonts w:ascii="Calibri" w:hAnsi="Calibri"/>
        </w:rPr>
        <w:t>Kupeli</w:t>
      </w:r>
      <w:proofErr w:type="spellEnd"/>
      <w:r w:rsidRPr="008C4C05">
        <w:rPr>
          <w:rFonts w:ascii="Calibri" w:hAnsi="Calibri"/>
        </w:rPr>
        <w:t xml:space="preserve"> N, </w:t>
      </w:r>
      <w:proofErr w:type="spellStart"/>
      <w:r w:rsidRPr="008C4C05">
        <w:rPr>
          <w:rFonts w:ascii="Calibri" w:hAnsi="Calibri"/>
        </w:rPr>
        <w:t>Vickerstaff</w:t>
      </w:r>
      <w:proofErr w:type="spellEnd"/>
      <w:r w:rsidRPr="008C4C05">
        <w:rPr>
          <w:rFonts w:ascii="Calibri" w:hAnsi="Calibri"/>
        </w:rPr>
        <w:t xml:space="preserve"> V, Stone P. How accurate is the ‘Surprise Question’ at identifying patients at the end of life? A systematic review and meta-analysis. </w:t>
      </w:r>
      <w:r w:rsidRPr="008C4C05">
        <w:rPr>
          <w:rFonts w:ascii="Calibri" w:hAnsi="Calibri"/>
          <w:i/>
          <w:iCs/>
        </w:rPr>
        <w:t>BMC Medicine</w:t>
      </w:r>
      <w:r w:rsidRPr="008C4C05">
        <w:rPr>
          <w:rFonts w:ascii="Calibri" w:hAnsi="Calibri"/>
        </w:rPr>
        <w:t xml:space="preserve"> 2017;</w:t>
      </w:r>
      <w:r w:rsidRPr="008C4C05">
        <w:rPr>
          <w:rFonts w:ascii="Calibri" w:hAnsi="Calibri"/>
          <w:b/>
          <w:bCs/>
        </w:rPr>
        <w:t>15</w:t>
      </w:r>
      <w:r w:rsidRPr="008C4C05">
        <w:rPr>
          <w:rFonts w:ascii="Calibri" w:hAnsi="Calibri"/>
        </w:rPr>
        <w:t>:139. https://doi.org/10.1186/s12916-017-0907-4.</w:t>
      </w:r>
    </w:p>
    <w:p w14:paraId="69AE29FA" w14:textId="77777777" w:rsidR="008C4C05" w:rsidRPr="008C4C05" w:rsidRDefault="008C4C05" w:rsidP="008C4C05">
      <w:pPr>
        <w:pStyle w:val="Bibliography"/>
        <w:rPr>
          <w:rFonts w:ascii="Calibri" w:hAnsi="Calibri"/>
        </w:rPr>
      </w:pPr>
      <w:r w:rsidRPr="00D74EFC">
        <w:rPr>
          <w:rFonts w:ascii="Calibri" w:hAnsi="Calibri"/>
          <w:lang w:val="it-IT"/>
        </w:rPr>
        <w:t>173</w:t>
      </w:r>
      <w:r w:rsidRPr="00D74EFC">
        <w:rPr>
          <w:rFonts w:ascii="Calibri" w:hAnsi="Calibri"/>
          <w:lang w:val="it-IT"/>
        </w:rPr>
        <w:tab/>
      </w:r>
      <w:proofErr w:type="spellStart"/>
      <w:r w:rsidRPr="00D74EFC">
        <w:rPr>
          <w:rFonts w:ascii="Calibri" w:hAnsi="Calibri"/>
          <w:lang w:val="it-IT"/>
        </w:rPr>
        <w:t>Arantzamendi</w:t>
      </w:r>
      <w:proofErr w:type="spellEnd"/>
      <w:r w:rsidRPr="00D74EFC">
        <w:rPr>
          <w:rFonts w:ascii="Calibri" w:hAnsi="Calibri"/>
          <w:lang w:val="it-IT"/>
        </w:rPr>
        <w:t xml:space="preserve"> M, García-Rueda N, Carvajal A, Robinson CA. </w:t>
      </w:r>
      <w:r w:rsidRPr="008C4C05">
        <w:rPr>
          <w:rFonts w:ascii="Calibri" w:hAnsi="Calibri"/>
        </w:rPr>
        <w:t xml:space="preserve">People With Advanced Cancer: The Process of Living Well With Awareness of Dying. </w:t>
      </w:r>
      <w:r w:rsidRPr="008C4C05">
        <w:rPr>
          <w:rFonts w:ascii="Calibri" w:hAnsi="Calibri"/>
          <w:i/>
          <w:iCs/>
        </w:rPr>
        <w:t>Qual Health Res</w:t>
      </w:r>
      <w:r w:rsidRPr="008C4C05">
        <w:rPr>
          <w:rFonts w:ascii="Calibri" w:hAnsi="Calibri"/>
        </w:rPr>
        <w:t xml:space="preserve"> 2020;</w:t>
      </w:r>
      <w:r w:rsidRPr="008C4C05">
        <w:rPr>
          <w:rFonts w:ascii="Calibri" w:hAnsi="Calibri"/>
          <w:b/>
          <w:bCs/>
        </w:rPr>
        <w:t>30</w:t>
      </w:r>
      <w:r w:rsidRPr="008C4C05">
        <w:rPr>
          <w:rFonts w:ascii="Calibri" w:hAnsi="Calibri"/>
        </w:rPr>
        <w:t>:1143–55. https://doi.org/10.1177/1049732318816298.</w:t>
      </w:r>
    </w:p>
    <w:p w14:paraId="598D42EC" w14:textId="77777777" w:rsidR="008C4C05" w:rsidRPr="008C4C05" w:rsidRDefault="008C4C05" w:rsidP="008C4C05">
      <w:pPr>
        <w:pStyle w:val="Bibliography"/>
        <w:rPr>
          <w:rFonts w:ascii="Calibri" w:hAnsi="Calibri"/>
        </w:rPr>
      </w:pPr>
      <w:r w:rsidRPr="008C4C05">
        <w:rPr>
          <w:rFonts w:ascii="Calibri" w:hAnsi="Calibri"/>
        </w:rPr>
        <w:t>174</w:t>
      </w:r>
      <w:r w:rsidRPr="008C4C05">
        <w:rPr>
          <w:rFonts w:ascii="Calibri" w:hAnsi="Calibri"/>
        </w:rPr>
        <w:tab/>
        <w:t xml:space="preserve">Barnes KA, Barlow CA, Harrington J, </w:t>
      </w:r>
      <w:proofErr w:type="spellStart"/>
      <w:r w:rsidRPr="008C4C05">
        <w:rPr>
          <w:rFonts w:ascii="Calibri" w:hAnsi="Calibri"/>
        </w:rPr>
        <w:t>Ornadel</w:t>
      </w:r>
      <w:proofErr w:type="spellEnd"/>
      <w:r w:rsidRPr="008C4C05">
        <w:rPr>
          <w:rFonts w:ascii="Calibri" w:hAnsi="Calibri"/>
        </w:rPr>
        <w:t xml:space="preserve"> K, </w:t>
      </w:r>
      <w:proofErr w:type="spellStart"/>
      <w:r w:rsidRPr="008C4C05">
        <w:rPr>
          <w:rFonts w:ascii="Calibri" w:hAnsi="Calibri"/>
        </w:rPr>
        <w:t>Tookman</w:t>
      </w:r>
      <w:proofErr w:type="spellEnd"/>
      <w:r w:rsidRPr="008C4C05">
        <w:rPr>
          <w:rFonts w:ascii="Calibri" w:hAnsi="Calibri"/>
        </w:rPr>
        <w:t xml:space="preserve"> A, King M, </w:t>
      </w:r>
      <w:r w:rsidRPr="008C4C05">
        <w:rPr>
          <w:rFonts w:ascii="Calibri" w:hAnsi="Calibri"/>
          <w:i/>
          <w:iCs/>
        </w:rPr>
        <w:t>et al.</w:t>
      </w:r>
      <w:r w:rsidRPr="008C4C05">
        <w:rPr>
          <w:rFonts w:ascii="Calibri" w:hAnsi="Calibri"/>
        </w:rPr>
        <w:t xml:space="preserve"> Advance care planning discussions in advanced cancer: analysis of dialogues between patients and care planning mediators. </w:t>
      </w:r>
      <w:proofErr w:type="spellStart"/>
      <w:r w:rsidRPr="008C4C05">
        <w:rPr>
          <w:rFonts w:ascii="Calibri" w:hAnsi="Calibri"/>
          <w:i/>
          <w:iCs/>
        </w:rPr>
        <w:t>Palliat</w:t>
      </w:r>
      <w:proofErr w:type="spellEnd"/>
      <w:r w:rsidRPr="008C4C05">
        <w:rPr>
          <w:rFonts w:ascii="Calibri" w:hAnsi="Calibri"/>
          <w:i/>
          <w:iCs/>
        </w:rPr>
        <w:t xml:space="preserve"> Support Care</w:t>
      </w:r>
      <w:r w:rsidRPr="008C4C05">
        <w:rPr>
          <w:rFonts w:ascii="Calibri" w:hAnsi="Calibri"/>
        </w:rPr>
        <w:t xml:space="preserve"> 2011;</w:t>
      </w:r>
      <w:r w:rsidRPr="008C4C05">
        <w:rPr>
          <w:rFonts w:ascii="Calibri" w:hAnsi="Calibri"/>
          <w:b/>
          <w:bCs/>
        </w:rPr>
        <w:t>9</w:t>
      </w:r>
      <w:r w:rsidRPr="008C4C05">
        <w:rPr>
          <w:rFonts w:ascii="Calibri" w:hAnsi="Calibri"/>
        </w:rPr>
        <w:t>:73–9. https://doi.org/10.1017/S1478951510000568.</w:t>
      </w:r>
    </w:p>
    <w:p w14:paraId="1B4D2F2E" w14:textId="77777777" w:rsidR="008C4C05" w:rsidRPr="008C4C05" w:rsidRDefault="008C4C05" w:rsidP="008C4C05">
      <w:pPr>
        <w:pStyle w:val="Bibliography"/>
        <w:rPr>
          <w:rFonts w:ascii="Calibri" w:hAnsi="Calibri"/>
        </w:rPr>
      </w:pPr>
      <w:r w:rsidRPr="008C4C05">
        <w:rPr>
          <w:rFonts w:ascii="Calibri" w:hAnsi="Calibri"/>
        </w:rPr>
        <w:t>175</w:t>
      </w:r>
      <w:r w:rsidRPr="008C4C05">
        <w:rPr>
          <w:rFonts w:ascii="Calibri" w:hAnsi="Calibri"/>
        </w:rPr>
        <w:tab/>
        <w:t xml:space="preserve">Peck V, </w:t>
      </w:r>
      <w:proofErr w:type="spellStart"/>
      <w:r w:rsidRPr="008C4C05">
        <w:rPr>
          <w:rFonts w:ascii="Calibri" w:hAnsi="Calibri"/>
        </w:rPr>
        <w:t>Valiani</w:t>
      </w:r>
      <w:proofErr w:type="spellEnd"/>
      <w:r w:rsidRPr="008C4C05">
        <w:rPr>
          <w:rFonts w:ascii="Calibri" w:hAnsi="Calibri"/>
        </w:rPr>
        <w:t xml:space="preserve"> S, </w:t>
      </w:r>
      <w:proofErr w:type="spellStart"/>
      <w:r w:rsidRPr="008C4C05">
        <w:rPr>
          <w:rFonts w:ascii="Calibri" w:hAnsi="Calibri"/>
        </w:rPr>
        <w:t>Tanuseputro</w:t>
      </w:r>
      <w:proofErr w:type="spellEnd"/>
      <w:r w:rsidRPr="008C4C05">
        <w:rPr>
          <w:rFonts w:ascii="Calibri" w:hAnsi="Calibri"/>
        </w:rPr>
        <w:t xml:space="preserve"> P, </w:t>
      </w:r>
      <w:proofErr w:type="spellStart"/>
      <w:r w:rsidRPr="008C4C05">
        <w:rPr>
          <w:rFonts w:ascii="Calibri" w:hAnsi="Calibri"/>
        </w:rPr>
        <w:t>Mulpuru</w:t>
      </w:r>
      <w:proofErr w:type="spellEnd"/>
      <w:r w:rsidRPr="008C4C05">
        <w:rPr>
          <w:rFonts w:ascii="Calibri" w:hAnsi="Calibri"/>
        </w:rPr>
        <w:t xml:space="preserve"> S, </w:t>
      </w:r>
      <w:proofErr w:type="spellStart"/>
      <w:r w:rsidRPr="008C4C05">
        <w:rPr>
          <w:rFonts w:ascii="Calibri" w:hAnsi="Calibri"/>
        </w:rPr>
        <w:t>Kyeremanteng</w:t>
      </w:r>
      <w:proofErr w:type="spellEnd"/>
      <w:r w:rsidRPr="008C4C05">
        <w:rPr>
          <w:rFonts w:ascii="Calibri" w:hAnsi="Calibri"/>
        </w:rPr>
        <w:t xml:space="preserve"> K, Fitzgibbon E, </w:t>
      </w:r>
      <w:r w:rsidRPr="008C4C05">
        <w:rPr>
          <w:rFonts w:ascii="Calibri" w:hAnsi="Calibri"/>
          <w:i/>
          <w:iCs/>
        </w:rPr>
        <w:t>et al.</w:t>
      </w:r>
      <w:r w:rsidRPr="008C4C05">
        <w:rPr>
          <w:rFonts w:ascii="Calibri" w:hAnsi="Calibri"/>
        </w:rPr>
        <w:t xml:space="preserve"> Advance care planning after hospital discharge: qualitative analysis of facilitators and barriers from patient interviews. </w:t>
      </w:r>
      <w:r w:rsidRPr="008C4C05">
        <w:rPr>
          <w:rFonts w:ascii="Calibri" w:hAnsi="Calibri"/>
          <w:i/>
          <w:iCs/>
        </w:rPr>
        <w:t>BMC Palliative Care</w:t>
      </w:r>
      <w:r w:rsidRPr="008C4C05">
        <w:rPr>
          <w:rFonts w:ascii="Calibri" w:hAnsi="Calibri"/>
        </w:rPr>
        <w:t xml:space="preserve"> 2018;</w:t>
      </w:r>
      <w:r w:rsidRPr="008C4C05">
        <w:rPr>
          <w:rFonts w:ascii="Calibri" w:hAnsi="Calibri"/>
          <w:b/>
          <w:bCs/>
        </w:rPr>
        <w:t>17</w:t>
      </w:r>
      <w:r w:rsidRPr="008C4C05">
        <w:rPr>
          <w:rFonts w:ascii="Calibri" w:hAnsi="Calibri"/>
        </w:rPr>
        <w:t>:127. https://doi.org/10.1186/s12904-018-0379-0.</w:t>
      </w:r>
    </w:p>
    <w:p w14:paraId="7B17AA36" w14:textId="77777777" w:rsidR="008C4C05" w:rsidRPr="008C4C05" w:rsidRDefault="008C4C05" w:rsidP="008C4C05">
      <w:pPr>
        <w:pStyle w:val="Bibliography"/>
        <w:rPr>
          <w:rFonts w:ascii="Calibri" w:hAnsi="Calibri"/>
        </w:rPr>
      </w:pPr>
      <w:r w:rsidRPr="008C4C05">
        <w:rPr>
          <w:rFonts w:ascii="Calibri" w:hAnsi="Calibri"/>
        </w:rPr>
        <w:t>176</w:t>
      </w:r>
      <w:r w:rsidRPr="008C4C05">
        <w:rPr>
          <w:rFonts w:ascii="Calibri" w:hAnsi="Calibri"/>
        </w:rPr>
        <w:tab/>
      </w:r>
      <w:proofErr w:type="spellStart"/>
      <w:r w:rsidRPr="008C4C05">
        <w:rPr>
          <w:rFonts w:ascii="Calibri" w:hAnsi="Calibri"/>
        </w:rPr>
        <w:t>Livne</w:t>
      </w:r>
      <w:proofErr w:type="spellEnd"/>
      <w:r w:rsidRPr="008C4C05">
        <w:rPr>
          <w:rFonts w:ascii="Calibri" w:hAnsi="Calibri"/>
        </w:rPr>
        <w:t xml:space="preserve"> R. </w:t>
      </w:r>
      <w:r w:rsidRPr="008C4C05">
        <w:rPr>
          <w:rFonts w:ascii="Calibri" w:hAnsi="Calibri"/>
          <w:i/>
          <w:iCs/>
        </w:rPr>
        <w:t>Values at the End of Life: The Logic of Palliative Care</w:t>
      </w:r>
      <w:r w:rsidRPr="008C4C05">
        <w:rPr>
          <w:rFonts w:ascii="Calibri" w:hAnsi="Calibri"/>
        </w:rPr>
        <w:t>. Harvard University Press; 2019.</w:t>
      </w:r>
    </w:p>
    <w:p w14:paraId="55E9C3CA" w14:textId="77777777" w:rsidR="008C4C05" w:rsidRPr="008C4C05" w:rsidRDefault="008C4C05" w:rsidP="008C4C05">
      <w:pPr>
        <w:pStyle w:val="Bibliography"/>
        <w:rPr>
          <w:rFonts w:ascii="Calibri" w:hAnsi="Calibri"/>
        </w:rPr>
      </w:pPr>
      <w:r w:rsidRPr="008C4C05">
        <w:rPr>
          <w:rFonts w:ascii="Calibri" w:hAnsi="Calibri"/>
        </w:rPr>
        <w:t>177</w:t>
      </w:r>
      <w:r w:rsidRPr="008C4C05">
        <w:rPr>
          <w:rFonts w:ascii="Calibri" w:hAnsi="Calibri"/>
        </w:rPr>
        <w:tab/>
        <w:t xml:space="preserve">Wilkinson E, Randhawa G, Brown EA, Da Silva </w:t>
      </w:r>
      <w:proofErr w:type="spellStart"/>
      <w:r w:rsidRPr="008C4C05">
        <w:rPr>
          <w:rFonts w:ascii="Calibri" w:hAnsi="Calibri"/>
        </w:rPr>
        <w:t>Gane</w:t>
      </w:r>
      <w:proofErr w:type="spellEnd"/>
      <w:r w:rsidRPr="008C4C05">
        <w:rPr>
          <w:rFonts w:ascii="Calibri" w:hAnsi="Calibri"/>
        </w:rPr>
        <w:t xml:space="preserve"> M, Stoves J, Warwick G, </w:t>
      </w:r>
      <w:r w:rsidRPr="008C4C05">
        <w:rPr>
          <w:rFonts w:ascii="Calibri" w:hAnsi="Calibri"/>
          <w:i/>
          <w:iCs/>
        </w:rPr>
        <w:t>et al.</w:t>
      </w:r>
      <w:r w:rsidRPr="008C4C05">
        <w:rPr>
          <w:rFonts w:ascii="Calibri" w:hAnsi="Calibri"/>
        </w:rPr>
        <w:t xml:space="preserve"> Communication as Care: An emerging issue from an exploratory action research study of renal end of life care for ethnic minorities in the UK : </w:t>
      </w:r>
      <w:r w:rsidRPr="008C4C05">
        <w:rPr>
          <w:rFonts w:ascii="Calibri" w:hAnsi="Calibri"/>
          <w:i/>
          <w:iCs/>
        </w:rPr>
        <w:t>Journal of Renal Care</w:t>
      </w:r>
      <w:r w:rsidRPr="008C4C05">
        <w:rPr>
          <w:rFonts w:ascii="Calibri" w:hAnsi="Calibri"/>
        </w:rPr>
        <w:t xml:space="preserve"> 2014;</w:t>
      </w:r>
      <w:r w:rsidRPr="008C4C05">
        <w:rPr>
          <w:rFonts w:ascii="Calibri" w:hAnsi="Calibri"/>
          <w:b/>
          <w:bCs/>
        </w:rPr>
        <w:t>40</w:t>
      </w:r>
      <w:r w:rsidRPr="008C4C05">
        <w:rPr>
          <w:rFonts w:ascii="Calibri" w:hAnsi="Calibri"/>
        </w:rPr>
        <w:t>:23–9. https://doi.org/10.1111/jorc.12084.</w:t>
      </w:r>
    </w:p>
    <w:p w14:paraId="04090510" w14:textId="77777777" w:rsidR="008C4C05" w:rsidRPr="008C4C05" w:rsidRDefault="008C4C05" w:rsidP="008C4C05">
      <w:pPr>
        <w:pStyle w:val="Bibliography"/>
        <w:rPr>
          <w:rFonts w:ascii="Calibri" w:hAnsi="Calibri"/>
        </w:rPr>
      </w:pPr>
      <w:r w:rsidRPr="00D74EFC">
        <w:rPr>
          <w:rFonts w:ascii="Calibri" w:hAnsi="Calibri"/>
          <w:lang w:val="nl-NL"/>
        </w:rPr>
        <w:t>178</w:t>
      </w:r>
      <w:r w:rsidRPr="00D74EFC">
        <w:rPr>
          <w:rFonts w:ascii="Calibri" w:hAnsi="Calibri"/>
          <w:lang w:val="nl-NL"/>
        </w:rPr>
        <w:tab/>
      </w:r>
      <w:proofErr w:type="spellStart"/>
      <w:r w:rsidRPr="00D74EFC">
        <w:rPr>
          <w:rFonts w:ascii="Calibri" w:hAnsi="Calibri"/>
          <w:lang w:val="nl-NL"/>
        </w:rPr>
        <w:t>Festen</w:t>
      </w:r>
      <w:proofErr w:type="spellEnd"/>
      <w:r w:rsidRPr="00D74EFC">
        <w:rPr>
          <w:rFonts w:ascii="Calibri" w:hAnsi="Calibri"/>
          <w:lang w:val="nl-NL"/>
        </w:rPr>
        <w:t xml:space="preserve"> S, </w:t>
      </w:r>
      <w:proofErr w:type="spellStart"/>
      <w:r w:rsidRPr="00D74EFC">
        <w:rPr>
          <w:rFonts w:ascii="Calibri" w:hAnsi="Calibri"/>
          <w:lang w:val="nl-NL"/>
        </w:rPr>
        <w:t>Stegmann</w:t>
      </w:r>
      <w:proofErr w:type="spellEnd"/>
      <w:r w:rsidRPr="00D74EFC">
        <w:rPr>
          <w:rFonts w:ascii="Calibri" w:hAnsi="Calibri"/>
          <w:lang w:val="nl-NL"/>
        </w:rPr>
        <w:t xml:space="preserve"> ME, Prins A, van Munster BC, van Leeuwen BL, </w:t>
      </w:r>
      <w:proofErr w:type="spellStart"/>
      <w:r w:rsidRPr="00D74EFC">
        <w:rPr>
          <w:rFonts w:ascii="Calibri" w:hAnsi="Calibri"/>
          <w:lang w:val="nl-NL"/>
        </w:rPr>
        <w:t>Halmos</w:t>
      </w:r>
      <w:proofErr w:type="spellEnd"/>
      <w:r w:rsidRPr="00D74EFC">
        <w:rPr>
          <w:rFonts w:ascii="Calibri" w:hAnsi="Calibri"/>
          <w:lang w:val="nl-NL"/>
        </w:rPr>
        <w:t xml:space="preserve"> GB, </w:t>
      </w:r>
      <w:r w:rsidRPr="00D74EFC">
        <w:rPr>
          <w:rFonts w:ascii="Calibri" w:hAnsi="Calibri"/>
          <w:i/>
          <w:iCs/>
          <w:lang w:val="nl-NL"/>
        </w:rPr>
        <w:t>et al.</w:t>
      </w:r>
      <w:r w:rsidRPr="00D74EFC">
        <w:rPr>
          <w:rFonts w:ascii="Calibri" w:hAnsi="Calibri"/>
          <w:lang w:val="nl-NL"/>
        </w:rPr>
        <w:t xml:space="preserve"> </w:t>
      </w:r>
      <w:r w:rsidRPr="008C4C05">
        <w:rPr>
          <w:rFonts w:ascii="Calibri" w:hAnsi="Calibri"/>
        </w:rPr>
        <w:t xml:space="preserve">How well do healthcare professionals know of the priorities of their older patients regarding treatment outcomes? </w:t>
      </w:r>
      <w:r w:rsidRPr="008C4C05">
        <w:rPr>
          <w:rFonts w:ascii="Calibri" w:hAnsi="Calibri"/>
          <w:i/>
          <w:iCs/>
        </w:rPr>
        <w:t xml:space="preserve">Patient Education and </w:t>
      </w:r>
      <w:proofErr w:type="spellStart"/>
      <w:r w:rsidRPr="008C4C05">
        <w:rPr>
          <w:rFonts w:ascii="Calibri" w:hAnsi="Calibri"/>
          <w:i/>
          <w:iCs/>
        </w:rPr>
        <w:t>Counseling</w:t>
      </w:r>
      <w:proofErr w:type="spellEnd"/>
      <w:r w:rsidRPr="008C4C05">
        <w:rPr>
          <w:rFonts w:ascii="Calibri" w:hAnsi="Calibri"/>
        </w:rPr>
        <w:t xml:space="preserve"> 2021;</w:t>
      </w:r>
      <w:r w:rsidRPr="008C4C05">
        <w:rPr>
          <w:rFonts w:ascii="Calibri" w:hAnsi="Calibri"/>
          <w:b/>
          <w:bCs/>
        </w:rPr>
        <w:t>104</w:t>
      </w:r>
      <w:r w:rsidRPr="008C4C05">
        <w:rPr>
          <w:rFonts w:ascii="Calibri" w:hAnsi="Calibri"/>
        </w:rPr>
        <w:t>:2358–63. https://doi.org/10.1016/j.pec.2021.02.044.</w:t>
      </w:r>
    </w:p>
    <w:p w14:paraId="6913E0C5" w14:textId="77777777" w:rsidR="008C4C05" w:rsidRPr="008C4C05" w:rsidRDefault="008C4C05" w:rsidP="008C4C05">
      <w:pPr>
        <w:pStyle w:val="Bibliography"/>
        <w:rPr>
          <w:rFonts w:ascii="Calibri" w:hAnsi="Calibri"/>
        </w:rPr>
      </w:pPr>
      <w:r w:rsidRPr="008C4C05">
        <w:rPr>
          <w:rFonts w:ascii="Calibri" w:hAnsi="Calibri"/>
        </w:rPr>
        <w:t>179</w:t>
      </w:r>
      <w:r w:rsidRPr="008C4C05">
        <w:rPr>
          <w:rFonts w:ascii="Calibri" w:hAnsi="Calibri"/>
        </w:rPr>
        <w:tab/>
        <w:t xml:space="preserve">Robinson J, </w:t>
      </w:r>
      <w:proofErr w:type="spellStart"/>
      <w:r w:rsidRPr="008C4C05">
        <w:rPr>
          <w:rFonts w:ascii="Calibri" w:hAnsi="Calibri"/>
        </w:rPr>
        <w:t>Pilbeam</w:t>
      </w:r>
      <w:proofErr w:type="spellEnd"/>
      <w:r w:rsidRPr="008C4C05">
        <w:rPr>
          <w:rFonts w:ascii="Calibri" w:hAnsi="Calibri"/>
        </w:rPr>
        <w:t xml:space="preserve"> C, Goodwin H, Raphael D, Waterworth S, Gott M. The impact of uncertainty on bereaved family’s experiences of care at the end of life: a thematic analysis of free text survey data. </w:t>
      </w:r>
      <w:r w:rsidRPr="008C4C05">
        <w:rPr>
          <w:rFonts w:ascii="Calibri" w:hAnsi="Calibri"/>
          <w:i/>
          <w:iCs/>
        </w:rPr>
        <w:t>BMC Palliative Care</w:t>
      </w:r>
      <w:r w:rsidRPr="008C4C05">
        <w:rPr>
          <w:rFonts w:ascii="Calibri" w:hAnsi="Calibri"/>
        </w:rPr>
        <w:t xml:space="preserve"> 2021;</w:t>
      </w:r>
      <w:r w:rsidRPr="008C4C05">
        <w:rPr>
          <w:rFonts w:ascii="Calibri" w:hAnsi="Calibri"/>
          <w:b/>
          <w:bCs/>
        </w:rPr>
        <w:t>20</w:t>
      </w:r>
      <w:r w:rsidRPr="008C4C05">
        <w:rPr>
          <w:rFonts w:ascii="Calibri" w:hAnsi="Calibri"/>
        </w:rPr>
        <w:t>:60. https://doi.org/10.1186/s12904-021-00748-9.</w:t>
      </w:r>
    </w:p>
    <w:p w14:paraId="3AA2DAFB" w14:textId="77777777" w:rsidR="008C4C05" w:rsidRPr="008C4C05" w:rsidRDefault="008C4C05" w:rsidP="008C4C05">
      <w:pPr>
        <w:pStyle w:val="Bibliography"/>
        <w:rPr>
          <w:rFonts w:ascii="Calibri" w:hAnsi="Calibri"/>
        </w:rPr>
      </w:pPr>
      <w:r w:rsidRPr="008C4C05">
        <w:rPr>
          <w:rFonts w:ascii="Calibri" w:hAnsi="Calibri"/>
        </w:rPr>
        <w:t>180</w:t>
      </w:r>
      <w:r w:rsidRPr="008C4C05">
        <w:rPr>
          <w:rFonts w:ascii="Calibri" w:hAnsi="Calibri"/>
        </w:rPr>
        <w:tab/>
        <w:t xml:space="preserve">Nierop-van </w:t>
      </w:r>
      <w:proofErr w:type="spellStart"/>
      <w:r w:rsidRPr="008C4C05">
        <w:rPr>
          <w:rFonts w:ascii="Calibri" w:hAnsi="Calibri"/>
        </w:rPr>
        <w:t>Baalen</w:t>
      </w:r>
      <w:proofErr w:type="spellEnd"/>
      <w:r w:rsidRPr="008C4C05">
        <w:rPr>
          <w:rFonts w:ascii="Calibri" w:hAnsi="Calibri"/>
        </w:rPr>
        <w:t xml:space="preserve"> C, </w:t>
      </w:r>
      <w:proofErr w:type="spellStart"/>
      <w:r w:rsidRPr="008C4C05">
        <w:rPr>
          <w:rFonts w:ascii="Calibri" w:hAnsi="Calibri"/>
        </w:rPr>
        <w:t>Grypdonck</w:t>
      </w:r>
      <w:proofErr w:type="spellEnd"/>
      <w:r w:rsidRPr="008C4C05">
        <w:rPr>
          <w:rFonts w:ascii="Calibri" w:hAnsi="Calibri"/>
        </w:rPr>
        <w:t xml:space="preserve"> M, van Hecke A, Verhaeghe S. Health professionals’ dealing with hope in palliative patients with cancer, an explorative qualitative research. </w:t>
      </w:r>
      <w:r w:rsidRPr="008C4C05">
        <w:rPr>
          <w:rFonts w:ascii="Calibri" w:hAnsi="Calibri"/>
          <w:i/>
          <w:iCs/>
        </w:rPr>
        <w:t>Eur J Cancer Care (</w:t>
      </w:r>
      <w:proofErr w:type="spellStart"/>
      <w:r w:rsidRPr="008C4C05">
        <w:rPr>
          <w:rFonts w:ascii="Calibri" w:hAnsi="Calibri"/>
          <w:i/>
          <w:iCs/>
        </w:rPr>
        <w:t>Engl</w:t>
      </w:r>
      <w:proofErr w:type="spellEnd"/>
      <w:r w:rsidRPr="008C4C05">
        <w:rPr>
          <w:rFonts w:ascii="Calibri" w:hAnsi="Calibri"/>
          <w:i/>
          <w:iCs/>
        </w:rPr>
        <w:t>)</w:t>
      </w:r>
      <w:r w:rsidRPr="008C4C05">
        <w:rPr>
          <w:rFonts w:ascii="Calibri" w:hAnsi="Calibri"/>
        </w:rPr>
        <w:t xml:space="preserve"> 2019;</w:t>
      </w:r>
      <w:r w:rsidRPr="008C4C05">
        <w:rPr>
          <w:rFonts w:ascii="Calibri" w:hAnsi="Calibri"/>
          <w:b/>
          <w:bCs/>
        </w:rPr>
        <w:t>28</w:t>
      </w:r>
      <w:r w:rsidRPr="008C4C05">
        <w:rPr>
          <w:rFonts w:ascii="Calibri" w:hAnsi="Calibri"/>
        </w:rPr>
        <w:t>:e12889. https://doi.org/10.1111/ecc.12889.</w:t>
      </w:r>
    </w:p>
    <w:p w14:paraId="14B79ADD" w14:textId="77777777" w:rsidR="008C4C05" w:rsidRPr="008C4C05" w:rsidRDefault="008C4C05" w:rsidP="008C4C05">
      <w:pPr>
        <w:pStyle w:val="Bibliography"/>
        <w:rPr>
          <w:rFonts w:ascii="Calibri" w:hAnsi="Calibri"/>
        </w:rPr>
      </w:pPr>
      <w:r w:rsidRPr="008C4C05">
        <w:rPr>
          <w:rFonts w:ascii="Calibri" w:hAnsi="Calibri"/>
        </w:rPr>
        <w:t>181</w:t>
      </w:r>
      <w:r w:rsidRPr="008C4C05">
        <w:rPr>
          <w:rFonts w:ascii="Calibri" w:hAnsi="Calibri"/>
        </w:rPr>
        <w:tab/>
        <w:t xml:space="preserve">Parry R, Land V, Seymour J. How to communicate with patients about future illness progression and end of life: a systematic review. </w:t>
      </w:r>
      <w:r w:rsidRPr="008C4C05">
        <w:rPr>
          <w:rFonts w:ascii="Calibri" w:hAnsi="Calibri"/>
          <w:i/>
          <w:iCs/>
        </w:rPr>
        <w:t>BMJ Supportive &amp; Palliative Care</w:t>
      </w:r>
      <w:r w:rsidRPr="008C4C05">
        <w:rPr>
          <w:rFonts w:ascii="Calibri" w:hAnsi="Calibri"/>
        </w:rPr>
        <w:t xml:space="preserve"> 2014;</w:t>
      </w:r>
      <w:r w:rsidRPr="008C4C05">
        <w:rPr>
          <w:rFonts w:ascii="Calibri" w:hAnsi="Calibri"/>
          <w:b/>
          <w:bCs/>
        </w:rPr>
        <w:t>4</w:t>
      </w:r>
      <w:r w:rsidRPr="008C4C05">
        <w:rPr>
          <w:rFonts w:ascii="Calibri" w:hAnsi="Calibri"/>
        </w:rPr>
        <w:t>:331–41. https://doi.org/10.1136/bmjspcare-2014-000649.</w:t>
      </w:r>
    </w:p>
    <w:p w14:paraId="62BCD54B" w14:textId="77777777" w:rsidR="008C4C05" w:rsidRPr="008C4C05" w:rsidRDefault="008C4C05" w:rsidP="008C4C05">
      <w:pPr>
        <w:pStyle w:val="Bibliography"/>
        <w:rPr>
          <w:rFonts w:ascii="Calibri" w:hAnsi="Calibri"/>
        </w:rPr>
      </w:pPr>
      <w:r w:rsidRPr="008C4C05">
        <w:rPr>
          <w:rFonts w:ascii="Calibri" w:hAnsi="Calibri"/>
        </w:rPr>
        <w:t>182</w:t>
      </w:r>
      <w:r w:rsidRPr="008C4C05">
        <w:rPr>
          <w:rFonts w:ascii="Calibri" w:hAnsi="Calibri"/>
        </w:rPr>
        <w:tab/>
        <w:t xml:space="preserve">Pino M, Parry R, Land V, Faull C, Feathers L, Seymour J. Engaging Terminally Ill Patients in End of Life Talk: How Experienced Palliative Medicine Doctors Navigate the Dilemma of Promoting Discussions about Dying. </w:t>
      </w:r>
      <w:r w:rsidRPr="008C4C05">
        <w:rPr>
          <w:rFonts w:ascii="Calibri" w:hAnsi="Calibri"/>
          <w:i/>
          <w:iCs/>
        </w:rPr>
        <w:t>PLOS ONE</w:t>
      </w:r>
      <w:r w:rsidRPr="008C4C05">
        <w:rPr>
          <w:rFonts w:ascii="Calibri" w:hAnsi="Calibri"/>
        </w:rPr>
        <w:t xml:space="preserve"> 2016;</w:t>
      </w:r>
      <w:r w:rsidRPr="008C4C05">
        <w:rPr>
          <w:rFonts w:ascii="Calibri" w:hAnsi="Calibri"/>
          <w:b/>
          <w:bCs/>
        </w:rPr>
        <w:t>11</w:t>
      </w:r>
      <w:r w:rsidRPr="008C4C05">
        <w:rPr>
          <w:rFonts w:ascii="Calibri" w:hAnsi="Calibri"/>
        </w:rPr>
        <w:t>:e0156174. https://doi.org/10.1371/journal.pone.0156174.</w:t>
      </w:r>
    </w:p>
    <w:p w14:paraId="014F8341" w14:textId="77777777" w:rsidR="008C4C05" w:rsidRPr="008C4C05" w:rsidRDefault="008C4C05" w:rsidP="008C4C05">
      <w:pPr>
        <w:pStyle w:val="Bibliography"/>
        <w:rPr>
          <w:rFonts w:ascii="Calibri" w:hAnsi="Calibri"/>
        </w:rPr>
      </w:pPr>
      <w:r w:rsidRPr="008C4C05">
        <w:rPr>
          <w:rFonts w:ascii="Calibri" w:hAnsi="Calibri"/>
        </w:rPr>
        <w:t>183</w:t>
      </w:r>
      <w:r w:rsidRPr="008C4C05">
        <w:rPr>
          <w:rFonts w:ascii="Calibri" w:hAnsi="Calibri"/>
        </w:rPr>
        <w:tab/>
        <w:t xml:space="preserve">Greener I. Are the assumptions underlying patients choice realistic?: a review of the evidence. </w:t>
      </w:r>
      <w:r w:rsidRPr="008C4C05">
        <w:rPr>
          <w:rFonts w:ascii="Calibri" w:hAnsi="Calibri"/>
          <w:i/>
          <w:iCs/>
        </w:rPr>
        <w:t>Br Med Bull</w:t>
      </w:r>
      <w:r w:rsidRPr="008C4C05">
        <w:rPr>
          <w:rFonts w:ascii="Calibri" w:hAnsi="Calibri"/>
        </w:rPr>
        <w:t xml:space="preserve"> 2007;</w:t>
      </w:r>
      <w:r w:rsidRPr="008C4C05">
        <w:rPr>
          <w:rFonts w:ascii="Calibri" w:hAnsi="Calibri"/>
          <w:b/>
          <w:bCs/>
        </w:rPr>
        <w:t>83</w:t>
      </w:r>
      <w:r w:rsidRPr="008C4C05">
        <w:rPr>
          <w:rFonts w:ascii="Calibri" w:hAnsi="Calibri"/>
        </w:rPr>
        <w:t>:249–58. https://doi.org/10.1093/bmb/ldm024.</w:t>
      </w:r>
    </w:p>
    <w:p w14:paraId="626B0265" w14:textId="77777777" w:rsidR="008C4C05" w:rsidRPr="008C4C05" w:rsidRDefault="008C4C05" w:rsidP="008C4C05">
      <w:pPr>
        <w:pStyle w:val="Bibliography"/>
        <w:rPr>
          <w:rFonts w:ascii="Calibri" w:hAnsi="Calibri"/>
        </w:rPr>
      </w:pPr>
      <w:r w:rsidRPr="008C4C05">
        <w:rPr>
          <w:rFonts w:ascii="Calibri" w:hAnsi="Calibri"/>
        </w:rPr>
        <w:t>184</w:t>
      </w:r>
      <w:r w:rsidRPr="008C4C05">
        <w:rPr>
          <w:rFonts w:ascii="Calibri" w:hAnsi="Calibri"/>
        </w:rPr>
        <w:tab/>
        <w:t xml:space="preserve">Susan Sherwin. In: Susan Sherwin, editor. </w:t>
      </w:r>
      <w:r w:rsidRPr="008C4C05">
        <w:rPr>
          <w:rFonts w:ascii="Calibri" w:hAnsi="Calibri"/>
          <w:i/>
          <w:iCs/>
        </w:rPr>
        <w:t>A Relational Approach to Autonomy in Health Care</w:t>
      </w:r>
      <w:r w:rsidRPr="008C4C05">
        <w:rPr>
          <w:rFonts w:ascii="Calibri" w:hAnsi="Calibri"/>
        </w:rPr>
        <w:t>. Temple University Press; 1998. p. 19–47.</w:t>
      </w:r>
    </w:p>
    <w:p w14:paraId="3E47B5DC" w14:textId="77777777" w:rsidR="008C4C05" w:rsidRPr="008C4C05" w:rsidRDefault="008C4C05" w:rsidP="008C4C05">
      <w:pPr>
        <w:pStyle w:val="Bibliography"/>
        <w:rPr>
          <w:rFonts w:ascii="Calibri" w:hAnsi="Calibri"/>
        </w:rPr>
      </w:pPr>
      <w:r w:rsidRPr="008C4C05">
        <w:rPr>
          <w:rFonts w:ascii="Calibri" w:hAnsi="Calibri"/>
        </w:rPr>
        <w:t>185</w:t>
      </w:r>
      <w:r w:rsidRPr="008C4C05">
        <w:rPr>
          <w:rFonts w:ascii="Calibri" w:hAnsi="Calibri"/>
        </w:rPr>
        <w:tab/>
        <w:t xml:space="preserve">Johnson SB, </w:t>
      </w:r>
      <w:proofErr w:type="spellStart"/>
      <w:r w:rsidRPr="008C4C05">
        <w:rPr>
          <w:rFonts w:ascii="Calibri" w:hAnsi="Calibri"/>
        </w:rPr>
        <w:t>Butow</w:t>
      </w:r>
      <w:proofErr w:type="spellEnd"/>
      <w:r w:rsidRPr="008C4C05">
        <w:rPr>
          <w:rFonts w:ascii="Calibri" w:hAnsi="Calibri"/>
        </w:rPr>
        <w:t xml:space="preserve"> PN, Kerridge I, Tattersall MH. What do patients with cancer and their families value most at the end of life? A critical analysis of advance care planning. </w:t>
      </w:r>
      <w:r w:rsidRPr="008C4C05">
        <w:rPr>
          <w:rFonts w:ascii="Calibri" w:hAnsi="Calibri"/>
          <w:i/>
          <w:iCs/>
        </w:rPr>
        <w:t xml:space="preserve">Int J </w:t>
      </w:r>
      <w:proofErr w:type="spellStart"/>
      <w:r w:rsidRPr="008C4C05">
        <w:rPr>
          <w:rFonts w:ascii="Calibri" w:hAnsi="Calibri"/>
          <w:i/>
          <w:iCs/>
        </w:rPr>
        <w:t>Palliat</w:t>
      </w:r>
      <w:proofErr w:type="spellEnd"/>
      <w:r w:rsidRPr="008C4C05">
        <w:rPr>
          <w:rFonts w:ascii="Calibri" w:hAnsi="Calibri"/>
          <w:i/>
          <w:iCs/>
        </w:rPr>
        <w:t xml:space="preserve"> </w:t>
      </w:r>
      <w:proofErr w:type="spellStart"/>
      <w:r w:rsidRPr="008C4C05">
        <w:rPr>
          <w:rFonts w:ascii="Calibri" w:hAnsi="Calibri"/>
          <w:i/>
          <w:iCs/>
        </w:rPr>
        <w:t>Nurs</w:t>
      </w:r>
      <w:proofErr w:type="spellEnd"/>
      <w:r w:rsidRPr="008C4C05">
        <w:rPr>
          <w:rFonts w:ascii="Calibri" w:hAnsi="Calibri"/>
        </w:rPr>
        <w:t xml:space="preserve"> 2017;</w:t>
      </w:r>
      <w:r w:rsidRPr="008C4C05">
        <w:rPr>
          <w:rFonts w:ascii="Calibri" w:hAnsi="Calibri"/>
          <w:b/>
          <w:bCs/>
        </w:rPr>
        <w:t>23</w:t>
      </w:r>
      <w:r w:rsidRPr="008C4C05">
        <w:rPr>
          <w:rFonts w:ascii="Calibri" w:hAnsi="Calibri"/>
        </w:rPr>
        <w:t>:596–604. https://doi.org/10.12968/ijpn.2017.23.12.596.</w:t>
      </w:r>
    </w:p>
    <w:p w14:paraId="60187DB4" w14:textId="77777777" w:rsidR="008C4C05" w:rsidRPr="008C4C05" w:rsidRDefault="008C4C05" w:rsidP="008C4C05">
      <w:pPr>
        <w:pStyle w:val="Bibliography"/>
        <w:rPr>
          <w:rFonts w:ascii="Calibri" w:hAnsi="Calibri"/>
        </w:rPr>
      </w:pPr>
      <w:r w:rsidRPr="008C4C05">
        <w:rPr>
          <w:rFonts w:ascii="Calibri" w:hAnsi="Calibri"/>
        </w:rPr>
        <w:t>186</w:t>
      </w:r>
      <w:r w:rsidRPr="008C4C05">
        <w:rPr>
          <w:rFonts w:ascii="Calibri" w:hAnsi="Calibri"/>
        </w:rPr>
        <w:tab/>
        <w:t xml:space="preserve">Johnson SB, </w:t>
      </w:r>
      <w:proofErr w:type="spellStart"/>
      <w:r w:rsidRPr="008C4C05">
        <w:rPr>
          <w:rFonts w:ascii="Calibri" w:hAnsi="Calibri"/>
        </w:rPr>
        <w:t>Butow</w:t>
      </w:r>
      <w:proofErr w:type="spellEnd"/>
      <w:r w:rsidRPr="008C4C05">
        <w:rPr>
          <w:rFonts w:ascii="Calibri" w:hAnsi="Calibri"/>
        </w:rPr>
        <w:t xml:space="preserve"> PN, Kerridge I, Tattersall MHN. Patient autonomy and advance care planning: a qualitative study of oncologist and palliative care physicians’ perspectives. </w:t>
      </w:r>
      <w:r w:rsidRPr="008C4C05">
        <w:rPr>
          <w:rFonts w:ascii="Calibri" w:hAnsi="Calibri"/>
          <w:i/>
          <w:iCs/>
        </w:rPr>
        <w:t>Support Care Cancer</w:t>
      </w:r>
      <w:r w:rsidRPr="008C4C05">
        <w:rPr>
          <w:rFonts w:ascii="Calibri" w:hAnsi="Calibri"/>
        </w:rPr>
        <w:t xml:space="preserve"> 2018;</w:t>
      </w:r>
      <w:r w:rsidRPr="008C4C05">
        <w:rPr>
          <w:rFonts w:ascii="Calibri" w:hAnsi="Calibri"/>
          <w:b/>
          <w:bCs/>
        </w:rPr>
        <w:t>26</w:t>
      </w:r>
      <w:r w:rsidRPr="008C4C05">
        <w:rPr>
          <w:rFonts w:ascii="Calibri" w:hAnsi="Calibri"/>
        </w:rPr>
        <w:t>:565–74. https://doi.org/10.1007/s00520-017-3867-5.</w:t>
      </w:r>
    </w:p>
    <w:p w14:paraId="269B58DB" w14:textId="77777777" w:rsidR="008C4C05" w:rsidRPr="008C4C05" w:rsidRDefault="008C4C05" w:rsidP="008C4C05">
      <w:pPr>
        <w:pStyle w:val="Bibliography"/>
        <w:rPr>
          <w:rFonts w:ascii="Calibri" w:hAnsi="Calibri"/>
        </w:rPr>
      </w:pPr>
      <w:r w:rsidRPr="008C4C05">
        <w:rPr>
          <w:rFonts w:ascii="Calibri" w:hAnsi="Calibri"/>
        </w:rPr>
        <w:t>187</w:t>
      </w:r>
      <w:r w:rsidRPr="008C4C05">
        <w:rPr>
          <w:rFonts w:ascii="Calibri" w:hAnsi="Calibri"/>
        </w:rPr>
        <w:tab/>
        <w:t xml:space="preserve">Robinson CA. Advance care planning: re-visioning our ethical approach. </w:t>
      </w:r>
      <w:r w:rsidRPr="008C4C05">
        <w:rPr>
          <w:rFonts w:ascii="Calibri" w:hAnsi="Calibri"/>
          <w:i/>
          <w:iCs/>
        </w:rPr>
        <w:t xml:space="preserve">Can J </w:t>
      </w:r>
      <w:proofErr w:type="spellStart"/>
      <w:r w:rsidRPr="008C4C05">
        <w:rPr>
          <w:rFonts w:ascii="Calibri" w:hAnsi="Calibri"/>
          <w:i/>
          <w:iCs/>
        </w:rPr>
        <w:t>Nurs</w:t>
      </w:r>
      <w:proofErr w:type="spellEnd"/>
      <w:r w:rsidRPr="008C4C05">
        <w:rPr>
          <w:rFonts w:ascii="Calibri" w:hAnsi="Calibri"/>
          <w:i/>
          <w:iCs/>
        </w:rPr>
        <w:t xml:space="preserve"> Res</w:t>
      </w:r>
      <w:r w:rsidRPr="008C4C05">
        <w:rPr>
          <w:rFonts w:ascii="Calibri" w:hAnsi="Calibri"/>
        </w:rPr>
        <w:t xml:space="preserve"> 2011;</w:t>
      </w:r>
      <w:r w:rsidRPr="008C4C05">
        <w:rPr>
          <w:rFonts w:ascii="Calibri" w:hAnsi="Calibri"/>
          <w:b/>
          <w:bCs/>
        </w:rPr>
        <w:t>43</w:t>
      </w:r>
      <w:r w:rsidRPr="008C4C05">
        <w:rPr>
          <w:rFonts w:ascii="Calibri" w:hAnsi="Calibri"/>
        </w:rPr>
        <w:t>:18–37.</w:t>
      </w:r>
    </w:p>
    <w:p w14:paraId="30AC83B4" w14:textId="77777777" w:rsidR="008C4C05" w:rsidRPr="008C4C05" w:rsidRDefault="008C4C05" w:rsidP="008C4C05">
      <w:pPr>
        <w:pStyle w:val="Bibliography"/>
        <w:rPr>
          <w:rFonts w:ascii="Calibri" w:hAnsi="Calibri"/>
        </w:rPr>
      </w:pPr>
      <w:r w:rsidRPr="008C4C05">
        <w:rPr>
          <w:rFonts w:ascii="Calibri" w:hAnsi="Calibri"/>
        </w:rPr>
        <w:t>188</w:t>
      </w:r>
      <w:r w:rsidRPr="008C4C05">
        <w:rPr>
          <w:rFonts w:ascii="Calibri" w:hAnsi="Calibri"/>
        </w:rPr>
        <w:tab/>
        <w:t xml:space="preserve">Wilson F, Ingleton C, Gott M, Gardiner C. Autonomy and choice in palliative care: time for a new model? </w:t>
      </w:r>
      <w:r w:rsidRPr="008C4C05">
        <w:rPr>
          <w:rFonts w:ascii="Calibri" w:hAnsi="Calibri"/>
          <w:i/>
          <w:iCs/>
        </w:rPr>
        <w:t xml:space="preserve">J Adv </w:t>
      </w:r>
      <w:proofErr w:type="spellStart"/>
      <w:r w:rsidRPr="008C4C05">
        <w:rPr>
          <w:rFonts w:ascii="Calibri" w:hAnsi="Calibri"/>
          <w:i/>
          <w:iCs/>
        </w:rPr>
        <w:t>Nurs</w:t>
      </w:r>
      <w:proofErr w:type="spellEnd"/>
      <w:r w:rsidRPr="008C4C05">
        <w:rPr>
          <w:rFonts w:ascii="Calibri" w:hAnsi="Calibri"/>
        </w:rPr>
        <w:t xml:space="preserve"> 2014;</w:t>
      </w:r>
      <w:r w:rsidRPr="008C4C05">
        <w:rPr>
          <w:rFonts w:ascii="Calibri" w:hAnsi="Calibri"/>
          <w:b/>
          <w:bCs/>
        </w:rPr>
        <w:t>70</w:t>
      </w:r>
      <w:r w:rsidRPr="008C4C05">
        <w:rPr>
          <w:rFonts w:ascii="Calibri" w:hAnsi="Calibri"/>
        </w:rPr>
        <w:t>:1020–9. https://doi.org/10.1111/jan.12267.</w:t>
      </w:r>
    </w:p>
    <w:p w14:paraId="6545686E" w14:textId="77777777" w:rsidR="008C4C05" w:rsidRPr="008C4C05" w:rsidRDefault="008C4C05" w:rsidP="008C4C05">
      <w:pPr>
        <w:pStyle w:val="Bibliography"/>
        <w:rPr>
          <w:rFonts w:ascii="Calibri" w:hAnsi="Calibri"/>
        </w:rPr>
      </w:pPr>
      <w:r w:rsidRPr="008C4C05">
        <w:rPr>
          <w:rFonts w:ascii="Calibri" w:hAnsi="Calibri"/>
        </w:rPr>
        <w:lastRenderedPageBreak/>
        <w:t>189</w:t>
      </w:r>
      <w:r w:rsidRPr="008C4C05">
        <w:rPr>
          <w:rFonts w:ascii="Calibri" w:hAnsi="Calibri"/>
        </w:rPr>
        <w:tab/>
        <w:t xml:space="preserve">Johnson S, </w:t>
      </w:r>
      <w:proofErr w:type="spellStart"/>
      <w:r w:rsidRPr="008C4C05">
        <w:rPr>
          <w:rFonts w:ascii="Calibri" w:hAnsi="Calibri"/>
        </w:rPr>
        <w:t>Butow</w:t>
      </w:r>
      <w:proofErr w:type="spellEnd"/>
      <w:r w:rsidRPr="008C4C05">
        <w:rPr>
          <w:rFonts w:ascii="Calibri" w:hAnsi="Calibri"/>
        </w:rPr>
        <w:t xml:space="preserve"> P, Kerridge I, Tattersall M. Advance care planning for cancer patients: a systematic review of perceptions and experiences of patients, families, and healthcare providers. </w:t>
      </w:r>
      <w:proofErr w:type="spellStart"/>
      <w:r w:rsidRPr="008C4C05">
        <w:rPr>
          <w:rFonts w:ascii="Calibri" w:hAnsi="Calibri"/>
          <w:i/>
          <w:iCs/>
        </w:rPr>
        <w:t>Psychooncology</w:t>
      </w:r>
      <w:proofErr w:type="spellEnd"/>
      <w:r w:rsidRPr="008C4C05">
        <w:rPr>
          <w:rFonts w:ascii="Calibri" w:hAnsi="Calibri"/>
        </w:rPr>
        <w:t xml:space="preserve"> 2016;</w:t>
      </w:r>
      <w:r w:rsidRPr="008C4C05">
        <w:rPr>
          <w:rFonts w:ascii="Calibri" w:hAnsi="Calibri"/>
          <w:b/>
          <w:bCs/>
        </w:rPr>
        <w:t>25</w:t>
      </w:r>
      <w:r w:rsidRPr="008C4C05">
        <w:rPr>
          <w:rFonts w:ascii="Calibri" w:hAnsi="Calibri"/>
        </w:rPr>
        <w:t>:362–86. https://doi.org/10.1002/pon.3926.</w:t>
      </w:r>
    </w:p>
    <w:p w14:paraId="32C42E36" w14:textId="77777777" w:rsidR="008C4C05" w:rsidRPr="008C4C05" w:rsidRDefault="008C4C05" w:rsidP="008C4C05">
      <w:pPr>
        <w:pStyle w:val="Bibliography"/>
        <w:rPr>
          <w:rFonts w:ascii="Calibri" w:hAnsi="Calibri"/>
        </w:rPr>
      </w:pPr>
      <w:r w:rsidRPr="008C4C05">
        <w:rPr>
          <w:rFonts w:ascii="Calibri" w:hAnsi="Calibri"/>
        </w:rPr>
        <w:t>190</w:t>
      </w:r>
      <w:r w:rsidRPr="008C4C05">
        <w:rPr>
          <w:rFonts w:ascii="Calibri" w:hAnsi="Calibri"/>
        </w:rPr>
        <w:tab/>
        <w:t>Timmermans S. Dying of awareness: the theory of awareness contexts revisited 1994. https://doi.org/10.1111/1467-9566.EP11348751.</w:t>
      </w:r>
    </w:p>
    <w:p w14:paraId="2B2D96D3" w14:textId="77777777" w:rsidR="008C4C05" w:rsidRPr="008C4C05" w:rsidRDefault="008C4C05" w:rsidP="008C4C05">
      <w:pPr>
        <w:pStyle w:val="Bibliography"/>
        <w:rPr>
          <w:rFonts w:ascii="Calibri" w:hAnsi="Calibri"/>
        </w:rPr>
      </w:pPr>
      <w:r w:rsidRPr="008C4C05">
        <w:rPr>
          <w:rFonts w:ascii="Calibri" w:hAnsi="Calibri"/>
        </w:rPr>
        <w:t>191</w:t>
      </w:r>
      <w:r w:rsidRPr="008C4C05">
        <w:rPr>
          <w:rFonts w:ascii="Calibri" w:hAnsi="Calibri"/>
        </w:rPr>
        <w:tab/>
        <w:t xml:space="preserve">Chen CH, </w:t>
      </w:r>
      <w:proofErr w:type="spellStart"/>
      <w:r w:rsidRPr="008C4C05">
        <w:rPr>
          <w:rFonts w:ascii="Calibri" w:hAnsi="Calibri"/>
        </w:rPr>
        <w:t>Kuo</w:t>
      </w:r>
      <w:proofErr w:type="spellEnd"/>
      <w:r w:rsidRPr="008C4C05">
        <w:rPr>
          <w:rFonts w:ascii="Calibri" w:hAnsi="Calibri"/>
        </w:rPr>
        <w:t xml:space="preserve"> SC, Tang ST. Current status of accurate prognostic awareness in advanced/terminally ill cancer patients: Systematic review and meta-regression analysis. </w:t>
      </w:r>
      <w:proofErr w:type="spellStart"/>
      <w:r w:rsidRPr="008C4C05">
        <w:rPr>
          <w:rFonts w:ascii="Calibri" w:hAnsi="Calibri"/>
          <w:i/>
          <w:iCs/>
        </w:rPr>
        <w:t>Palliat</w:t>
      </w:r>
      <w:proofErr w:type="spellEnd"/>
      <w:r w:rsidRPr="008C4C05">
        <w:rPr>
          <w:rFonts w:ascii="Calibri" w:hAnsi="Calibri"/>
          <w:i/>
          <w:iCs/>
        </w:rPr>
        <w:t xml:space="preserve"> Med</w:t>
      </w:r>
      <w:r w:rsidRPr="008C4C05">
        <w:rPr>
          <w:rFonts w:ascii="Calibri" w:hAnsi="Calibri"/>
        </w:rPr>
        <w:t xml:space="preserve"> 2017;</w:t>
      </w:r>
      <w:r w:rsidRPr="008C4C05">
        <w:rPr>
          <w:rFonts w:ascii="Calibri" w:hAnsi="Calibri"/>
          <w:b/>
          <w:bCs/>
        </w:rPr>
        <w:t>31</w:t>
      </w:r>
      <w:r w:rsidRPr="008C4C05">
        <w:rPr>
          <w:rFonts w:ascii="Calibri" w:hAnsi="Calibri"/>
        </w:rPr>
        <w:t>:406–18. https://doi.org/10.1177/0269216316663976.</w:t>
      </w:r>
    </w:p>
    <w:p w14:paraId="0EFFE1E4" w14:textId="77777777" w:rsidR="008C4C05" w:rsidRPr="008C4C05" w:rsidRDefault="008C4C05" w:rsidP="008C4C05">
      <w:pPr>
        <w:pStyle w:val="Bibliography"/>
        <w:rPr>
          <w:rFonts w:ascii="Calibri" w:hAnsi="Calibri"/>
        </w:rPr>
      </w:pPr>
      <w:r w:rsidRPr="008C4C05">
        <w:rPr>
          <w:rFonts w:ascii="Calibri" w:hAnsi="Calibri"/>
        </w:rPr>
        <w:t>192</w:t>
      </w:r>
      <w:r w:rsidRPr="008C4C05">
        <w:rPr>
          <w:rFonts w:ascii="Calibri" w:hAnsi="Calibri"/>
        </w:rPr>
        <w:tab/>
      </w:r>
      <w:proofErr w:type="spellStart"/>
      <w:r w:rsidRPr="008C4C05">
        <w:rPr>
          <w:rFonts w:ascii="Calibri" w:hAnsi="Calibri"/>
        </w:rPr>
        <w:t>Granovetter</w:t>
      </w:r>
      <w:proofErr w:type="spellEnd"/>
      <w:r w:rsidRPr="008C4C05">
        <w:rPr>
          <w:rFonts w:ascii="Calibri" w:hAnsi="Calibri"/>
        </w:rPr>
        <w:t xml:space="preserve"> MS. The Strength of Weak Ties. </w:t>
      </w:r>
      <w:r w:rsidRPr="008C4C05">
        <w:rPr>
          <w:rFonts w:ascii="Calibri" w:hAnsi="Calibri"/>
          <w:i/>
          <w:iCs/>
        </w:rPr>
        <w:t>American Journal of Sociology</w:t>
      </w:r>
      <w:r w:rsidRPr="008C4C05">
        <w:rPr>
          <w:rFonts w:ascii="Calibri" w:hAnsi="Calibri"/>
        </w:rPr>
        <w:t xml:space="preserve"> 1973;</w:t>
      </w:r>
      <w:r w:rsidRPr="008C4C05">
        <w:rPr>
          <w:rFonts w:ascii="Calibri" w:hAnsi="Calibri"/>
          <w:b/>
          <w:bCs/>
        </w:rPr>
        <w:t>78</w:t>
      </w:r>
      <w:r w:rsidRPr="008C4C05">
        <w:rPr>
          <w:rFonts w:ascii="Calibri" w:hAnsi="Calibri"/>
        </w:rPr>
        <w:t>:1360–80.</w:t>
      </w:r>
    </w:p>
    <w:p w14:paraId="09899503" w14:textId="77777777" w:rsidR="008C4C05" w:rsidRPr="008C4C05" w:rsidRDefault="008C4C05" w:rsidP="008C4C05">
      <w:pPr>
        <w:pStyle w:val="Bibliography"/>
        <w:rPr>
          <w:rFonts w:ascii="Calibri" w:hAnsi="Calibri"/>
        </w:rPr>
      </w:pPr>
      <w:r w:rsidRPr="008C4C05">
        <w:rPr>
          <w:rFonts w:ascii="Calibri" w:hAnsi="Calibri"/>
        </w:rPr>
        <w:t>193</w:t>
      </w:r>
      <w:r w:rsidRPr="008C4C05">
        <w:rPr>
          <w:rFonts w:ascii="Calibri" w:hAnsi="Calibri"/>
        </w:rPr>
        <w:tab/>
        <w:t xml:space="preserve">Williams K, </w:t>
      </w:r>
      <w:proofErr w:type="spellStart"/>
      <w:r w:rsidRPr="008C4C05">
        <w:rPr>
          <w:rFonts w:ascii="Calibri" w:hAnsi="Calibri"/>
        </w:rPr>
        <w:t>Durrance</w:t>
      </w:r>
      <w:proofErr w:type="spellEnd"/>
      <w:r w:rsidRPr="008C4C05">
        <w:rPr>
          <w:rFonts w:ascii="Calibri" w:hAnsi="Calibri"/>
        </w:rPr>
        <w:t xml:space="preserve"> JC. Social Networks and Social Capital: Rethinking Theory in Community Informatics. </w:t>
      </w:r>
      <w:r w:rsidRPr="008C4C05">
        <w:rPr>
          <w:rFonts w:ascii="Calibri" w:hAnsi="Calibri"/>
          <w:i/>
          <w:iCs/>
        </w:rPr>
        <w:t>The Journal of Community Informatics</w:t>
      </w:r>
      <w:r w:rsidRPr="008C4C05">
        <w:rPr>
          <w:rFonts w:ascii="Calibri" w:hAnsi="Calibri"/>
        </w:rPr>
        <w:t xml:space="preserve"> 2008;</w:t>
      </w:r>
      <w:r w:rsidRPr="008C4C05">
        <w:rPr>
          <w:rFonts w:ascii="Calibri" w:hAnsi="Calibri"/>
          <w:b/>
          <w:bCs/>
        </w:rPr>
        <w:t>4</w:t>
      </w:r>
      <w:r w:rsidRPr="008C4C05">
        <w:rPr>
          <w:rFonts w:ascii="Calibri" w:hAnsi="Calibri"/>
        </w:rPr>
        <w:t>:. https://doi.org/10.15353/joci.v4i3.2946.</w:t>
      </w:r>
    </w:p>
    <w:p w14:paraId="7E265BDE" w14:textId="77777777" w:rsidR="008C4C05" w:rsidRPr="008C4C05" w:rsidRDefault="008C4C05" w:rsidP="008C4C05">
      <w:pPr>
        <w:pStyle w:val="Bibliography"/>
        <w:rPr>
          <w:rFonts w:ascii="Calibri" w:hAnsi="Calibri"/>
        </w:rPr>
      </w:pPr>
      <w:r w:rsidRPr="008C4C05">
        <w:rPr>
          <w:rFonts w:ascii="Calibri" w:hAnsi="Calibri"/>
        </w:rPr>
        <w:t>194</w:t>
      </w:r>
      <w:r w:rsidRPr="008C4C05">
        <w:rPr>
          <w:rFonts w:ascii="Calibri" w:hAnsi="Calibri"/>
        </w:rPr>
        <w:tab/>
        <w:t xml:space="preserve">May CR, Eton DT, Boehmer K, </w:t>
      </w:r>
      <w:proofErr w:type="spellStart"/>
      <w:r w:rsidRPr="008C4C05">
        <w:rPr>
          <w:rFonts w:ascii="Calibri" w:hAnsi="Calibri"/>
        </w:rPr>
        <w:t>Gallacher</w:t>
      </w:r>
      <w:proofErr w:type="spellEnd"/>
      <w:r w:rsidRPr="008C4C05">
        <w:rPr>
          <w:rFonts w:ascii="Calibri" w:hAnsi="Calibri"/>
        </w:rPr>
        <w:t xml:space="preserve"> K, Hunt K, MacDonald S, </w:t>
      </w:r>
      <w:r w:rsidRPr="008C4C05">
        <w:rPr>
          <w:rFonts w:ascii="Calibri" w:hAnsi="Calibri"/>
          <w:i/>
          <w:iCs/>
        </w:rPr>
        <w:t>et al.</w:t>
      </w:r>
      <w:r w:rsidRPr="008C4C05">
        <w:rPr>
          <w:rFonts w:ascii="Calibri" w:hAnsi="Calibri"/>
        </w:rPr>
        <w:t xml:space="preserve"> Rethinking the patient: using Burden of Treatment Theory to understand the changing dynamics of illness. </w:t>
      </w:r>
      <w:r w:rsidRPr="008C4C05">
        <w:rPr>
          <w:rFonts w:ascii="Calibri" w:hAnsi="Calibri"/>
          <w:i/>
          <w:iCs/>
        </w:rPr>
        <w:t>BMC Health Services Research</w:t>
      </w:r>
      <w:r w:rsidRPr="008C4C05">
        <w:rPr>
          <w:rFonts w:ascii="Calibri" w:hAnsi="Calibri"/>
        </w:rPr>
        <w:t xml:space="preserve"> 2014;</w:t>
      </w:r>
      <w:r w:rsidRPr="008C4C05">
        <w:rPr>
          <w:rFonts w:ascii="Calibri" w:hAnsi="Calibri"/>
          <w:b/>
          <w:bCs/>
        </w:rPr>
        <w:t>14</w:t>
      </w:r>
      <w:r w:rsidRPr="008C4C05">
        <w:rPr>
          <w:rFonts w:ascii="Calibri" w:hAnsi="Calibri"/>
        </w:rPr>
        <w:t>:281. https://doi.org/10.1186/1472-6963-14-281.</w:t>
      </w:r>
    </w:p>
    <w:p w14:paraId="209F544D" w14:textId="77777777" w:rsidR="008C4C05" w:rsidRPr="00D74EFC" w:rsidRDefault="008C4C05" w:rsidP="008C4C05">
      <w:pPr>
        <w:pStyle w:val="Bibliography"/>
        <w:rPr>
          <w:rFonts w:ascii="Calibri" w:hAnsi="Calibri"/>
          <w:lang w:val="nl-NL"/>
        </w:rPr>
      </w:pPr>
      <w:r w:rsidRPr="008C4C05">
        <w:rPr>
          <w:rFonts w:ascii="Calibri" w:hAnsi="Calibri"/>
        </w:rPr>
        <w:t>195</w:t>
      </w:r>
      <w:r w:rsidRPr="008C4C05">
        <w:rPr>
          <w:rFonts w:ascii="Calibri" w:hAnsi="Calibri"/>
        </w:rPr>
        <w:tab/>
        <w:t xml:space="preserve">Mair FS, May CR. Thinking about the burden of treatment. </w:t>
      </w:r>
      <w:r w:rsidRPr="00D74EFC">
        <w:rPr>
          <w:rFonts w:ascii="Calibri" w:hAnsi="Calibri"/>
          <w:i/>
          <w:iCs/>
          <w:lang w:val="nl-NL"/>
        </w:rPr>
        <w:t>BMJ</w:t>
      </w:r>
      <w:r w:rsidRPr="00D74EFC">
        <w:rPr>
          <w:rFonts w:ascii="Calibri" w:hAnsi="Calibri"/>
          <w:lang w:val="nl-NL"/>
        </w:rPr>
        <w:t xml:space="preserve"> 2014;</w:t>
      </w:r>
      <w:r w:rsidRPr="00D74EFC">
        <w:rPr>
          <w:rFonts w:ascii="Calibri" w:hAnsi="Calibri"/>
          <w:b/>
          <w:bCs/>
          <w:lang w:val="nl-NL"/>
        </w:rPr>
        <w:t>349</w:t>
      </w:r>
      <w:r w:rsidRPr="00D74EFC">
        <w:rPr>
          <w:rFonts w:ascii="Calibri" w:hAnsi="Calibri"/>
          <w:lang w:val="nl-NL"/>
        </w:rPr>
        <w:t>:g6680. https://doi.org/10.1136/bmj.g6680.</w:t>
      </w:r>
    </w:p>
    <w:p w14:paraId="1B71E32B" w14:textId="77777777" w:rsidR="008C4C05" w:rsidRPr="008C4C05" w:rsidRDefault="008C4C05" w:rsidP="008C4C05">
      <w:pPr>
        <w:pStyle w:val="Bibliography"/>
        <w:rPr>
          <w:rFonts w:ascii="Calibri" w:hAnsi="Calibri"/>
        </w:rPr>
      </w:pPr>
      <w:r w:rsidRPr="008C4C05">
        <w:rPr>
          <w:rFonts w:ascii="Calibri" w:hAnsi="Calibri"/>
        </w:rPr>
        <w:t>196</w:t>
      </w:r>
      <w:r w:rsidRPr="008C4C05">
        <w:rPr>
          <w:rFonts w:ascii="Calibri" w:hAnsi="Calibri"/>
        </w:rPr>
        <w:tab/>
        <w:t xml:space="preserve">Pollock K, Caswell. G, Avery, A.J, Faull, C. Family and health care professionals managing medicines for patients with serious and terminal illness at home: a qualitative study. </w:t>
      </w:r>
      <w:r w:rsidRPr="008C4C05">
        <w:rPr>
          <w:rFonts w:ascii="Calibri" w:hAnsi="Calibri"/>
          <w:i/>
          <w:iCs/>
        </w:rPr>
        <w:t>Health Services and Delivery Research</w:t>
      </w:r>
      <w:r w:rsidRPr="008C4C05">
        <w:rPr>
          <w:rFonts w:ascii="Calibri" w:hAnsi="Calibri"/>
        </w:rPr>
        <w:t xml:space="preserve"> In press;</w:t>
      </w:r>
      <w:r w:rsidRPr="008C4C05">
        <w:rPr>
          <w:rFonts w:ascii="Calibri" w:hAnsi="Calibri"/>
          <w:b/>
          <w:bCs/>
        </w:rPr>
        <w:t>9</w:t>
      </w:r>
      <w:r w:rsidRPr="008C4C05">
        <w:rPr>
          <w:rFonts w:ascii="Calibri" w:hAnsi="Calibri"/>
        </w:rPr>
        <w:t>:.</w:t>
      </w:r>
    </w:p>
    <w:p w14:paraId="7B24B040" w14:textId="77777777" w:rsidR="008C4C05" w:rsidRPr="008C4C05" w:rsidRDefault="008C4C05" w:rsidP="008C4C05">
      <w:pPr>
        <w:pStyle w:val="Bibliography"/>
        <w:rPr>
          <w:rFonts w:ascii="Calibri" w:hAnsi="Calibri"/>
        </w:rPr>
      </w:pPr>
      <w:r w:rsidRPr="008C4C05">
        <w:rPr>
          <w:rFonts w:ascii="Calibri" w:hAnsi="Calibri"/>
        </w:rPr>
        <w:t>197</w:t>
      </w:r>
      <w:r w:rsidRPr="008C4C05">
        <w:rPr>
          <w:rFonts w:ascii="Calibri" w:hAnsi="Calibri"/>
        </w:rPr>
        <w:tab/>
      </w:r>
      <w:proofErr w:type="spellStart"/>
      <w:r w:rsidRPr="008C4C05">
        <w:rPr>
          <w:rFonts w:ascii="Calibri" w:hAnsi="Calibri"/>
        </w:rPr>
        <w:t>Sudore</w:t>
      </w:r>
      <w:proofErr w:type="spellEnd"/>
      <w:r w:rsidRPr="008C4C05">
        <w:rPr>
          <w:rFonts w:ascii="Calibri" w:hAnsi="Calibri"/>
        </w:rPr>
        <w:t xml:space="preserve"> RL, Fried TR. Redefining the ‘planning’ in advance care planning: preparing for end-of-life decision making. </w:t>
      </w:r>
      <w:r w:rsidRPr="008C4C05">
        <w:rPr>
          <w:rFonts w:ascii="Calibri" w:hAnsi="Calibri"/>
          <w:i/>
          <w:iCs/>
        </w:rPr>
        <w:t>Ann Intern Med</w:t>
      </w:r>
      <w:r w:rsidRPr="008C4C05">
        <w:rPr>
          <w:rFonts w:ascii="Calibri" w:hAnsi="Calibri"/>
        </w:rPr>
        <w:t xml:space="preserve"> 2010;</w:t>
      </w:r>
      <w:r w:rsidRPr="008C4C05">
        <w:rPr>
          <w:rFonts w:ascii="Calibri" w:hAnsi="Calibri"/>
          <w:b/>
          <w:bCs/>
        </w:rPr>
        <w:t>153</w:t>
      </w:r>
      <w:r w:rsidRPr="008C4C05">
        <w:rPr>
          <w:rFonts w:ascii="Calibri" w:hAnsi="Calibri"/>
        </w:rPr>
        <w:t>:256–61. https://doi.org/10.7326/0003-4819-153-4-201008170-00008.</w:t>
      </w:r>
    </w:p>
    <w:p w14:paraId="498A79F7" w14:textId="77777777" w:rsidR="008C4C05" w:rsidRPr="008C4C05" w:rsidRDefault="008C4C05" w:rsidP="008C4C05">
      <w:pPr>
        <w:pStyle w:val="Bibliography"/>
        <w:rPr>
          <w:rFonts w:ascii="Calibri" w:hAnsi="Calibri"/>
        </w:rPr>
      </w:pPr>
      <w:r w:rsidRPr="008C4C05">
        <w:rPr>
          <w:rFonts w:ascii="Calibri" w:hAnsi="Calibri"/>
        </w:rPr>
        <w:t>198</w:t>
      </w:r>
      <w:r w:rsidRPr="008C4C05">
        <w:rPr>
          <w:rFonts w:ascii="Calibri" w:hAnsi="Calibri"/>
        </w:rPr>
        <w:tab/>
      </w:r>
      <w:r w:rsidRPr="008C4C05">
        <w:rPr>
          <w:rFonts w:ascii="Calibri" w:hAnsi="Calibri"/>
          <w:i/>
          <w:iCs/>
        </w:rPr>
        <w:t>Making Research Matter, By Tara Lamont</w:t>
      </w:r>
      <w:r w:rsidRPr="008C4C05">
        <w:rPr>
          <w:rFonts w:ascii="Calibri" w:hAnsi="Calibri"/>
        </w:rPr>
        <w:t>. Policy Press. n.d. URL: https://policy.bristoluniversitypress.co.uk/making-research-matter (Accessed 16 November 2021).</w:t>
      </w:r>
    </w:p>
    <w:p w14:paraId="6075D62A" w14:textId="77777777" w:rsidR="008C4C05" w:rsidRPr="008C4C05" w:rsidRDefault="008C4C05" w:rsidP="008C4C05">
      <w:pPr>
        <w:pStyle w:val="Bibliography"/>
        <w:rPr>
          <w:rFonts w:ascii="Calibri" w:hAnsi="Calibri"/>
        </w:rPr>
      </w:pPr>
      <w:r w:rsidRPr="008C4C05">
        <w:rPr>
          <w:rFonts w:ascii="Calibri" w:hAnsi="Calibri"/>
        </w:rPr>
        <w:t>199</w:t>
      </w:r>
      <w:r w:rsidRPr="008C4C05">
        <w:rPr>
          <w:rFonts w:ascii="Calibri" w:hAnsi="Calibri"/>
        </w:rPr>
        <w:tab/>
        <w:t xml:space="preserve">Hawkes CA, Fritz Z, Deas G, </w:t>
      </w:r>
      <w:proofErr w:type="spellStart"/>
      <w:r w:rsidRPr="008C4C05">
        <w:rPr>
          <w:rFonts w:ascii="Calibri" w:hAnsi="Calibri"/>
        </w:rPr>
        <w:t>Ahmedzai</w:t>
      </w:r>
      <w:proofErr w:type="spellEnd"/>
      <w:r w:rsidRPr="008C4C05">
        <w:rPr>
          <w:rFonts w:ascii="Calibri" w:hAnsi="Calibri"/>
        </w:rPr>
        <w:t xml:space="preserve"> SH, Richardson A, Pitcher D, </w:t>
      </w:r>
      <w:r w:rsidRPr="008C4C05">
        <w:rPr>
          <w:rFonts w:ascii="Calibri" w:hAnsi="Calibri"/>
          <w:i/>
          <w:iCs/>
        </w:rPr>
        <w:t>et al.</w:t>
      </w:r>
      <w:r w:rsidRPr="008C4C05">
        <w:rPr>
          <w:rFonts w:ascii="Calibri" w:hAnsi="Calibri"/>
        </w:rPr>
        <w:t xml:space="preserve"> Development of the Recommended Summary Plan for </w:t>
      </w:r>
      <w:proofErr w:type="spellStart"/>
      <w:r w:rsidRPr="008C4C05">
        <w:rPr>
          <w:rFonts w:ascii="Calibri" w:hAnsi="Calibri"/>
        </w:rPr>
        <w:t>eEmergency</w:t>
      </w:r>
      <w:proofErr w:type="spellEnd"/>
      <w:r w:rsidRPr="008C4C05">
        <w:rPr>
          <w:rFonts w:ascii="Calibri" w:hAnsi="Calibri"/>
        </w:rPr>
        <w:t xml:space="preserve"> Care and Treatment (</w:t>
      </w:r>
      <w:proofErr w:type="spellStart"/>
      <w:r w:rsidRPr="008C4C05">
        <w:rPr>
          <w:rFonts w:ascii="Calibri" w:hAnsi="Calibri"/>
        </w:rPr>
        <w:t>ReSPECT</w:t>
      </w:r>
      <w:proofErr w:type="spellEnd"/>
      <w:r w:rsidRPr="008C4C05">
        <w:rPr>
          <w:rFonts w:ascii="Calibri" w:hAnsi="Calibri"/>
        </w:rPr>
        <w:t xml:space="preserve">). </w:t>
      </w:r>
      <w:r w:rsidRPr="008C4C05">
        <w:rPr>
          <w:rFonts w:ascii="Calibri" w:hAnsi="Calibri"/>
          <w:i/>
          <w:iCs/>
        </w:rPr>
        <w:t>Resuscitation</w:t>
      </w:r>
      <w:r w:rsidRPr="008C4C05">
        <w:rPr>
          <w:rFonts w:ascii="Calibri" w:hAnsi="Calibri"/>
        </w:rPr>
        <w:t xml:space="preserve"> 2020;</w:t>
      </w:r>
      <w:r w:rsidRPr="008C4C05">
        <w:rPr>
          <w:rFonts w:ascii="Calibri" w:hAnsi="Calibri"/>
          <w:b/>
          <w:bCs/>
        </w:rPr>
        <w:t>148</w:t>
      </w:r>
      <w:r w:rsidRPr="008C4C05">
        <w:rPr>
          <w:rFonts w:ascii="Calibri" w:hAnsi="Calibri"/>
        </w:rPr>
        <w:t>:98–107. https://doi.org/10.1016/j.resuscitation.2020.01.003.</w:t>
      </w:r>
    </w:p>
    <w:p w14:paraId="23A5F681" w14:textId="77777777" w:rsidR="008C4C05" w:rsidRPr="008C4C05" w:rsidRDefault="008C4C05" w:rsidP="008C4C05">
      <w:pPr>
        <w:pStyle w:val="Bibliography"/>
        <w:rPr>
          <w:rFonts w:ascii="Calibri" w:hAnsi="Calibri"/>
        </w:rPr>
      </w:pPr>
      <w:r w:rsidRPr="008C4C05">
        <w:rPr>
          <w:rFonts w:ascii="Calibri" w:hAnsi="Calibri"/>
        </w:rPr>
        <w:t>200</w:t>
      </w:r>
      <w:r w:rsidRPr="008C4C05">
        <w:rPr>
          <w:rFonts w:ascii="Calibri" w:hAnsi="Calibri"/>
        </w:rPr>
        <w:tab/>
      </w:r>
      <w:proofErr w:type="spellStart"/>
      <w:r w:rsidRPr="008C4C05">
        <w:rPr>
          <w:rFonts w:ascii="Calibri" w:hAnsi="Calibri"/>
        </w:rPr>
        <w:t>Adaval</w:t>
      </w:r>
      <w:proofErr w:type="spellEnd"/>
      <w:r w:rsidRPr="008C4C05">
        <w:rPr>
          <w:rFonts w:ascii="Calibri" w:hAnsi="Calibri"/>
        </w:rPr>
        <w:t xml:space="preserve"> R, </w:t>
      </w:r>
      <w:proofErr w:type="spellStart"/>
      <w:r w:rsidRPr="008C4C05">
        <w:rPr>
          <w:rFonts w:ascii="Calibri" w:hAnsi="Calibri"/>
        </w:rPr>
        <w:t>Wyer</w:t>
      </w:r>
      <w:proofErr w:type="spellEnd"/>
      <w:r w:rsidRPr="008C4C05">
        <w:rPr>
          <w:rFonts w:ascii="Calibri" w:hAnsi="Calibri"/>
        </w:rPr>
        <w:t xml:space="preserve"> RS. The Role of Narratives in Consumer Information Processing. </w:t>
      </w:r>
      <w:r w:rsidRPr="008C4C05">
        <w:rPr>
          <w:rFonts w:ascii="Calibri" w:hAnsi="Calibri"/>
          <w:i/>
          <w:iCs/>
        </w:rPr>
        <w:t>Journal of Consumer Psychology</w:t>
      </w:r>
      <w:r w:rsidRPr="008C4C05">
        <w:rPr>
          <w:rFonts w:ascii="Calibri" w:hAnsi="Calibri"/>
        </w:rPr>
        <w:t xml:space="preserve"> 1998;</w:t>
      </w:r>
      <w:r w:rsidRPr="008C4C05">
        <w:rPr>
          <w:rFonts w:ascii="Calibri" w:hAnsi="Calibri"/>
          <w:b/>
          <w:bCs/>
        </w:rPr>
        <w:t>7</w:t>
      </w:r>
      <w:r w:rsidRPr="008C4C05">
        <w:rPr>
          <w:rFonts w:ascii="Calibri" w:hAnsi="Calibri"/>
        </w:rPr>
        <w:t>:207–45. https://doi.org/10.1207/s15327663jcp0703_01.</w:t>
      </w:r>
    </w:p>
    <w:p w14:paraId="30EE8642" w14:textId="77777777" w:rsidR="008C4C05" w:rsidRPr="008C4C05" w:rsidRDefault="008C4C05" w:rsidP="008C4C05">
      <w:pPr>
        <w:pStyle w:val="Bibliography"/>
        <w:rPr>
          <w:rFonts w:ascii="Calibri" w:hAnsi="Calibri"/>
        </w:rPr>
      </w:pPr>
      <w:r w:rsidRPr="008C4C05">
        <w:rPr>
          <w:rFonts w:ascii="Calibri" w:hAnsi="Calibri"/>
        </w:rPr>
        <w:t>201</w:t>
      </w:r>
      <w:r w:rsidRPr="008C4C05">
        <w:rPr>
          <w:rFonts w:ascii="Calibri" w:hAnsi="Calibri"/>
        </w:rPr>
        <w:tab/>
      </w:r>
      <w:proofErr w:type="spellStart"/>
      <w:r w:rsidRPr="008C4C05">
        <w:rPr>
          <w:rFonts w:ascii="Calibri" w:hAnsi="Calibri"/>
        </w:rPr>
        <w:t>Saffran</w:t>
      </w:r>
      <w:proofErr w:type="spellEnd"/>
      <w:r w:rsidRPr="008C4C05">
        <w:rPr>
          <w:rFonts w:ascii="Calibri" w:hAnsi="Calibri"/>
        </w:rPr>
        <w:t xml:space="preserve"> L. Public health storytelling practice. </w:t>
      </w:r>
      <w:r w:rsidRPr="008C4C05">
        <w:rPr>
          <w:rFonts w:ascii="Calibri" w:hAnsi="Calibri"/>
          <w:i/>
          <w:iCs/>
        </w:rPr>
        <w:t>The Lancet</w:t>
      </w:r>
      <w:r w:rsidRPr="008C4C05">
        <w:rPr>
          <w:rFonts w:ascii="Calibri" w:hAnsi="Calibri"/>
        </w:rPr>
        <w:t xml:space="preserve"> 2021;</w:t>
      </w:r>
      <w:r w:rsidRPr="008C4C05">
        <w:rPr>
          <w:rFonts w:ascii="Calibri" w:hAnsi="Calibri"/>
          <w:b/>
          <w:bCs/>
        </w:rPr>
        <w:t>397</w:t>
      </w:r>
      <w:r w:rsidRPr="008C4C05">
        <w:rPr>
          <w:rFonts w:ascii="Calibri" w:hAnsi="Calibri"/>
        </w:rPr>
        <w:t>:1536–7. https://doi.org/10.1016/S0140-6736(21)00841-2.</w:t>
      </w:r>
    </w:p>
    <w:p w14:paraId="49A1722F" w14:textId="77777777" w:rsidR="008C4C05" w:rsidRPr="00D74EFC" w:rsidRDefault="008C4C05" w:rsidP="008C4C05">
      <w:pPr>
        <w:pStyle w:val="Bibliography"/>
        <w:rPr>
          <w:rFonts w:ascii="Calibri" w:hAnsi="Calibri"/>
          <w:lang w:val="nl-NL"/>
        </w:rPr>
      </w:pPr>
      <w:r w:rsidRPr="008C4C05">
        <w:rPr>
          <w:rFonts w:ascii="Calibri" w:hAnsi="Calibri"/>
        </w:rPr>
        <w:t>202</w:t>
      </w:r>
      <w:r w:rsidRPr="008C4C05">
        <w:rPr>
          <w:rFonts w:ascii="Calibri" w:hAnsi="Calibri"/>
        </w:rPr>
        <w:tab/>
      </w:r>
      <w:proofErr w:type="spellStart"/>
      <w:r w:rsidRPr="008C4C05">
        <w:rPr>
          <w:rFonts w:ascii="Calibri" w:hAnsi="Calibri"/>
        </w:rPr>
        <w:t>Petraglia</w:t>
      </w:r>
      <w:proofErr w:type="spellEnd"/>
      <w:r w:rsidRPr="008C4C05">
        <w:rPr>
          <w:rFonts w:ascii="Calibri" w:hAnsi="Calibri"/>
        </w:rPr>
        <w:t xml:space="preserve"> J. Narrative intervention in </w:t>
      </w:r>
      <w:proofErr w:type="spellStart"/>
      <w:r w:rsidRPr="008C4C05">
        <w:rPr>
          <w:rFonts w:ascii="Calibri" w:hAnsi="Calibri"/>
        </w:rPr>
        <w:t>behavior</w:t>
      </w:r>
      <w:proofErr w:type="spellEnd"/>
      <w:r w:rsidRPr="008C4C05">
        <w:rPr>
          <w:rFonts w:ascii="Calibri" w:hAnsi="Calibri"/>
        </w:rPr>
        <w:t xml:space="preserve"> and public health. </w:t>
      </w:r>
      <w:r w:rsidRPr="00D74EFC">
        <w:rPr>
          <w:rFonts w:ascii="Calibri" w:hAnsi="Calibri"/>
          <w:i/>
          <w:iCs/>
          <w:lang w:val="nl-NL"/>
        </w:rPr>
        <w:t xml:space="preserve">J Health </w:t>
      </w:r>
      <w:proofErr w:type="spellStart"/>
      <w:r w:rsidRPr="00D74EFC">
        <w:rPr>
          <w:rFonts w:ascii="Calibri" w:hAnsi="Calibri"/>
          <w:i/>
          <w:iCs/>
          <w:lang w:val="nl-NL"/>
        </w:rPr>
        <w:t>Commun</w:t>
      </w:r>
      <w:proofErr w:type="spellEnd"/>
      <w:r w:rsidRPr="00D74EFC">
        <w:rPr>
          <w:rFonts w:ascii="Calibri" w:hAnsi="Calibri"/>
          <w:lang w:val="nl-NL"/>
        </w:rPr>
        <w:t xml:space="preserve"> 2007;</w:t>
      </w:r>
      <w:r w:rsidRPr="00D74EFC">
        <w:rPr>
          <w:rFonts w:ascii="Calibri" w:hAnsi="Calibri"/>
          <w:b/>
          <w:bCs/>
          <w:lang w:val="nl-NL"/>
        </w:rPr>
        <w:t>12</w:t>
      </w:r>
      <w:r w:rsidRPr="00D74EFC">
        <w:rPr>
          <w:rFonts w:ascii="Calibri" w:hAnsi="Calibri"/>
          <w:lang w:val="nl-NL"/>
        </w:rPr>
        <w:t>:493–505. https://doi.org/10.1080/10810730701441371.</w:t>
      </w:r>
    </w:p>
    <w:p w14:paraId="51A6579B" w14:textId="77777777" w:rsidR="008C4C05" w:rsidRPr="008C4C05" w:rsidRDefault="008C4C05" w:rsidP="008C4C05">
      <w:pPr>
        <w:pStyle w:val="Bibliography"/>
        <w:rPr>
          <w:rFonts w:ascii="Calibri" w:hAnsi="Calibri"/>
        </w:rPr>
      </w:pPr>
      <w:r w:rsidRPr="00D74EFC">
        <w:rPr>
          <w:rFonts w:ascii="Calibri" w:hAnsi="Calibri"/>
          <w:lang w:val="nl-NL"/>
        </w:rPr>
        <w:t>203</w:t>
      </w:r>
      <w:r w:rsidRPr="00D74EFC">
        <w:rPr>
          <w:rFonts w:ascii="Calibri" w:hAnsi="Calibri"/>
          <w:lang w:val="nl-NL"/>
        </w:rPr>
        <w:tab/>
      </w:r>
      <w:proofErr w:type="spellStart"/>
      <w:r w:rsidRPr="00D74EFC">
        <w:rPr>
          <w:rFonts w:ascii="Calibri" w:hAnsi="Calibri"/>
          <w:lang w:val="nl-NL"/>
        </w:rPr>
        <w:t>Milota</w:t>
      </w:r>
      <w:proofErr w:type="spellEnd"/>
      <w:r w:rsidRPr="00D74EFC">
        <w:rPr>
          <w:rFonts w:ascii="Calibri" w:hAnsi="Calibri"/>
          <w:lang w:val="nl-NL"/>
        </w:rPr>
        <w:t xml:space="preserve"> MM, van Thiel GJMW, van Delden JJM. </w:t>
      </w:r>
      <w:r w:rsidRPr="008C4C05">
        <w:rPr>
          <w:rFonts w:ascii="Calibri" w:hAnsi="Calibri"/>
        </w:rPr>
        <w:t xml:space="preserve">Narrative medicine as a medical education tool: A systematic review. </w:t>
      </w:r>
      <w:r w:rsidRPr="008C4C05">
        <w:rPr>
          <w:rFonts w:ascii="Calibri" w:hAnsi="Calibri"/>
          <w:i/>
          <w:iCs/>
        </w:rPr>
        <w:t>Med Teach</w:t>
      </w:r>
      <w:r w:rsidRPr="008C4C05">
        <w:rPr>
          <w:rFonts w:ascii="Calibri" w:hAnsi="Calibri"/>
        </w:rPr>
        <w:t xml:space="preserve"> 2019;</w:t>
      </w:r>
      <w:r w:rsidRPr="008C4C05">
        <w:rPr>
          <w:rFonts w:ascii="Calibri" w:hAnsi="Calibri"/>
          <w:b/>
          <w:bCs/>
        </w:rPr>
        <w:t>41</w:t>
      </w:r>
      <w:r w:rsidRPr="008C4C05">
        <w:rPr>
          <w:rFonts w:ascii="Calibri" w:hAnsi="Calibri"/>
        </w:rPr>
        <w:t>:802–10. https://doi.org/10.1080/0142159X.2019.1584274.</w:t>
      </w:r>
    </w:p>
    <w:p w14:paraId="757BA9AD" w14:textId="77777777" w:rsidR="008C4C05" w:rsidRPr="008C4C05" w:rsidRDefault="008C4C05" w:rsidP="008C4C05">
      <w:pPr>
        <w:pStyle w:val="Bibliography"/>
        <w:rPr>
          <w:rFonts w:ascii="Calibri" w:hAnsi="Calibri"/>
        </w:rPr>
      </w:pPr>
      <w:r w:rsidRPr="008C4C05">
        <w:rPr>
          <w:rFonts w:ascii="Calibri" w:hAnsi="Calibri"/>
        </w:rPr>
        <w:t>204</w:t>
      </w:r>
      <w:r w:rsidRPr="008C4C05">
        <w:rPr>
          <w:rFonts w:ascii="Calibri" w:hAnsi="Calibri"/>
        </w:rPr>
        <w:tab/>
        <w:t xml:space="preserve">NHS. </w:t>
      </w:r>
      <w:r w:rsidRPr="008C4C05">
        <w:rPr>
          <w:rFonts w:ascii="Calibri" w:hAnsi="Calibri"/>
          <w:i/>
          <w:iCs/>
        </w:rPr>
        <w:t>The NHS Long term Plan</w:t>
      </w:r>
      <w:r w:rsidRPr="008C4C05">
        <w:rPr>
          <w:rFonts w:ascii="Calibri" w:hAnsi="Calibri"/>
        </w:rPr>
        <w:t>. n.d. URL: https://www.longtermplan.nhs.uk/wp-content/uploads/2019/08/nhs-long-term-plan-version-1.2.pdf.</w:t>
      </w:r>
    </w:p>
    <w:p w14:paraId="0578E21F" w14:textId="24293FEB" w:rsidR="0087146C" w:rsidRPr="000F7E56" w:rsidRDefault="0087146C" w:rsidP="000F7E56">
      <w:pPr>
        <w:rPr>
          <w:rFonts w:ascii="Calibri" w:eastAsia="Calibri" w:hAnsi="Calibri" w:cs="Calibri"/>
        </w:rPr>
        <w:sectPr w:rsidR="0087146C" w:rsidRPr="000F7E56" w:rsidSect="000F7E56">
          <w:pgSz w:w="11906" w:h="16838"/>
          <w:pgMar w:top="1440" w:right="1134" w:bottom="1440" w:left="1134" w:header="709" w:footer="709" w:gutter="0"/>
          <w:cols w:space="708"/>
          <w:docGrid w:linePitch="360"/>
        </w:sectPr>
      </w:pPr>
      <w:r>
        <w:rPr>
          <w:rFonts w:ascii="Calibri" w:eastAsia="Calibri" w:hAnsi="Calibri" w:cs="Calibri"/>
        </w:rPr>
        <w:fldChar w:fldCharType="end"/>
      </w:r>
    </w:p>
    <w:p w14:paraId="098768C7" w14:textId="77777777" w:rsidR="000F7E56" w:rsidRPr="000F7E56" w:rsidRDefault="000F7E56" w:rsidP="000F7E56">
      <w:pPr>
        <w:keepNext/>
        <w:keepLines/>
        <w:spacing w:before="320" w:after="120" w:line="240" w:lineRule="auto"/>
        <w:jc w:val="center"/>
        <w:outlineLvl w:val="0"/>
        <w:rPr>
          <w:rFonts w:ascii="Calibri Light" w:eastAsia="SimSun" w:hAnsi="Calibri Light" w:cs="Times New Roman"/>
          <w:color w:val="2E74B5"/>
          <w:sz w:val="56"/>
          <w:szCs w:val="32"/>
          <w:lang w:eastAsia="en-GB"/>
        </w:rPr>
      </w:pPr>
      <w:bookmarkStart w:id="469" w:name="_Toc106697878"/>
      <w:r w:rsidRPr="000F7E56">
        <w:rPr>
          <w:rFonts w:ascii="Calibri Light" w:eastAsia="SimSun" w:hAnsi="Calibri Light" w:cs="Times New Roman"/>
          <w:color w:val="2E74B5"/>
          <w:sz w:val="56"/>
          <w:szCs w:val="32"/>
          <w:lang w:eastAsia="en-GB"/>
        </w:rPr>
        <w:lastRenderedPageBreak/>
        <w:t>Appendices</w:t>
      </w:r>
      <w:bookmarkEnd w:id="469"/>
    </w:p>
    <w:p w14:paraId="2ACB3F89" w14:textId="0A0311A8" w:rsidR="000F7E56" w:rsidRDefault="000F7E56" w:rsidP="000F7E56">
      <w:pPr>
        <w:keepNext/>
        <w:keepLines/>
        <w:spacing w:before="320" w:after="120" w:line="240" w:lineRule="auto"/>
        <w:outlineLvl w:val="0"/>
        <w:rPr>
          <w:rFonts w:ascii="Calibri Light" w:eastAsia="SimSun" w:hAnsi="Calibri Light" w:cs="Times New Roman"/>
          <w:color w:val="2E74B5"/>
          <w:lang w:eastAsia="en-GB"/>
        </w:rPr>
      </w:pPr>
      <w:bookmarkStart w:id="470" w:name="_Toc106697879"/>
      <w:r w:rsidRPr="000F7E56">
        <w:rPr>
          <w:rFonts w:ascii="Calibri Light" w:eastAsia="SimSun" w:hAnsi="Calibri Light" w:cs="Times New Roman"/>
          <w:color w:val="2E74B5"/>
          <w:lang w:eastAsia="en-GB"/>
        </w:rPr>
        <w:t>Appendix 1 Workshop stories</w:t>
      </w:r>
      <w:bookmarkEnd w:id="470"/>
    </w:p>
    <w:p w14:paraId="525128CF" w14:textId="77777777" w:rsidR="000F7E56" w:rsidRPr="006E25AF" w:rsidRDefault="000F7E56" w:rsidP="000F7E56">
      <w:pPr>
        <w:pBdr>
          <w:top w:val="single" w:sz="4" w:space="1" w:color="auto"/>
          <w:left w:val="single" w:sz="4" w:space="4" w:color="auto"/>
          <w:bottom w:val="single" w:sz="4" w:space="1" w:color="auto"/>
          <w:right w:val="single" w:sz="4" w:space="4" w:color="auto"/>
        </w:pBdr>
        <w:spacing w:after="200" w:line="276" w:lineRule="auto"/>
        <w:rPr>
          <w:rFonts w:eastAsia="Calibri" w:cstheme="minorHAnsi"/>
        </w:rPr>
      </w:pPr>
      <w:r w:rsidRPr="006E25AF">
        <w:rPr>
          <w:rFonts w:eastAsia="Calibri" w:cstheme="minorHAnsi"/>
        </w:rPr>
        <w:t>Story 1: Jay</w:t>
      </w:r>
    </w:p>
    <w:p w14:paraId="0E977654" w14:textId="77777777" w:rsidR="000F7E56" w:rsidRPr="006E25AF" w:rsidRDefault="000F7E56" w:rsidP="000F7E56">
      <w:pPr>
        <w:pBdr>
          <w:top w:val="single" w:sz="4" w:space="1" w:color="auto"/>
          <w:left w:val="single" w:sz="4" w:space="4" w:color="auto"/>
          <w:bottom w:val="single" w:sz="4" w:space="1" w:color="auto"/>
          <w:right w:val="single" w:sz="4" w:space="4" w:color="auto"/>
        </w:pBdr>
        <w:spacing w:after="120" w:line="240" w:lineRule="auto"/>
        <w:rPr>
          <w:rFonts w:eastAsia="Calibri" w:cstheme="minorHAnsi"/>
        </w:rPr>
      </w:pPr>
      <w:r w:rsidRPr="006E25AF">
        <w:rPr>
          <w:rFonts w:eastAsia="Calibri" w:cstheme="minorHAnsi"/>
        </w:rPr>
        <w:t>Jay has prostate cancer and strong family history of the disease. His father died when he was 19 from prostate cancer and since then, as the eldest son, he has supported his mother.  He has also taken over the care of his brother’s children and grandchildren after he died “because that’s what we do in our community”.  The cancer has spread to be in his bones.</w:t>
      </w:r>
    </w:p>
    <w:p w14:paraId="63A321EC" w14:textId="77777777" w:rsidR="000F7E56" w:rsidRPr="006E25AF" w:rsidRDefault="000F7E56" w:rsidP="000F7E56">
      <w:pPr>
        <w:pBdr>
          <w:top w:val="single" w:sz="4" w:space="1" w:color="auto"/>
          <w:left w:val="single" w:sz="4" w:space="4" w:color="auto"/>
          <w:bottom w:val="single" w:sz="4" w:space="1" w:color="auto"/>
          <w:right w:val="single" w:sz="4" w:space="4" w:color="auto"/>
        </w:pBdr>
        <w:spacing w:after="120" w:line="240" w:lineRule="auto"/>
        <w:rPr>
          <w:rFonts w:eastAsia="Calibri" w:cstheme="minorHAnsi"/>
        </w:rPr>
      </w:pPr>
      <w:r w:rsidRPr="006E25AF">
        <w:rPr>
          <w:rFonts w:eastAsia="Calibri" w:cstheme="minorHAnsi"/>
        </w:rPr>
        <w:t>Jay has a strong sense of duty about helping and supporting people from his community affected by cancer. He talks about his own negative experiences firstly in delayed diagnosis and subsequently battling an unresponsive, ignorant and insensitive health service.   For example, he describes how he found his brother was given meat in hospital meals which went against his beliefs as a devout Rastafarian.</w:t>
      </w:r>
    </w:p>
    <w:p w14:paraId="0459376D" w14:textId="77777777" w:rsidR="000F7E56" w:rsidRPr="006E25AF" w:rsidRDefault="000F7E56" w:rsidP="000F7E56">
      <w:pPr>
        <w:pBdr>
          <w:top w:val="single" w:sz="4" w:space="1" w:color="auto"/>
          <w:left w:val="single" w:sz="4" w:space="4" w:color="auto"/>
          <w:bottom w:val="single" w:sz="4" w:space="1" w:color="auto"/>
          <w:right w:val="single" w:sz="4" w:space="4" w:color="auto"/>
        </w:pBdr>
        <w:spacing w:after="120" w:line="240" w:lineRule="auto"/>
        <w:rPr>
          <w:rFonts w:eastAsia="Calibri" w:cstheme="minorHAnsi"/>
        </w:rPr>
      </w:pPr>
      <w:r w:rsidRPr="006E25AF">
        <w:rPr>
          <w:rFonts w:eastAsia="Calibri" w:cstheme="minorHAnsi"/>
        </w:rPr>
        <w:t>Jay told us that he does not think it is helpful to discuss the future or what it holds, they will respond when they need to, when that time is reached.    He wants to avoid adding to family trauma resulting from the many deaths they have experienced.  His wife says that she prefers to focus on the present rather than the future.  Her husband might talk about the future with their youngest son who lives with them but many of his family refuse to talk about this and strongly believe that he won’t die.     He and his wife have both planned their funerals.</w:t>
      </w:r>
    </w:p>
    <w:p w14:paraId="6DAFF828" w14:textId="77777777" w:rsidR="000F7E56" w:rsidRPr="006E25AF" w:rsidRDefault="000F7E56" w:rsidP="000F7E56">
      <w:pPr>
        <w:pBdr>
          <w:top w:val="single" w:sz="4" w:space="1" w:color="auto"/>
          <w:left w:val="single" w:sz="4" w:space="4" w:color="auto"/>
          <w:bottom w:val="single" w:sz="4" w:space="1" w:color="auto"/>
          <w:right w:val="single" w:sz="4" w:space="4" w:color="auto"/>
        </w:pBdr>
        <w:spacing w:after="120" w:line="240" w:lineRule="auto"/>
        <w:rPr>
          <w:rFonts w:eastAsia="Calibri" w:cstheme="minorHAnsi"/>
        </w:rPr>
      </w:pPr>
      <w:r w:rsidRPr="006E25AF">
        <w:rPr>
          <w:rFonts w:eastAsia="Calibri" w:cstheme="minorHAnsi"/>
        </w:rPr>
        <w:t>Jay and his wife have a very strong faith. Jay considers that he has many years to live and that a miracle may yet happen.</w:t>
      </w:r>
    </w:p>
    <w:p w14:paraId="12D01324" w14:textId="77777777" w:rsidR="000F7E56" w:rsidRPr="006E25AF" w:rsidRDefault="000F7E56" w:rsidP="000F7E56">
      <w:pPr>
        <w:pBdr>
          <w:top w:val="single" w:sz="4" w:space="1" w:color="auto"/>
          <w:left w:val="single" w:sz="4" w:space="4" w:color="auto"/>
          <w:bottom w:val="single" w:sz="4" w:space="1" w:color="auto"/>
          <w:right w:val="single" w:sz="4" w:space="4" w:color="auto"/>
        </w:pBdr>
        <w:spacing w:after="120" w:line="240" w:lineRule="auto"/>
        <w:rPr>
          <w:rFonts w:eastAsia="Calibri" w:cstheme="minorHAnsi"/>
        </w:rPr>
      </w:pPr>
      <w:r w:rsidRPr="006E25AF">
        <w:rPr>
          <w:rFonts w:eastAsia="Calibri" w:cstheme="minorHAnsi"/>
        </w:rPr>
        <w:t>Jay has just started going to a hospice day centre.  He finds being at the hospice difficult because seeing people who he considers are less well than himself ‘point to the future’.  Health professionals feel that they have offered Jay the opportunity to discuss the future but that he is not yet ready; he does not see himself as dying, so feels he does not need to talk about dying. Professionals identify that the transition from who he is (advocate and campaigner) to who he is becoming (in his eyes a patient) is painful.</w:t>
      </w:r>
    </w:p>
    <w:p w14:paraId="537B0240" w14:textId="6336BE62" w:rsidR="000F7E56" w:rsidRPr="006E25AF" w:rsidRDefault="000F7E56" w:rsidP="000F7E56">
      <w:pPr>
        <w:pBdr>
          <w:top w:val="single" w:sz="4" w:space="1" w:color="auto"/>
          <w:left w:val="single" w:sz="4" w:space="4" w:color="auto"/>
          <w:bottom w:val="single" w:sz="4" w:space="1" w:color="auto"/>
          <w:right w:val="single" w:sz="4" w:space="4" w:color="auto"/>
        </w:pBdr>
        <w:spacing w:after="120" w:line="240" w:lineRule="auto"/>
        <w:rPr>
          <w:rFonts w:eastAsia="Calibri" w:cstheme="minorHAnsi"/>
          <w:bCs/>
        </w:rPr>
      </w:pPr>
      <w:r w:rsidRPr="006E25AF">
        <w:rPr>
          <w:rFonts w:eastAsia="Calibri" w:cstheme="minorHAnsi"/>
          <w:bCs/>
        </w:rPr>
        <w:t xml:space="preserve">Jay has been having chemotherapy and is attending an appointment with the </w:t>
      </w:r>
      <w:r w:rsidRPr="006E25AF">
        <w:rPr>
          <w:rFonts w:eastAsia="Calibri" w:cstheme="minorHAnsi"/>
          <w:lang w:val="en-US"/>
        </w:rPr>
        <w:t xml:space="preserve">medical oncologist </w:t>
      </w:r>
      <w:r w:rsidRPr="006E25AF">
        <w:rPr>
          <w:rFonts w:eastAsia="Calibri" w:cstheme="minorHAnsi"/>
          <w:bCs/>
        </w:rPr>
        <w:t>today.  Although he is less well and in more pain he does not anticipate that he will need to discuss anything other than treatments that will make him better.</w:t>
      </w:r>
    </w:p>
    <w:p w14:paraId="4632AF96" w14:textId="77777777" w:rsidR="006E25AF" w:rsidRPr="006E25AF" w:rsidRDefault="006E25AF" w:rsidP="000F7E56">
      <w:pPr>
        <w:pBdr>
          <w:top w:val="single" w:sz="4" w:space="1" w:color="auto"/>
          <w:left w:val="single" w:sz="4" w:space="4" w:color="auto"/>
          <w:bottom w:val="single" w:sz="4" w:space="1" w:color="auto"/>
          <w:right w:val="single" w:sz="4" w:space="4" w:color="auto"/>
        </w:pBdr>
        <w:spacing w:after="120" w:line="240" w:lineRule="auto"/>
        <w:rPr>
          <w:rFonts w:eastAsia="Calibri" w:cstheme="minorHAnsi"/>
          <w:bCs/>
        </w:rPr>
      </w:pPr>
    </w:p>
    <w:p w14:paraId="3112379A" w14:textId="0AB9A0D5" w:rsidR="000F7E56" w:rsidRPr="006E25AF" w:rsidRDefault="008F0A6C" w:rsidP="00D74EFC">
      <w:pPr>
        <w:pStyle w:val="Caption"/>
        <w:rPr>
          <w:rFonts w:eastAsia="Calibri"/>
          <w:bCs/>
        </w:rPr>
      </w:pPr>
      <w:bookmarkStart w:id="471" w:name="_Toc106701723"/>
      <w:r>
        <w:t xml:space="preserve">Box </w:t>
      </w:r>
      <w:fldSimple w:instr=" SEQ Box \* ARABIC ">
        <w:r w:rsidR="002E1980">
          <w:rPr>
            <w:noProof/>
          </w:rPr>
          <w:t>3</w:t>
        </w:r>
      </w:fldSimple>
      <w:r>
        <w:t xml:space="preserve"> - Story 1 'Jay'</w:t>
      </w:r>
      <w:bookmarkEnd w:id="471"/>
      <w:r w:rsidR="000F7E56" w:rsidRPr="006E25AF">
        <w:rPr>
          <w:rFonts w:eastAsia="Calibri"/>
          <w:bCs/>
        </w:rPr>
        <w:br w:type="page"/>
      </w:r>
    </w:p>
    <w:p w14:paraId="22EBED6F" w14:textId="77777777" w:rsidR="000F7E56" w:rsidRPr="006E25AF" w:rsidRDefault="000F7E56" w:rsidP="000F7E56">
      <w:pPr>
        <w:pBdr>
          <w:top w:val="single" w:sz="4" w:space="1" w:color="auto"/>
          <w:left w:val="single" w:sz="4" w:space="4" w:color="auto"/>
          <w:bottom w:val="single" w:sz="4" w:space="1" w:color="auto"/>
          <w:right w:val="single" w:sz="4" w:space="4" w:color="auto"/>
        </w:pBdr>
        <w:spacing w:after="200" w:line="276" w:lineRule="auto"/>
        <w:rPr>
          <w:rFonts w:eastAsia="Calibri" w:cstheme="minorHAnsi"/>
        </w:rPr>
      </w:pPr>
      <w:r w:rsidRPr="006E25AF">
        <w:rPr>
          <w:rFonts w:eastAsia="Calibri" w:cstheme="minorHAnsi"/>
        </w:rPr>
        <w:lastRenderedPageBreak/>
        <w:t>Story 2:  Ibrahim version 1</w:t>
      </w:r>
    </w:p>
    <w:p w14:paraId="500070AC" w14:textId="77777777" w:rsidR="000F7E56" w:rsidRPr="006E25AF" w:rsidRDefault="000F7E56" w:rsidP="000F7E56">
      <w:pPr>
        <w:pBdr>
          <w:top w:val="single" w:sz="4" w:space="1" w:color="auto"/>
          <w:left w:val="single" w:sz="4" w:space="4" w:color="auto"/>
          <w:bottom w:val="single" w:sz="4" w:space="1" w:color="auto"/>
          <w:right w:val="single" w:sz="4" w:space="4" w:color="auto"/>
        </w:pBdr>
        <w:spacing w:after="120" w:line="240" w:lineRule="auto"/>
        <w:rPr>
          <w:rFonts w:eastAsia="Calibri" w:cstheme="minorHAnsi"/>
        </w:rPr>
      </w:pPr>
      <w:r w:rsidRPr="006E25AF">
        <w:rPr>
          <w:rFonts w:eastAsia="Calibri" w:cstheme="minorHAnsi"/>
        </w:rPr>
        <w:t xml:space="preserve">Ibrahim is in his late 70s and has </w:t>
      </w:r>
      <w:r w:rsidRPr="006E25AF">
        <w:rPr>
          <w:rFonts w:eastAsia="Calibri" w:cstheme="minorHAnsi"/>
          <w:lang w:val="en"/>
        </w:rPr>
        <w:t>multiple sclerosis (MS)</w:t>
      </w:r>
      <w:r w:rsidRPr="006E25AF">
        <w:rPr>
          <w:rFonts w:eastAsia="Calibri" w:cstheme="minorHAnsi"/>
        </w:rPr>
        <w:t xml:space="preserve"> and diabetes. A condition which affects his muscle strength making him progressively weaker and more disabled. He left school in Pakistan at age 13.  He has lived in the UK for 60 years but needs an interpreter for conversations in English, which is usually his eldest son Arshad.  He is a devout Muslim and a Hafiz* who has memorised the Qur’an. Arshad is the person he turns to for help and he expects that decisions will be made jointly with him, his wife and his son Arshad.  He does not want to think about what will happen as his illness gets worse, but if health professionals advise he will listen and in crisis circumstances he would leave decisions to them.</w:t>
      </w:r>
    </w:p>
    <w:p w14:paraId="3BEF5CE9" w14:textId="77777777" w:rsidR="000F7E56" w:rsidRPr="006E25AF" w:rsidRDefault="000F7E56" w:rsidP="000F7E56">
      <w:pPr>
        <w:pBdr>
          <w:top w:val="single" w:sz="4" w:space="1" w:color="auto"/>
          <w:left w:val="single" w:sz="4" w:space="4" w:color="auto"/>
          <w:bottom w:val="single" w:sz="4" w:space="1" w:color="auto"/>
          <w:right w:val="single" w:sz="4" w:space="4" w:color="auto"/>
        </w:pBdr>
        <w:spacing w:after="120" w:line="240" w:lineRule="auto"/>
        <w:rPr>
          <w:rFonts w:eastAsia="Calibri" w:cstheme="minorHAnsi"/>
        </w:rPr>
      </w:pPr>
      <w:r w:rsidRPr="006E25AF">
        <w:rPr>
          <w:rFonts w:eastAsia="Calibri" w:cstheme="minorHAnsi"/>
        </w:rPr>
        <w:t>Ibrahim’s illness is affecting his abilities.  He needs help for many activities including preparing for his Salat (prayers) 5 times a day.  Islamic and personal duties are very important in the way he and his wife conduct their life. His wife is the main carer for her husband and stresses that this duty is important for her as a good wife and Muslim.  They are both increasingly frail but have declined social care, in part because of the need to time visits around the sunrise and sunset prayers but other factors related to duty and cultural acceptability and community expectations and not wanting to be a burden to others.</w:t>
      </w:r>
    </w:p>
    <w:p w14:paraId="68CC3C18" w14:textId="77777777" w:rsidR="000F7E56" w:rsidRPr="006E25AF" w:rsidRDefault="000F7E56" w:rsidP="000F7E56">
      <w:pPr>
        <w:pBdr>
          <w:top w:val="single" w:sz="4" w:space="1" w:color="auto"/>
          <w:left w:val="single" w:sz="4" w:space="4" w:color="auto"/>
          <w:bottom w:val="single" w:sz="4" w:space="1" w:color="auto"/>
          <w:right w:val="single" w:sz="4" w:space="4" w:color="auto"/>
        </w:pBdr>
        <w:spacing w:after="120" w:line="240" w:lineRule="auto"/>
        <w:rPr>
          <w:rFonts w:eastAsia="Calibri" w:cstheme="minorHAnsi"/>
        </w:rPr>
      </w:pPr>
      <w:r w:rsidRPr="006E25AF">
        <w:rPr>
          <w:rFonts w:eastAsia="Calibri" w:cstheme="minorHAnsi"/>
        </w:rPr>
        <w:t>The specialist nurse has spoken with his son Arshad about the need to decide on Ibrahim’s “resuscitation status”. Arshad has a good understanding of his father’s illness and has taken advice about Islamic acceptability of a ‘do not resuscitate’ decision and is consulting with his siblings.  Arshad feels scrutinised and judged by the community with pressure to always ‘do the right things’ which are acceptable for his parents but also the community.</w:t>
      </w:r>
    </w:p>
    <w:p w14:paraId="7E2A62AB" w14:textId="77777777" w:rsidR="000F7E56" w:rsidRPr="006E25AF" w:rsidRDefault="000F7E56" w:rsidP="000F7E56">
      <w:pPr>
        <w:pBdr>
          <w:top w:val="single" w:sz="4" w:space="1" w:color="auto"/>
          <w:left w:val="single" w:sz="4" w:space="4" w:color="auto"/>
          <w:bottom w:val="single" w:sz="4" w:space="1" w:color="auto"/>
          <w:right w:val="single" w:sz="4" w:space="4" w:color="auto"/>
        </w:pBdr>
        <w:spacing w:after="120" w:line="240" w:lineRule="auto"/>
        <w:rPr>
          <w:rFonts w:eastAsia="Calibri" w:cstheme="minorHAnsi"/>
        </w:rPr>
      </w:pPr>
      <w:r w:rsidRPr="006E25AF">
        <w:rPr>
          <w:rFonts w:eastAsia="Calibri" w:cstheme="minorHAnsi"/>
        </w:rPr>
        <w:t xml:space="preserve">  As Ibrahim’s disease progresses he is likely to experience problems with swallowing and breathing with life threatening consequences.  His nurse is coming today.  He and his wife are worried that he is coughing more and that he may need some treatment for this.</w:t>
      </w:r>
    </w:p>
    <w:p w14:paraId="3B184749" w14:textId="2186DC3E" w:rsidR="000F7E56" w:rsidRPr="006E25AF" w:rsidRDefault="000F7E56" w:rsidP="000F7E56">
      <w:pPr>
        <w:pBdr>
          <w:top w:val="single" w:sz="4" w:space="1" w:color="auto"/>
          <w:left w:val="single" w:sz="4" w:space="4" w:color="auto"/>
          <w:bottom w:val="single" w:sz="4" w:space="1" w:color="auto"/>
          <w:right w:val="single" w:sz="4" w:space="4" w:color="auto"/>
        </w:pBdr>
        <w:spacing w:after="120" w:line="240" w:lineRule="auto"/>
        <w:rPr>
          <w:rFonts w:eastAsia="Calibri" w:cstheme="minorHAnsi"/>
          <w:i/>
        </w:rPr>
      </w:pPr>
      <w:r w:rsidRPr="006E25AF">
        <w:rPr>
          <w:rFonts w:eastAsia="Calibri" w:cstheme="minorHAnsi"/>
        </w:rPr>
        <w:t xml:space="preserve">* </w:t>
      </w:r>
      <w:r w:rsidRPr="006E25AF">
        <w:rPr>
          <w:rFonts w:eastAsia="Calibri" w:cstheme="minorHAnsi"/>
          <w:i/>
        </w:rPr>
        <w:t xml:space="preserve">Hafiz and </w:t>
      </w:r>
      <w:proofErr w:type="spellStart"/>
      <w:r w:rsidRPr="006E25AF">
        <w:rPr>
          <w:rFonts w:eastAsia="Calibri" w:cstheme="minorHAnsi"/>
          <w:i/>
        </w:rPr>
        <w:t>Hafizah</w:t>
      </w:r>
      <w:proofErr w:type="spellEnd"/>
      <w:r w:rsidRPr="006E25AF">
        <w:rPr>
          <w:rFonts w:eastAsia="Calibri" w:cstheme="minorHAnsi"/>
          <w:i/>
        </w:rPr>
        <w:t xml:space="preserve"> are men and women who preserve the purity of the Qur'an. It is believed that someone who memorises the Qur'an will enter Jannah (paradise) along with ten others without question on the day of judgement.  During Ramadhan, </w:t>
      </w:r>
      <w:proofErr w:type="spellStart"/>
      <w:r w:rsidRPr="006E25AF">
        <w:rPr>
          <w:rFonts w:eastAsia="Calibri" w:cstheme="minorHAnsi"/>
          <w:i/>
        </w:rPr>
        <w:t>Huffaz</w:t>
      </w:r>
      <w:proofErr w:type="spellEnd"/>
      <w:r w:rsidRPr="006E25AF">
        <w:rPr>
          <w:rFonts w:eastAsia="Calibri" w:cstheme="minorHAnsi"/>
          <w:i/>
        </w:rPr>
        <w:t xml:space="preserve"> (plural) give those who cannot read the Qur'an the opportunity to listen to the entire Qur'an over the 30 nights and gain many rewards as a result. </w:t>
      </w:r>
    </w:p>
    <w:p w14:paraId="4DBC0CB1" w14:textId="77777777" w:rsidR="006E25AF" w:rsidRPr="006E25AF" w:rsidRDefault="006E25AF" w:rsidP="000F7E56">
      <w:pPr>
        <w:pBdr>
          <w:top w:val="single" w:sz="4" w:space="1" w:color="auto"/>
          <w:left w:val="single" w:sz="4" w:space="4" w:color="auto"/>
          <w:bottom w:val="single" w:sz="4" w:space="1" w:color="auto"/>
          <w:right w:val="single" w:sz="4" w:space="4" w:color="auto"/>
        </w:pBdr>
        <w:spacing w:after="120" w:line="240" w:lineRule="auto"/>
        <w:rPr>
          <w:rFonts w:eastAsia="Calibri" w:cstheme="minorHAnsi"/>
          <w:i/>
        </w:rPr>
      </w:pPr>
    </w:p>
    <w:p w14:paraId="2D739D74" w14:textId="0C8BE14A" w:rsidR="000F7E56" w:rsidRPr="00D74EFC" w:rsidRDefault="009D3F6D" w:rsidP="00D74EFC">
      <w:pPr>
        <w:pStyle w:val="Caption"/>
        <w:rPr>
          <w:rFonts w:eastAsia="Calibri"/>
        </w:rPr>
      </w:pPr>
      <w:bookmarkStart w:id="472" w:name="_Toc106701724"/>
      <w:r>
        <w:t xml:space="preserve">Box </w:t>
      </w:r>
      <w:fldSimple w:instr=" SEQ Box \* ARABIC ">
        <w:r w:rsidR="002E1980">
          <w:rPr>
            <w:noProof/>
          </w:rPr>
          <w:t>4</w:t>
        </w:r>
      </w:fldSimple>
      <w:r>
        <w:t xml:space="preserve"> - Story 2 'Ibrahim Version 1'</w:t>
      </w:r>
      <w:bookmarkEnd w:id="472"/>
      <w:r w:rsidR="000F7E56" w:rsidRPr="00D74EFC">
        <w:rPr>
          <w:rFonts w:eastAsia="Calibri"/>
        </w:rPr>
        <w:br w:type="page"/>
      </w:r>
    </w:p>
    <w:p w14:paraId="476C2E20" w14:textId="77777777" w:rsidR="000F7E56" w:rsidRPr="006E25AF" w:rsidRDefault="000F7E56" w:rsidP="000F7E56">
      <w:pPr>
        <w:pBdr>
          <w:top w:val="single" w:sz="4" w:space="1" w:color="auto"/>
          <w:left w:val="single" w:sz="4" w:space="4" w:color="auto"/>
          <w:bottom w:val="single" w:sz="4" w:space="1" w:color="auto"/>
          <w:right w:val="single" w:sz="4" w:space="4" w:color="auto"/>
        </w:pBdr>
        <w:spacing w:after="120" w:line="240" w:lineRule="auto"/>
        <w:rPr>
          <w:rFonts w:eastAsia="Calibri" w:cstheme="minorHAnsi"/>
        </w:rPr>
      </w:pPr>
      <w:r w:rsidRPr="006E25AF">
        <w:rPr>
          <w:rFonts w:eastAsia="Calibri" w:cstheme="minorHAnsi"/>
        </w:rPr>
        <w:lastRenderedPageBreak/>
        <w:t>Story 2:  Ibrahim version 2</w:t>
      </w:r>
    </w:p>
    <w:p w14:paraId="1C326A4D" w14:textId="77777777" w:rsidR="000F7E56" w:rsidRPr="006E25AF" w:rsidRDefault="000F7E56" w:rsidP="000F7E56">
      <w:pPr>
        <w:pBdr>
          <w:top w:val="single" w:sz="4" w:space="1" w:color="auto"/>
          <w:left w:val="single" w:sz="4" w:space="4" w:color="auto"/>
          <w:bottom w:val="single" w:sz="4" w:space="1" w:color="auto"/>
          <w:right w:val="single" w:sz="4" w:space="4" w:color="auto"/>
        </w:pBdr>
        <w:spacing w:after="120" w:line="240" w:lineRule="auto"/>
        <w:rPr>
          <w:rFonts w:eastAsia="Calibri" w:cstheme="minorHAnsi"/>
        </w:rPr>
      </w:pPr>
      <w:r w:rsidRPr="006E25AF">
        <w:rPr>
          <w:rFonts w:eastAsia="Calibri" w:cstheme="minorHAnsi"/>
        </w:rPr>
        <w:t xml:space="preserve">Ibrahim is a Pakistani man in his late 70s who has advanced </w:t>
      </w:r>
      <w:r w:rsidRPr="006E25AF">
        <w:rPr>
          <w:rFonts w:eastAsia="Calibri" w:cstheme="minorHAnsi"/>
          <w:lang w:val="en"/>
        </w:rPr>
        <w:t>multiple sclerosis (MS)</w:t>
      </w:r>
      <w:r w:rsidRPr="006E25AF">
        <w:rPr>
          <w:rFonts w:eastAsia="Calibri" w:cstheme="minorHAnsi"/>
        </w:rPr>
        <w:t xml:space="preserve"> and diabetes. Due to his disability from the MS he needs help for many activities of daily living including personal care.  His wife is the main carer for her husband.   They are both increasingly frail but they have declined social care.</w:t>
      </w:r>
    </w:p>
    <w:p w14:paraId="5524DC4B" w14:textId="77777777" w:rsidR="000F7E56" w:rsidRPr="006E25AF" w:rsidRDefault="000F7E56" w:rsidP="000F7E56">
      <w:pPr>
        <w:pBdr>
          <w:top w:val="single" w:sz="4" w:space="1" w:color="auto"/>
          <w:left w:val="single" w:sz="4" w:space="4" w:color="auto"/>
          <w:bottom w:val="single" w:sz="4" w:space="1" w:color="auto"/>
          <w:right w:val="single" w:sz="4" w:space="4" w:color="auto"/>
        </w:pBdr>
        <w:spacing w:after="120" w:line="240" w:lineRule="auto"/>
        <w:rPr>
          <w:rFonts w:eastAsia="Calibri" w:cstheme="minorHAnsi"/>
        </w:rPr>
      </w:pPr>
      <w:r w:rsidRPr="006E25AF">
        <w:rPr>
          <w:rFonts w:eastAsia="Calibri" w:cstheme="minorHAnsi"/>
        </w:rPr>
        <w:t xml:space="preserve">As Ibrahim’s disease progresses he is likely to experience problems with swallowing and chest infections with life threatening consequences.  He and his wife are worried that he is coughing more.  </w:t>
      </w:r>
    </w:p>
    <w:p w14:paraId="02241EAA" w14:textId="77777777" w:rsidR="000F7E56" w:rsidRPr="006E25AF" w:rsidRDefault="000F7E56" w:rsidP="000F7E56">
      <w:pPr>
        <w:pBdr>
          <w:top w:val="single" w:sz="4" w:space="1" w:color="auto"/>
          <w:left w:val="single" w:sz="4" w:space="4" w:color="auto"/>
          <w:bottom w:val="single" w:sz="4" w:space="1" w:color="auto"/>
          <w:right w:val="single" w:sz="4" w:space="4" w:color="auto"/>
        </w:pBdr>
        <w:spacing w:after="120" w:line="240" w:lineRule="auto"/>
        <w:rPr>
          <w:rFonts w:eastAsia="Calibri" w:cstheme="minorHAnsi"/>
        </w:rPr>
      </w:pPr>
      <w:r w:rsidRPr="006E25AF">
        <w:rPr>
          <w:rFonts w:eastAsia="Calibri" w:cstheme="minorHAnsi"/>
        </w:rPr>
        <w:t>The specialist nurse has spoken with his son Arshad about the need to decide on Ibrahim’s resuscitation status.  Arshad feels this is a very difficult decision to make.</w:t>
      </w:r>
    </w:p>
    <w:p w14:paraId="3EB90513" w14:textId="423FB7CB" w:rsidR="000F7E56" w:rsidRPr="006E25AF" w:rsidRDefault="000F7E56" w:rsidP="000F7E56">
      <w:pPr>
        <w:pBdr>
          <w:top w:val="single" w:sz="4" w:space="1" w:color="auto"/>
          <w:left w:val="single" w:sz="4" w:space="4" w:color="auto"/>
          <w:bottom w:val="single" w:sz="4" w:space="1" w:color="auto"/>
          <w:right w:val="single" w:sz="4" w:space="4" w:color="auto"/>
        </w:pBdr>
        <w:spacing w:after="120" w:line="240" w:lineRule="auto"/>
        <w:rPr>
          <w:rFonts w:eastAsia="Calibri" w:cstheme="minorHAnsi"/>
        </w:rPr>
      </w:pPr>
      <w:r w:rsidRPr="006E25AF">
        <w:rPr>
          <w:rFonts w:eastAsia="Calibri" w:cstheme="minorHAnsi"/>
        </w:rPr>
        <w:t>His nurse/doctor is coming today to take discussions further about what to do if a crisis arises.</w:t>
      </w:r>
    </w:p>
    <w:p w14:paraId="217ACA41" w14:textId="77777777" w:rsidR="006E25AF" w:rsidRPr="006E25AF" w:rsidRDefault="006E25AF" w:rsidP="000F7E56">
      <w:pPr>
        <w:pBdr>
          <w:top w:val="single" w:sz="4" w:space="1" w:color="auto"/>
          <w:left w:val="single" w:sz="4" w:space="4" w:color="auto"/>
          <w:bottom w:val="single" w:sz="4" w:space="1" w:color="auto"/>
          <w:right w:val="single" w:sz="4" w:space="4" w:color="auto"/>
        </w:pBdr>
        <w:spacing w:after="120" w:line="240" w:lineRule="auto"/>
        <w:rPr>
          <w:rFonts w:eastAsia="Calibri" w:cstheme="minorHAnsi"/>
        </w:rPr>
      </w:pPr>
    </w:p>
    <w:p w14:paraId="5B046EEA" w14:textId="003D0C2A" w:rsidR="000F7E56" w:rsidRPr="00D74EFC" w:rsidRDefault="009D3F6D" w:rsidP="00D74EFC">
      <w:pPr>
        <w:pStyle w:val="Caption"/>
        <w:rPr>
          <w:rFonts w:eastAsia="Calibri"/>
        </w:rPr>
      </w:pPr>
      <w:bookmarkStart w:id="473" w:name="_Toc106701725"/>
      <w:r>
        <w:t xml:space="preserve">Box </w:t>
      </w:r>
      <w:fldSimple w:instr=" SEQ Box \* ARABIC ">
        <w:r w:rsidR="002E1980">
          <w:rPr>
            <w:noProof/>
          </w:rPr>
          <w:t>5</w:t>
        </w:r>
      </w:fldSimple>
      <w:r>
        <w:t xml:space="preserve"> - Story 2 'Ibrahim Version 2'</w:t>
      </w:r>
      <w:bookmarkEnd w:id="473"/>
      <w:r w:rsidR="000F7E56" w:rsidRPr="00D74EFC">
        <w:rPr>
          <w:rFonts w:eastAsia="Calibri"/>
        </w:rPr>
        <w:br w:type="page"/>
      </w:r>
    </w:p>
    <w:p w14:paraId="541FDCA6" w14:textId="77777777" w:rsidR="000F7E56" w:rsidRPr="006E25AF" w:rsidRDefault="000F7E56" w:rsidP="000F7E56">
      <w:pPr>
        <w:spacing w:after="200" w:line="276" w:lineRule="auto"/>
        <w:rPr>
          <w:rFonts w:eastAsia="Calibri" w:cstheme="minorHAnsi"/>
          <w:i/>
        </w:rPr>
      </w:pPr>
    </w:p>
    <w:p w14:paraId="6560BDBF" w14:textId="77777777" w:rsidR="000F7E56" w:rsidRPr="006E25AF" w:rsidRDefault="000F7E56" w:rsidP="000F7E56">
      <w:pPr>
        <w:pBdr>
          <w:top w:val="single" w:sz="4" w:space="1" w:color="auto"/>
          <w:left w:val="single" w:sz="4" w:space="4" w:color="auto"/>
          <w:bottom w:val="single" w:sz="4" w:space="1" w:color="auto"/>
          <w:right w:val="single" w:sz="4" w:space="4" w:color="auto"/>
        </w:pBdr>
        <w:spacing w:after="0" w:line="240" w:lineRule="auto"/>
        <w:rPr>
          <w:rFonts w:eastAsia="Calibri" w:cstheme="minorHAnsi"/>
        </w:rPr>
      </w:pPr>
      <w:r w:rsidRPr="006E25AF">
        <w:rPr>
          <w:rFonts w:eastAsia="Calibri" w:cstheme="minorHAnsi"/>
        </w:rPr>
        <w:t xml:space="preserve">Story 3: Patience </w:t>
      </w:r>
    </w:p>
    <w:p w14:paraId="4B5C2260" w14:textId="77777777" w:rsidR="000F7E56" w:rsidRPr="006E25AF" w:rsidRDefault="000F7E56" w:rsidP="000F7E56">
      <w:pPr>
        <w:pBdr>
          <w:top w:val="single" w:sz="4" w:space="1" w:color="auto"/>
          <w:left w:val="single" w:sz="4" w:space="4" w:color="auto"/>
          <w:bottom w:val="single" w:sz="4" w:space="1" w:color="auto"/>
          <w:right w:val="single" w:sz="4" w:space="4" w:color="auto"/>
        </w:pBdr>
        <w:spacing w:after="0" w:line="240" w:lineRule="auto"/>
        <w:rPr>
          <w:rFonts w:eastAsia="Calibri" w:cstheme="minorHAnsi"/>
        </w:rPr>
      </w:pPr>
    </w:p>
    <w:p w14:paraId="289F9C7C" w14:textId="77777777" w:rsidR="000F7E56" w:rsidRPr="006E25AF" w:rsidRDefault="000F7E56" w:rsidP="000F7E56">
      <w:pPr>
        <w:pBdr>
          <w:top w:val="single" w:sz="4" w:space="1" w:color="auto"/>
          <w:left w:val="single" w:sz="4" w:space="4" w:color="auto"/>
          <w:bottom w:val="single" w:sz="4" w:space="1" w:color="auto"/>
          <w:right w:val="single" w:sz="4" w:space="4" w:color="auto"/>
        </w:pBdr>
        <w:spacing w:after="0" w:line="240" w:lineRule="auto"/>
        <w:rPr>
          <w:rFonts w:eastAsia="Calibri" w:cstheme="minorHAnsi"/>
        </w:rPr>
      </w:pPr>
      <w:r w:rsidRPr="006E25AF">
        <w:rPr>
          <w:rFonts w:eastAsia="Calibri" w:cstheme="minorHAnsi"/>
        </w:rPr>
        <w:t>Patience used to be a school head-teacher in Ghana and then in the UK until her retirement at age 63, just two years ago.  At face value, she presents a carefree spirit, who is willing to engage and talk about her recent change in mobility on one side of her body, as a result of the removal of one of the cancerous tumours from her spine for which she is receiving ongoing treatment. Her main concern is for her husband at the moment and the fact that she was the main carer for him before being diagnosed with her own illness.  Her ongoing episodes of treatment means that her ability to take care of him fluctuates accordingly. She has already made sure plans are in place for her funeral and her husband’s ongoing care needs, should she deteriorate rapidly at some point.  She has two adult children but talks about her lack of support from any extended family.</w:t>
      </w:r>
    </w:p>
    <w:p w14:paraId="0E431233" w14:textId="77777777" w:rsidR="000F7E56" w:rsidRPr="006E25AF" w:rsidRDefault="000F7E56" w:rsidP="000F7E56">
      <w:pPr>
        <w:pBdr>
          <w:top w:val="single" w:sz="4" w:space="1" w:color="auto"/>
          <w:left w:val="single" w:sz="4" w:space="4" w:color="auto"/>
          <w:bottom w:val="single" w:sz="4" w:space="1" w:color="auto"/>
          <w:right w:val="single" w:sz="4" w:space="4" w:color="auto"/>
        </w:pBdr>
        <w:spacing w:after="0" w:line="240" w:lineRule="auto"/>
        <w:rPr>
          <w:rFonts w:eastAsia="Calibri" w:cstheme="minorHAnsi"/>
        </w:rPr>
      </w:pPr>
    </w:p>
    <w:p w14:paraId="3E1DD724" w14:textId="77777777" w:rsidR="000F7E56" w:rsidRPr="006E25AF" w:rsidRDefault="000F7E56" w:rsidP="000F7E56">
      <w:pPr>
        <w:pBdr>
          <w:top w:val="single" w:sz="4" w:space="1" w:color="auto"/>
          <w:left w:val="single" w:sz="4" w:space="4" w:color="auto"/>
          <w:bottom w:val="single" w:sz="4" w:space="1" w:color="auto"/>
          <w:right w:val="single" w:sz="4" w:space="4" w:color="auto"/>
        </w:pBdr>
        <w:spacing w:after="0" w:line="240" w:lineRule="auto"/>
        <w:rPr>
          <w:rFonts w:eastAsia="Calibri" w:cstheme="minorHAnsi"/>
        </w:rPr>
      </w:pPr>
      <w:r w:rsidRPr="006E25AF">
        <w:rPr>
          <w:rFonts w:eastAsia="Calibri" w:cstheme="minorHAnsi"/>
        </w:rPr>
        <w:t xml:space="preserve">Patience wants to be in control of her life and her death.  She feels that HCPs have not initiated any discussion about deterioration, dying and her preferences for care and treatment and that she and her husband would welcome such a conversation.  She mentions how her cousin </w:t>
      </w:r>
      <w:proofErr w:type="spellStart"/>
      <w:r w:rsidRPr="006E25AF">
        <w:rPr>
          <w:rFonts w:eastAsia="Calibri" w:cstheme="minorHAnsi"/>
        </w:rPr>
        <w:t>Dorah</w:t>
      </w:r>
      <w:proofErr w:type="spellEnd"/>
      <w:r w:rsidRPr="006E25AF">
        <w:rPr>
          <w:rFonts w:eastAsia="Calibri" w:cstheme="minorHAnsi"/>
        </w:rPr>
        <w:t xml:space="preserve"> disagrees with her.  </w:t>
      </w:r>
      <w:proofErr w:type="spellStart"/>
      <w:r w:rsidRPr="006E25AF">
        <w:rPr>
          <w:rFonts w:eastAsia="Calibri" w:cstheme="minorHAnsi"/>
        </w:rPr>
        <w:t>Dorah</w:t>
      </w:r>
      <w:proofErr w:type="spellEnd"/>
      <w:r w:rsidRPr="006E25AF">
        <w:rPr>
          <w:rFonts w:eastAsia="Calibri" w:cstheme="minorHAnsi"/>
        </w:rPr>
        <w:t xml:space="preserve"> has recently arrived in the UK from Ghana to look after her terminally ill daughter.  </w:t>
      </w:r>
      <w:proofErr w:type="spellStart"/>
      <w:r w:rsidRPr="006E25AF">
        <w:rPr>
          <w:rFonts w:eastAsia="Calibri" w:cstheme="minorHAnsi"/>
        </w:rPr>
        <w:t>Dorah</w:t>
      </w:r>
      <w:proofErr w:type="spellEnd"/>
      <w:r w:rsidRPr="006E25AF">
        <w:rPr>
          <w:rFonts w:eastAsia="Calibri" w:cstheme="minorHAnsi"/>
        </w:rPr>
        <w:t xml:space="preserve"> has shared with Patience that she was tormented after the GP started discussing dying.  She was also appalled when during a recent emergency visit to A &amp; E with her daughter, </w:t>
      </w:r>
      <w:proofErr w:type="spellStart"/>
      <w:r w:rsidRPr="006E25AF">
        <w:rPr>
          <w:rFonts w:eastAsia="Calibri" w:cstheme="minorHAnsi"/>
        </w:rPr>
        <w:t>Dorah</w:t>
      </w:r>
      <w:proofErr w:type="spellEnd"/>
      <w:r w:rsidRPr="006E25AF">
        <w:rPr>
          <w:rFonts w:eastAsia="Calibri" w:cstheme="minorHAnsi"/>
        </w:rPr>
        <w:t xml:space="preserve"> was asked “point blank” if there was an instruction not to resuscitate her daughter if her heart should fail. </w:t>
      </w:r>
      <w:proofErr w:type="spellStart"/>
      <w:r w:rsidRPr="006E25AF">
        <w:rPr>
          <w:rFonts w:eastAsia="Calibri" w:cstheme="minorHAnsi"/>
        </w:rPr>
        <w:t>Dorah</w:t>
      </w:r>
      <w:proofErr w:type="spellEnd"/>
      <w:r w:rsidRPr="006E25AF">
        <w:rPr>
          <w:rFonts w:eastAsia="Calibri" w:cstheme="minorHAnsi"/>
        </w:rPr>
        <w:t xml:space="preserve"> felt discussing death and dying so openly and so coldly was unheard of in her culture.  Patience feels very differently.  She and her husband are strongly ‘for’ assisted dying at a time of their choice.  </w:t>
      </w:r>
    </w:p>
    <w:p w14:paraId="19D344CA" w14:textId="77777777" w:rsidR="000F7E56" w:rsidRPr="006E25AF" w:rsidRDefault="000F7E56" w:rsidP="000F7E56">
      <w:pPr>
        <w:pBdr>
          <w:top w:val="single" w:sz="4" w:space="1" w:color="auto"/>
          <w:left w:val="single" w:sz="4" w:space="4" w:color="auto"/>
          <w:bottom w:val="single" w:sz="4" w:space="1" w:color="auto"/>
          <w:right w:val="single" w:sz="4" w:space="4" w:color="auto"/>
        </w:pBdr>
        <w:spacing w:after="0" w:line="240" w:lineRule="auto"/>
        <w:rPr>
          <w:rFonts w:eastAsia="Calibri" w:cstheme="minorHAnsi"/>
        </w:rPr>
      </w:pPr>
    </w:p>
    <w:p w14:paraId="5902C283" w14:textId="77777777" w:rsidR="000F7E56" w:rsidRPr="006E25AF" w:rsidRDefault="000F7E56" w:rsidP="000F7E56">
      <w:pPr>
        <w:pBdr>
          <w:top w:val="single" w:sz="4" w:space="1" w:color="auto"/>
          <w:left w:val="single" w:sz="4" w:space="4" w:color="auto"/>
          <w:bottom w:val="single" w:sz="4" w:space="1" w:color="auto"/>
          <w:right w:val="single" w:sz="4" w:space="4" w:color="auto"/>
        </w:pBdr>
        <w:spacing w:after="0" w:line="240" w:lineRule="auto"/>
        <w:rPr>
          <w:rFonts w:eastAsia="Calibri" w:cstheme="minorHAnsi"/>
        </w:rPr>
      </w:pPr>
      <w:r w:rsidRPr="006E25AF">
        <w:rPr>
          <w:rFonts w:eastAsia="Calibri" w:cstheme="minorHAnsi"/>
        </w:rPr>
        <w:t xml:space="preserve">Despite Patience’s stated willingness to discuss dying, a health professional whom she sees for regular check-ups, feels that she has not raised any questions for them to respond to, sensing rather that Patience  wants to focus on the now rather than the future. This might be influenced by the uncertainty of whether treatment will work, whether her illness will change and how long she has left to live.  </w:t>
      </w:r>
    </w:p>
    <w:p w14:paraId="59ED0038" w14:textId="77777777" w:rsidR="000F7E56" w:rsidRPr="006E25AF" w:rsidRDefault="000F7E56" w:rsidP="000F7E56">
      <w:pPr>
        <w:pBdr>
          <w:top w:val="single" w:sz="4" w:space="1" w:color="auto"/>
          <w:left w:val="single" w:sz="4" w:space="4" w:color="auto"/>
          <w:bottom w:val="single" w:sz="4" w:space="1" w:color="auto"/>
          <w:right w:val="single" w:sz="4" w:space="4" w:color="auto"/>
        </w:pBdr>
        <w:spacing w:after="0" w:line="240" w:lineRule="auto"/>
        <w:rPr>
          <w:rFonts w:eastAsia="Calibri" w:cstheme="minorHAnsi"/>
        </w:rPr>
      </w:pPr>
    </w:p>
    <w:p w14:paraId="742E3C02" w14:textId="77777777" w:rsidR="000F7E56" w:rsidRPr="006E25AF" w:rsidRDefault="000F7E56" w:rsidP="000F7E56">
      <w:pPr>
        <w:pBdr>
          <w:top w:val="single" w:sz="4" w:space="1" w:color="auto"/>
          <w:left w:val="single" w:sz="4" w:space="4" w:color="auto"/>
          <w:bottom w:val="single" w:sz="4" w:space="1" w:color="auto"/>
          <w:right w:val="single" w:sz="4" w:space="4" w:color="auto"/>
        </w:pBdr>
        <w:spacing w:after="0" w:line="240" w:lineRule="auto"/>
        <w:rPr>
          <w:rFonts w:eastAsia="Calibri" w:cstheme="minorHAnsi"/>
        </w:rPr>
      </w:pPr>
      <w:r w:rsidRPr="006E25AF">
        <w:rPr>
          <w:rFonts w:eastAsia="Calibri" w:cstheme="minorHAnsi"/>
        </w:rPr>
        <w:t xml:space="preserve">Patience is critical of services which have been uncoordinated for her and her husband and based on saving money and getting people out of hospital.  She has struggled to secure support for adaptations to her home which would enable them to stay at home  for as long as possible, having only found out by chance after talking to an old work colleague that they could apply for such support. </w:t>
      </w:r>
    </w:p>
    <w:p w14:paraId="2CC1067F" w14:textId="77777777" w:rsidR="000F7E56" w:rsidRPr="006E25AF" w:rsidRDefault="000F7E56" w:rsidP="000F7E56">
      <w:pPr>
        <w:pBdr>
          <w:top w:val="single" w:sz="4" w:space="1" w:color="auto"/>
          <w:left w:val="single" w:sz="4" w:space="4" w:color="auto"/>
          <w:bottom w:val="single" w:sz="4" w:space="1" w:color="auto"/>
          <w:right w:val="single" w:sz="4" w:space="4" w:color="auto"/>
        </w:pBdr>
        <w:spacing w:after="0" w:line="240" w:lineRule="auto"/>
        <w:rPr>
          <w:rFonts w:eastAsia="Calibri" w:cstheme="minorHAnsi"/>
        </w:rPr>
      </w:pPr>
    </w:p>
    <w:p w14:paraId="04231407" w14:textId="7EADDB7A" w:rsidR="000F7E56" w:rsidRPr="006E25AF" w:rsidRDefault="000F7E56" w:rsidP="000F7E56">
      <w:pPr>
        <w:pBdr>
          <w:top w:val="single" w:sz="4" w:space="1" w:color="auto"/>
          <w:left w:val="single" w:sz="4" w:space="4" w:color="auto"/>
          <w:bottom w:val="single" w:sz="4" w:space="1" w:color="auto"/>
          <w:right w:val="single" w:sz="4" w:space="4" w:color="auto"/>
        </w:pBdr>
        <w:spacing w:after="0" w:line="240" w:lineRule="auto"/>
        <w:rPr>
          <w:rFonts w:eastAsia="Calibri" w:cstheme="minorHAnsi"/>
        </w:rPr>
      </w:pPr>
      <w:r w:rsidRPr="006E25AF">
        <w:rPr>
          <w:rFonts w:eastAsia="Calibri" w:cstheme="minorHAnsi"/>
        </w:rPr>
        <w:t xml:space="preserve">Today she is going for her third visit to a hospital clinic this month.  She will be going alone, as it is difficult for her husband to access the building in which these appointments take place.  Her own physical mobility is compromised, and though </w:t>
      </w:r>
      <w:proofErr w:type="spellStart"/>
      <w:r w:rsidRPr="006E25AF">
        <w:rPr>
          <w:rFonts w:eastAsia="Calibri" w:cstheme="minorHAnsi"/>
        </w:rPr>
        <w:t>Dorah</w:t>
      </w:r>
      <w:proofErr w:type="spellEnd"/>
      <w:r w:rsidRPr="006E25AF">
        <w:rPr>
          <w:rFonts w:eastAsia="Calibri" w:cstheme="minorHAnsi"/>
        </w:rPr>
        <w:t xml:space="preserve"> has offered to accompany her, she doesn’t wish to trouble her as she has her daughter to care for.</w:t>
      </w:r>
    </w:p>
    <w:p w14:paraId="6EC9DC8A" w14:textId="77777777" w:rsidR="006E25AF" w:rsidRPr="006E25AF" w:rsidRDefault="006E25AF" w:rsidP="000F7E56">
      <w:pPr>
        <w:pBdr>
          <w:top w:val="single" w:sz="4" w:space="1" w:color="auto"/>
          <w:left w:val="single" w:sz="4" w:space="4" w:color="auto"/>
          <w:bottom w:val="single" w:sz="4" w:space="1" w:color="auto"/>
          <w:right w:val="single" w:sz="4" w:space="4" w:color="auto"/>
        </w:pBdr>
        <w:spacing w:after="0" w:line="240" w:lineRule="auto"/>
        <w:rPr>
          <w:rFonts w:eastAsia="Calibri" w:cstheme="minorHAnsi"/>
          <w:b/>
        </w:rPr>
      </w:pPr>
    </w:p>
    <w:p w14:paraId="50C3F482" w14:textId="4AB241FE" w:rsidR="000F7E56" w:rsidRPr="006E25AF" w:rsidRDefault="009D3F6D" w:rsidP="00D74EFC">
      <w:pPr>
        <w:pStyle w:val="Caption"/>
        <w:rPr>
          <w:rFonts w:eastAsia="Calibri"/>
        </w:rPr>
      </w:pPr>
      <w:bookmarkStart w:id="474" w:name="_Toc106701726"/>
      <w:r>
        <w:t xml:space="preserve">Box </w:t>
      </w:r>
      <w:fldSimple w:instr=" SEQ Box \* ARABIC ">
        <w:r w:rsidR="002E1980">
          <w:rPr>
            <w:noProof/>
          </w:rPr>
          <w:t>6</w:t>
        </w:r>
      </w:fldSimple>
      <w:r>
        <w:t xml:space="preserve"> - Story 3 'Patience'</w:t>
      </w:r>
      <w:bookmarkEnd w:id="474"/>
      <w:r w:rsidR="000F7E56" w:rsidRPr="006E25AF">
        <w:rPr>
          <w:rFonts w:eastAsia="Calibri"/>
        </w:rPr>
        <w:br w:type="page"/>
      </w:r>
    </w:p>
    <w:p w14:paraId="08880043" w14:textId="77777777" w:rsidR="000F7E56" w:rsidRPr="006E25AF" w:rsidRDefault="000F7E56" w:rsidP="000F7E56">
      <w:pPr>
        <w:pBdr>
          <w:top w:val="single" w:sz="4" w:space="1" w:color="auto"/>
          <w:left w:val="single" w:sz="4" w:space="4" w:color="auto"/>
          <w:bottom w:val="single" w:sz="4" w:space="1" w:color="auto"/>
          <w:right w:val="single" w:sz="4" w:space="4" w:color="auto"/>
        </w:pBdr>
        <w:spacing w:after="120" w:line="240" w:lineRule="auto"/>
        <w:rPr>
          <w:rFonts w:eastAsia="Calibri" w:cstheme="minorHAnsi"/>
        </w:rPr>
      </w:pPr>
      <w:r w:rsidRPr="006E25AF">
        <w:rPr>
          <w:rFonts w:eastAsia="Calibri" w:cstheme="minorHAnsi"/>
        </w:rPr>
        <w:lastRenderedPageBreak/>
        <w:t>Story 4: Adamma</w:t>
      </w:r>
    </w:p>
    <w:p w14:paraId="647EC66E" w14:textId="77777777" w:rsidR="000F7E56" w:rsidRPr="006E25AF" w:rsidRDefault="000F7E56" w:rsidP="000F7E56">
      <w:pPr>
        <w:pBdr>
          <w:top w:val="single" w:sz="4" w:space="1" w:color="auto"/>
          <w:left w:val="single" w:sz="4" w:space="4" w:color="auto"/>
          <w:bottom w:val="single" w:sz="4" w:space="1" w:color="auto"/>
          <w:right w:val="single" w:sz="4" w:space="4" w:color="auto"/>
        </w:pBdr>
        <w:spacing w:after="120" w:line="240" w:lineRule="auto"/>
        <w:rPr>
          <w:rFonts w:eastAsia="Calibri" w:cstheme="minorHAnsi"/>
        </w:rPr>
      </w:pPr>
    </w:p>
    <w:p w14:paraId="6E8F5DB9" w14:textId="77777777" w:rsidR="000F7E56" w:rsidRPr="006E25AF" w:rsidRDefault="000F7E56" w:rsidP="000F7E56">
      <w:pPr>
        <w:pBdr>
          <w:top w:val="single" w:sz="4" w:space="1" w:color="auto"/>
          <w:left w:val="single" w:sz="4" w:space="4" w:color="auto"/>
          <w:bottom w:val="single" w:sz="4" w:space="1" w:color="auto"/>
          <w:right w:val="single" w:sz="4" w:space="4" w:color="auto"/>
        </w:pBdr>
        <w:spacing w:after="120" w:line="240" w:lineRule="auto"/>
        <w:rPr>
          <w:rFonts w:eastAsia="Calibri" w:cstheme="minorHAnsi"/>
        </w:rPr>
      </w:pPr>
      <w:r w:rsidRPr="006E25AF">
        <w:rPr>
          <w:rFonts w:eastAsia="Calibri" w:cstheme="minorHAnsi"/>
        </w:rPr>
        <w:t xml:space="preserve">Adamma is a frail 78 year old woman with heart failure who spends most of the day in bed.  She lives with her daughter Ada who is the main carer. </w:t>
      </w:r>
    </w:p>
    <w:p w14:paraId="0D0B7467" w14:textId="77777777" w:rsidR="000F7E56" w:rsidRPr="006E25AF" w:rsidRDefault="000F7E56" w:rsidP="000F7E56">
      <w:pPr>
        <w:pBdr>
          <w:top w:val="single" w:sz="4" w:space="1" w:color="auto"/>
          <w:left w:val="single" w:sz="4" w:space="4" w:color="auto"/>
          <w:bottom w:val="single" w:sz="4" w:space="1" w:color="auto"/>
          <w:right w:val="single" w:sz="4" w:space="4" w:color="auto"/>
        </w:pBdr>
        <w:spacing w:after="120" w:line="240" w:lineRule="auto"/>
        <w:rPr>
          <w:rFonts w:eastAsia="Calibri" w:cstheme="minorHAnsi"/>
        </w:rPr>
      </w:pPr>
      <w:r w:rsidRPr="006E25AF">
        <w:rPr>
          <w:rFonts w:eastAsia="Calibri" w:cstheme="minorHAnsi"/>
        </w:rPr>
        <w:t xml:space="preserve">Adamma recently refused to take morphine when it was prescribed for her pain relief. Adamma is growing more distant and closed-off to others. </w:t>
      </w:r>
    </w:p>
    <w:p w14:paraId="0B7D4001" w14:textId="77777777" w:rsidR="000F7E56" w:rsidRPr="006E25AF" w:rsidRDefault="000F7E56" w:rsidP="000F7E56">
      <w:pPr>
        <w:pBdr>
          <w:top w:val="single" w:sz="4" w:space="1" w:color="auto"/>
          <w:left w:val="single" w:sz="4" w:space="4" w:color="auto"/>
          <w:bottom w:val="single" w:sz="4" w:space="1" w:color="auto"/>
          <w:right w:val="single" w:sz="4" w:space="4" w:color="auto"/>
        </w:pBdr>
        <w:spacing w:after="120" w:line="240" w:lineRule="auto"/>
        <w:rPr>
          <w:rFonts w:eastAsia="Calibri" w:cstheme="minorHAnsi"/>
        </w:rPr>
      </w:pPr>
      <w:r w:rsidRPr="006E25AF">
        <w:rPr>
          <w:rFonts w:eastAsia="Calibri" w:cstheme="minorHAnsi"/>
        </w:rPr>
        <w:t xml:space="preserve">Adamma and Ada are seeing the GP/nurse today to discuss the flu jab. </w:t>
      </w:r>
    </w:p>
    <w:p w14:paraId="5F0D1CC2" w14:textId="77777777" w:rsidR="000F7E56" w:rsidRPr="006E25AF" w:rsidRDefault="000F7E56" w:rsidP="000F7E56">
      <w:pPr>
        <w:pBdr>
          <w:top w:val="single" w:sz="4" w:space="1" w:color="auto"/>
          <w:left w:val="single" w:sz="4" w:space="4" w:color="auto"/>
          <w:bottom w:val="single" w:sz="4" w:space="1" w:color="auto"/>
          <w:right w:val="single" w:sz="4" w:space="4" w:color="auto"/>
        </w:pBdr>
        <w:spacing w:after="120" w:line="240" w:lineRule="auto"/>
        <w:rPr>
          <w:rFonts w:eastAsia="Calibri" w:cstheme="minorHAnsi"/>
        </w:rPr>
      </w:pPr>
      <w:r w:rsidRPr="006E25AF">
        <w:rPr>
          <w:rFonts w:eastAsia="Calibri" w:cstheme="minorHAnsi"/>
        </w:rPr>
        <w:t>Adamma was born in Nigeria and migrated to the UK in the 70s.</w:t>
      </w:r>
    </w:p>
    <w:p w14:paraId="151539BD" w14:textId="77777777" w:rsidR="000F7E56" w:rsidRPr="006E25AF" w:rsidRDefault="000F7E56" w:rsidP="000F7E56">
      <w:pPr>
        <w:pBdr>
          <w:top w:val="single" w:sz="4" w:space="1" w:color="auto"/>
          <w:left w:val="single" w:sz="4" w:space="4" w:color="auto"/>
          <w:bottom w:val="single" w:sz="4" w:space="1" w:color="auto"/>
          <w:right w:val="single" w:sz="4" w:space="4" w:color="auto"/>
        </w:pBdr>
        <w:spacing w:after="120" w:line="240" w:lineRule="auto"/>
        <w:rPr>
          <w:rFonts w:eastAsia="Calibri" w:cstheme="minorHAnsi"/>
        </w:rPr>
      </w:pPr>
      <w:r w:rsidRPr="006E25AF">
        <w:rPr>
          <w:rFonts w:eastAsia="Calibri" w:cstheme="minorHAnsi"/>
        </w:rPr>
        <w:t>She blames the healthcare system for her delayed diagnosis and subsequent ill health. When her health started deteriorating, doctors took a long time to identify a faulty heart valve causing her heart failure. The operation to correct this resulted in Adamma requiring further corrective surgery.  Adamma feels that the first operation was a disaster. Even though she regularly attended the hospital, Ada described it as a ‘battle’ to locate her mother’s records for insurance purposes .</w:t>
      </w:r>
    </w:p>
    <w:p w14:paraId="6A54B36B" w14:textId="77777777" w:rsidR="000F7E56" w:rsidRPr="006E25AF" w:rsidRDefault="000F7E56" w:rsidP="000F7E56">
      <w:pPr>
        <w:pBdr>
          <w:top w:val="single" w:sz="4" w:space="1" w:color="auto"/>
          <w:left w:val="single" w:sz="4" w:space="4" w:color="auto"/>
          <w:bottom w:val="single" w:sz="4" w:space="1" w:color="auto"/>
          <w:right w:val="single" w:sz="4" w:space="4" w:color="auto"/>
        </w:pBdr>
        <w:spacing w:after="120" w:line="240" w:lineRule="auto"/>
        <w:rPr>
          <w:rFonts w:eastAsia="Calibri" w:cstheme="minorHAnsi"/>
        </w:rPr>
      </w:pPr>
      <w:r w:rsidRPr="006E25AF">
        <w:rPr>
          <w:rFonts w:eastAsia="Calibri" w:cstheme="minorHAnsi"/>
        </w:rPr>
        <w:t xml:space="preserve">Adamma is not afraid of dying; she feels she has had a good life. She has talked to her family about her wishes at end of life but has not shared these with healthcare professionals as she feels this is an intimate family matter in which healthcare professionals should have no involvement. </w:t>
      </w:r>
    </w:p>
    <w:p w14:paraId="4E73ECB5" w14:textId="77777777" w:rsidR="000F7E56" w:rsidRPr="006E25AF" w:rsidRDefault="000F7E56" w:rsidP="000F7E56">
      <w:pPr>
        <w:pBdr>
          <w:top w:val="single" w:sz="4" w:space="1" w:color="auto"/>
          <w:left w:val="single" w:sz="4" w:space="4" w:color="auto"/>
          <w:bottom w:val="single" w:sz="4" w:space="1" w:color="auto"/>
          <w:right w:val="single" w:sz="4" w:space="4" w:color="auto"/>
        </w:pBdr>
        <w:spacing w:after="120" w:line="240" w:lineRule="auto"/>
        <w:rPr>
          <w:rFonts w:eastAsia="Calibri" w:cstheme="minorHAnsi"/>
        </w:rPr>
      </w:pPr>
      <w:r w:rsidRPr="006E25AF">
        <w:rPr>
          <w:rFonts w:eastAsia="Calibri" w:cstheme="minorHAnsi"/>
        </w:rPr>
        <w:t xml:space="preserve">Adamma has said that apart from spiritual preparation for life after death no one has the power to change anything. Ada feels that whilst some spiritual preparation may be helping her mother to cope she is concerned that in focussing more on life after death her mother is not engaging with matters of this life. </w:t>
      </w:r>
    </w:p>
    <w:p w14:paraId="504CB79E" w14:textId="77777777" w:rsidR="000F7E56" w:rsidRPr="006E25AF" w:rsidRDefault="000F7E56" w:rsidP="000F7E56">
      <w:pPr>
        <w:pBdr>
          <w:top w:val="single" w:sz="4" w:space="1" w:color="auto"/>
          <w:left w:val="single" w:sz="4" w:space="4" w:color="auto"/>
          <w:bottom w:val="single" w:sz="4" w:space="1" w:color="auto"/>
          <w:right w:val="single" w:sz="4" w:space="4" w:color="auto"/>
        </w:pBdr>
        <w:spacing w:after="120" w:line="240" w:lineRule="auto"/>
        <w:rPr>
          <w:rFonts w:eastAsia="Calibri" w:cstheme="minorHAnsi"/>
        </w:rPr>
      </w:pPr>
      <w:r w:rsidRPr="006E25AF">
        <w:rPr>
          <w:rFonts w:eastAsia="Calibri" w:cstheme="minorHAnsi"/>
        </w:rPr>
        <w:t xml:space="preserve">Adamma’s preference is to die at home but the memory of her sister </w:t>
      </w:r>
      <w:proofErr w:type="spellStart"/>
      <w:r w:rsidRPr="006E25AF">
        <w:rPr>
          <w:rFonts w:eastAsia="Calibri" w:cstheme="minorHAnsi"/>
        </w:rPr>
        <w:t>Fumnanya’s</w:t>
      </w:r>
      <w:proofErr w:type="spellEnd"/>
      <w:r w:rsidRPr="006E25AF">
        <w:rPr>
          <w:rFonts w:eastAsia="Calibri" w:cstheme="minorHAnsi"/>
        </w:rPr>
        <w:t xml:space="preserve"> death from cancer makes it difficult for her to trust healthcare advice about end of life. Adamma and </w:t>
      </w:r>
      <w:proofErr w:type="spellStart"/>
      <w:r w:rsidRPr="006E25AF">
        <w:rPr>
          <w:rFonts w:eastAsia="Calibri" w:cstheme="minorHAnsi"/>
        </w:rPr>
        <w:t>Fumnanya</w:t>
      </w:r>
      <w:proofErr w:type="spellEnd"/>
      <w:r w:rsidRPr="006E25AF">
        <w:rPr>
          <w:rFonts w:eastAsia="Calibri" w:cstheme="minorHAnsi"/>
        </w:rPr>
        <w:t xml:space="preserve"> had many similar experiences of health care, especially painful was that each time they were referred to a new health service they were asked to retell their story.   Talking about the illness brings bad feelings and is not right.   </w:t>
      </w:r>
      <w:proofErr w:type="spellStart"/>
      <w:r w:rsidRPr="006E25AF">
        <w:rPr>
          <w:rFonts w:eastAsia="Calibri" w:cstheme="minorHAnsi"/>
        </w:rPr>
        <w:t>Fumnanya</w:t>
      </w:r>
      <w:proofErr w:type="spellEnd"/>
      <w:r w:rsidRPr="006E25AF">
        <w:rPr>
          <w:rFonts w:eastAsia="Calibri" w:cstheme="minorHAnsi"/>
        </w:rPr>
        <w:t xml:space="preserve"> received palliative care for 2 years and Adamma felt her death was hastened by the drugs she was given, after coming home from a hospital admission. Adamma knows these drugs were called end-of-</w:t>
      </w:r>
      <w:proofErr w:type="spellStart"/>
      <w:r w:rsidRPr="006E25AF">
        <w:rPr>
          <w:rFonts w:eastAsia="Calibri" w:cstheme="minorHAnsi"/>
        </w:rPr>
        <w:t>lifedrugs</w:t>
      </w:r>
      <w:proofErr w:type="spellEnd"/>
      <w:r w:rsidRPr="006E25AF">
        <w:rPr>
          <w:rFonts w:eastAsia="Calibri" w:cstheme="minorHAnsi"/>
        </w:rPr>
        <w:t xml:space="preserve"> but her sister died a day after taking them.  As a consequence she believes morphine is lethal and only works to hasten patients’ deaths.</w:t>
      </w:r>
    </w:p>
    <w:p w14:paraId="2A2CF667" w14:textId="77777777" w:rsidR="000F7E56" w:rsidRPr="006E25AF" w:rsidRDefault="000F7E56" w:rsidP="000F7E56">
      <w:pPr>
        <w:pBdr>
          <w:top w:val="single" w:sz="4" w:space="1" w:color="auto"/>
          <w:left w:val="single" w:sz="4" w:space="4" w:color="auto"/>
          <w:bottom w:val="single" w:sz="4" w:space="1" w:color="auto"/>
          <w:right w:val="single" w:sz="4" w:space="4" w:color="auto"/>
        </w:pBdr>
        <w:spacing w:after="120" w:line="240" w:lineRule="auto"/>
        <w:rPr>
          <w:rFonts w:eastAsia="Calibri" w:cstheme="minorHAnsi"/>
        </w:rPr>
      </w:pPr>
      <w:r w:rsidRPr="006E25AF">
        <w:rPr>
          <w:rFonts w:eastAsia="Calibri" w:cstheme="minorHAnsi"/>
        </w:rPr>
        <w:t xml:space="preserve">Adamma was close to her sister but they had different beliefs. While Adamma believes everything happens for a reason – her sister saw things differently. </w:t>
      </w:r>
      <w:proofErr w:type="spellStart"/>
      <w:r w:rsidRPr="006E25AF">
        <w:rPr>
          <w:rFonts w:eastAsia="Calibri" w:cstheme="minorHAnsi"/>
        </w:rPr>
        <w:t>Fumnanya</w:t>
      </w:r>
      <w:proofErr w:type="spellEnd"/>
      <w:r w:rsidRPr="006E25AF">
        <w:rPr>
          <w:rFonts w:eastAsia="Calibri" w:cstheme="minorHAnsi"/>
        </w:rPr>
        <w:t xml:space="preserve"> struggled to see beyond her present life and believed that evil forces were at work and that these originated from previous, negative life experiences to do with her marriage and family relationships. </w:t>
      </w:r>
    </w:p>
    <w:p w14:paraId="19F58445" w14:textId="77777777" w:rsidR="000F7E56" w:rsidRPr="006E25AF" w:rsidRDefault="000F7E56" w:rsidP="000F7E56">
      <w:pPr>
        <w:pBdr>
          <w:top w:val="single" w:sz="4" w:space="1" w:color="auto"/>
          <w:left w:val="single" w:sz="4" w:space="4" w:color="auto"/>
          <w:bottom w:val="single" w:sz="4" w:space="1" w:color="auto"/>
          <w:right w:val="single" w:sz="4" w:space="4" w:color="auto"/>
        </w:pBdr>
        <w:spacing w:after="120" w:line="240" w:lineRule="auto"/>
        <w:rPr>
          <w:rFonts w:eastAsia="Calibri" w:cstheme="minorHAnsi"/>
        </w:rPr>
      </w:pPr>
      <w:r w:rsidRPr="006E25AF">
        <w:rPr>
          <w:rFonts w:eastAsia="Calibri" w:cstheme="minorHAnsi"/>
        </w:rPr>
        <w:t xml:space="preserve">Ada struggles with administering her mother’s medication and also her own mental health issues. </w:t>
      </w:r>
    </w:p>
    <w:p w14:paraId="7ADFFD0A" w14:textId="511E98D6" w:rsidR="000F7E56" w:rsidRPr="006E25AF" w:rsidRDefault="000F7E56" w:rsidP="000F7E56">
      <w:pPr>
        <w:pBdr>
          <w:top w:val="single" w:sz="4" w:space="1" w:color="auto"/>
          <w:left w:val="single" w:sz="4" w:space="4" w:color="auto"/>
          <w:bottom w:val="single" w:sz="4" w:space="1" w:color="auto"/>
          <w:right w:val="single" w:sz="4" w:space="4" w:color="auto"/>
        </w:pBdr>
        <w:spacing w:after="120" w:line="240" w:lineRule="auto"/>
        <w:rPr>
          <w:rFonts w:eastAsia="Calibri" w:cstheme="minorHAnsi"/>
        </w:rPr>
      </w:pPr>
      <w:r w:rsidRPr="006E25AF">
        <w:rPr>
          <w:rFonts w:eastAsia="Calibri" w:cstheme="minorHAnsi"/>
        </w:rPr>
        <w:t>Ada is worried about how Adamma will react if the GP wants to discuss pain relief.</w:t>
      </w:r>
    </w:p>
    <w:p w14:paraId="1DDA2994" w14:textId="77777777" w:rsidR="006E25AF" w:rsidRPr="006E25AF" w:rsidRDefault="006E25AF" w:rsidP="000F7E56">
      <w:pPr>
        <w:pBdr>
          <w:top w:val="single" w:sz="4" w:space="1" w:color="auto"/>
          <w:left w:val="single" w:sz="4" w:space="4" w:color="auto"/>
          <w:bottom w:val="single" w:sz="4" w:space="1" w:color="auto"/>
          <w:right w:val="single" w:sz="4" w:space="4" w:color="auto"/>
        </w:pBdr>
        <w:spacing w:after="120" w:line="240" w:lineRule="auto"/>
        <w:rPr>
          <w:rFonts w:eastAsia="Calibri" w:cstheme="minorHAnsi"/>
        </w:rPr>
      </w:pPr>
    </w:p>
    <w:p w14:paraId="31D4C159" w14:textId="5B5050D8" w:rsidR="000F7E56" w:rsidRPr="006E25AF" w:rsidRDefault="009D3F6D" w:rsidP="00D74EFC">
      <w:pPr>
        <w:pStyle w:val="Caption"/>
        <w:rPr>
          <w:rFonts w:eastAsia="Calibri"/>
        </w:rPr>
      </w:pPr>
      <w:bookmarkStart w:id="475" w:name="_Toc106701727"/>
      <w:r>
        <w:t xml:space="preserve">Box </w:t>
      </w:r>
      <w:fldSimple w:instr=" SEQ Box \* ARABIC ">
        <w:r w:rsidR="002E1980">
          <w:rPr>
            <w:noProof/>
          </w:rPr>
          <w:t>7</w:t>
        </w:r>
      </w:fldSimple>
      <w:r>
        <w:t xml:space="preserve"> - Story 4 'Adamma'</w:t>
      </w:r>
      <w:bookmarkEnd w:id="475"/>
    </w:p>
    <w:p w14:paraId="4A0A4813" w14:textId="77777777" w:rsidR="000F7E56" w:rsidRPr="006E25AF" w:rsidRDefault="000F7E56" w:rsidP="000F7E56">
      <w:pPr>
        <w:spacing w:after="0" w:line="240" w:lineRule="auto"/>
        <w:rPr>
          <w:rFonts w:eastAsia="Calibri" w:cstheme="minorHAnsi"/>
        </w:rPr>
      </w:pPr>
    </w:p>
    <w:p w14:paraId="077BEB74" w14:textId="77777777" w:rsidR="000F7E56" w:rsidRPr="006E25AF" w:rsidRDefault="000F7E56" w:rsidP="000F7E56">
      <w:pPr>
        <w:spacing w:after="0" w:line="240" w:lineRule="auto"/>
        <w:rPr>
          <w:rFonts w:eastAsia="Calibri" w:cstheme="minorHAnsi"/>
        </w:rPr>
      </w:pPr>
    </w:p>
    <w:p w14:paraId="38047FDB" w14:textId="021DE94F" w:rsidR="000F7E56" w:rsidRDefault="000F7E56" w:rsidP="000F7E56">
      <w:pPr>
        <w:spacing w:after="0" w:line="240" w:lineRule="auto"/>
        <w:rPr>
          <w:rFonts w:eastAsia="Calibri" w:cstheme="minorHAnsi"/>
        </w:rPr>
      </w:pPr>
    </w:p>
    <w:p w14:paraId="508C34B8" w14:textId="2DCF5974" w:rsidR="006E25AF" w:rsidRDefault="006E25AF" w:rsidP="000F7E56">
      <w:pPr>
        <w:spacing w:after="0" w:line="240" w:lineRule="auto"/>
        <w:rPr>
          <w:rFonts w:eastAsia="Calibri" w:cstheme="minorHAnsi"/>
        </w:rPr>
      </w:pPr>
    </w:p>
    <w:p w14:paraId="06A7831F" w14:textId="635DF6C7" w:rsidR="006E25AF" w:rsidRDefault="006E25AF" w:rsidP="000F7E56">
      <w:pPr>
        <w:spacing w:after="0" w:line="240" w:lineRule="auto"/>
        <w:rPr>
          <w:rFonts w:eastAsia="Calibri" w:cstheme="minorHAnsi"/>
        </w:rPr>
      </w:pPr>
    </w:p>
    <w:p w14:paraId="551B055A" w14:textId="77777777" w:rsidR="006E25AF" w:rsidRPr="006E25AF" w:rsidRDefault="006E25AF" w:rsidP="000F7E56">
      <w:pPr>
        <w:spacing w:after="0" w:line="240" w:lineRule="auto"/>
        <w:rPr>
          <w:rFonts w:eastAsia="Calibri" w:cstheme="minorHAnsi"/>
        </w:rPr>
      </w:pPr>
    </w:p>
    <w:p w14:paraId="1FA9CFAC" w14:textId="77777777" w:rsidR="000F7E56" w:rsidRPr="006E25AF" w:rsidRDefault="000F7E56" w:rsidP="000F7E56">
      <w:pPr>
        <w:spacing w:after="0" w:line="240" w:lineRule="auto"/>
        <w:rPr>
          <w:rFonts w:eastAsia="Calibri" w:cstheme="minorHAnsi"/>
        </w:rPr>
      </w:pPr>
    </w:p>
    <w:p w14:paraId="5090CE87" w14:textId="77777777" w:rsidR="000F7E56" w:rsidRPr="006E25AF" w:rsidRDefault="000F7E56" w:rsidP="000F7E56">
      <w:pPr>
        <w:spacing w:after="0" w:line="240" w:lineRule="auto"/>
        <w:rPr>
          <w:rFonts w:eastAsia="Calibri" w:cstheme="minorHAnsi"/>
        </w:rPr>
      </w:pPr>
    </w:p>
    <w:p w14:paraId="3D8B951E" w14:textId="77777777" w:rsidR="006E25AF" w:rsidRPr="006E25AF" w:rsidRDefault="006E25AF" w:rsidP="000F7E56">
      <w:pPr>
        <w:pBdr>
          <w:top w:val="single" w:sz="4" w:space="1" w:color="auto"/>
          <w:left w:val="single" w:sz="4" w:space="4" w:color="auto"/>
          <w:bottom w:val="single" w:sz="4" w:space="1" w:color="auto"/>
          <w:right w:val="single" w:sz="4" w:space="4" w:color="auto"/>
        </w:pBdr>
        <w:spacing w:after="120" w:line="240" w:lineRule="auto"/>
        <w:rPr>
          <w:rFonts w:eastAsia="Calibri" w:cstheme="minorHAnsi"/>
        </w:rPr>
      </w:pPr>
    </w:p>
    <w:p w14:paraId="5E4FF119" w14:textId="5579D274" w:rsidR="000F7E56" w:rsidRPr="006E25AF" w:rsidRDefault="000F7E56" w:rsidP="000F7E56">
      <w:pPr>
        <w:pBdr>
          <w:top w:val="single" w:sz="4" w:space="1" w:color="auto"/>
          <w:left w:val="single" w:sz="4" w:space="4" w:color="auto"/>
          <w:bottom w:val="single" w:sz="4" w:space="1" w:color="auto"/>
          <w:right w:val="single" w:sz="4" w:space="4" w:color="auto"/>
        </w:pBdr>
        <w:spacing w:after="120" w:line="240" w:lineRule="auto"/>
        <w:rPr>
          <w:rFonts w:eastAsia="Calibri" w:cstheme="minorHAnsi"/>
        </w:rPr>
      </w:pPr>
      <w:bookmarkStart w:id="476" w:name="_Hlk103687621"/>
      <w:r w:rsidRPr="006E25AF">
        <w:rPr>
          <w:rFonts w:eastAsia="Calibri" w:cstheme="minorHAnsi"/>
        </w:rPr>
        <w:t xml:space="preserve">Story 5: </w:t>
      </w:r>
      <w:proofErr w:type="spellStart"/>
      <w:r w:rsidRPr="006E25AF">
        <w:rPr>
          <w:rFonts w:eastAsia="Calibri" w:cstheme="minorHAnsi"/>
        </w:rPr>
        <w:t>Delun</w:t>
      </w:r>
      <w:proofErr w:type="spellEnd"/>
    </w:p>
    <w:bookmarkEnd w:id="476"/>
    <w:p w14:paraId="3BE1470A" w14:textId="77777777" w:rsidR="000F7E56" w:rsidRPr="006E25AF" w:rsidRDefault="000F7E56" w:rsidP="000F7E56">
      <w:pPr>
        <w:pBdr>
          <w:top w:val="single" w:sz="4" w:space="1" w:color="auto"/>
          <w:left w:val="single" w:sz="4" w:space="4" w:color="auto"/>
          <w:bottom w:val="single" w:sz="4" w:space="1" w:color="auto"/>
          <w:right w:val="single" w:sz="4" w:space="4" w:color="auto"/>
        </w:pBdr>
        <w:spacing w:after="120" w:line="240" w:lineRule="auto"/>
        <w:rPr>
          <w:rFonts w:eastAsia="Calibri" w:cstheme="minorHAnsi"/>
        </w:rPr>
      </w:pPr>
      <w:r w:rsidRPr="006E25AF">
        <w:rPr>
          <w:rFonts w:eastAsia="Calibri" w:cstheme="minorHAnsi"/>
        </w:rPr>
        <w:t xml:space="preserve">My grandfather </w:t>
      </w:r>
      <w:proofErr w:type="spellStart"/>
      <w:r w:rsidRPr="006E25AF">
        <w:rPr>
          <w:rFonts w:eastAsia="Calibri" w:cstheme="minorHAnsi"/>
        </w:rPr>
        <w:t>Delun</w:t>
      </w:r>
      <w:proofErr w:type="spellEnd"/>
      <w:r w:rsidRPr="006E25AF">
        <w:rPr>
          <w:rFonts w:eastAsia="Calibri" w:cstheme="minorHAnsi"/>
        </w:rPr>
        <w:t xml:space="preserve"> is an 86-year-old Chinese gentleman and has lived with diabetes for many years.  More recently he has been diagnosed as having very advanced kidney disease.  His wife, my grandmother, died a few years ago and </w:t>
      </w:r>
      <w:proofErr w:type="spellStart"/>
      <w:r w:rsidRPr="006E25AF">
        <w:rPr>
          <w:rFonts w:eastAsia="Calibri" w:cstheme="minorHAnsi"/>
        </w:rPr>
        <w:t>Delun</w:t>
      </w:r>
      <w:proofErr w:type="spellEnd"/>
      <w:r w:rsidRPr="006E25AF">
        <w:rPr>
          <w:rFonts w:eastAsia="Calibri" w:cstheme="minorHAnsi"/>
        </w:rPr>
        <w:t xml:space="preserve"> now lives alone, though not far away from me and my wife.  </w:t>
      </w:r>
    </w:p>
    <w:p w14:paraId="4C6F273E" w14:textId="77777777" w:rsidR="000F7E56" w:rsidRPr="006E25AF" w:rsidRDefault="000F7E56" w:rsidP="000F7E56">
      <w:pPr>
        <w:pBdr>
          <w:top w:val="single" w:sz="4" w:space="1" w:color="auto"/>
          <w:left w:val="single" w:sz="4" w:space="4" w:color="auto"/>
          <w:bottom w:val="single" w:sz="4" w:space="1" w:color="auto"/>
          <w:right w:val="single" w:sz="4" w:space="4" w:color="auto"/>
        </w:pBdr>
        <w:spacing w:after="120" w:line="240" w:lineRule="auto"/>
        <w:rPr>
          <w:rFonts w:eastAsia="Calibri" w:cstheme="minorHAnsi"/>
        </w:rPr>
      </w:pPr>
      <w:r w:rsidRPr="006E25AF">
        <w:rPr>
          <w:rFonts w:eastAsia="Calibri" w:cstheme="minorHAnsi"/>
        </w:rPr>
        <w:t xml:space="preserve">A few days ago he awoke to find himself in A &amp; E having collapsed whilst taking a short walk outside his home.  A neighbour had called an ambulance, and then called me.  The neighbour knew that I was now </w:t>
      </w:r>
      <w:proofErr w:type="spellStart"/>
      <w:r w:rsidRPr="006E25AF">
        <w:rPr>
          <w:rFonts w:eastAsia="Calibri" w:cstheme="minorHAnsi"/>
        </w:rPr>
        <w:t>Delun’s</w:t>
      </w:r>
      <w:proofErr w:type="spellEnd"/>
      <w:r w:rsidRPr="006E25AF">
        <w:rPr>
          <w:rFonts w:eastAsia="Calibri" w:cstheme="minorHAnsi"/>
        </w:rPr>
        <w:t xml:space="preserve"> main carer since my father, my grandfather’s only son, died some years before. The neighbour also knew that I interpret for my grand-father. </w:t>
      </w:r>
      <w:proofErr w:type="spellStart"/>
      <w:r w:rsidRPr="006E25AF">
        <w:rPr>
          <w:rFonts w:eastAsia="Calibri" w:cstheme="minorHAnsi"/>
        </w:rPr>
        <w:t>Delun</w:t>
      </w:r>
      <w:proofErr w:type="spellEnd"/>
      <w:r w:rsidRPr="006E25AF">
        <w:rPr>
          <w:rFonts w:eastAsia="Calibri" w:cstheme="minorHAnsi"/>
        </w:rPr>
        <w:t xml:space="preserve"> has never fully learned English having only ever worked in the family business until his retirement. </w:t>
      </w:r>
      <w:proofErr w:type="spellStart"/>
      <w:r w:rsidRPr="006E25AF">
        <w:rPr>
          <w:rFonts w:eastAsia="Calibri" w:cstheme="minorHAnsi"/>
        </w:rPr>
        <w:t>Delun’s</w:t>
      </w:r>
      <w:proofErr w:type="spellEnd"/>
      <w:r w:rsidRPr="006E25AF">
        <w:rPr>
          <w:rFonts w:eastAsia="Calibri" w:cstheme="minorHAnsi"/>
        </w:rPr>
        <w:t xml:space="preserve"> neighbour has never held a direct conversation with him, despite having been neighbours for many years!  My Mum is English and although she helps me care for </w:t>
      </w:r>
      <w:proofErr w:type="spellStart"/>
      <w:r w:rsidRPr="006E25AF">
        <w:rPr>
          <w:rFonts w:eastAsia="Calibri" w:cstheme="minorHAnsi"/>
        </w:rPr>
        <w:t>Delun</w:t>
      </w:r>
      <w:proofErr w:type="spellEnd"/>
      <w:r w:rsidRPr="006E25AF">
        <w:rPr>
          <w:rFonts w:eastAsia="Calibri" w:cstheme="minorHAnsi"/>
        </w:rPr>
        <w:t xml:space="preserve">, she is unable to understand him fully. </w:t>
      </w:r>
    </w:p>
    <w:p w14:paraId="5F4162D8" w14:textId="77777777" w:rsidR="000F7E56" w:rsidRPr="006E25AF" w:rsidRDefault="000F7E56" w:rsidP="000F7E56">
      <w:pPr>
        <w:pBdr>
          <w:top w:val="single" w:sz="4" w:space="1" w:color="auto"/>
          <w:left w:val="single" w:sz="4" w:space="4" w:color="auto"/>
          <w:bottom w:val="single" w:sz="4" w:space="1" w:color="auto"/>
          <w:right w:val="single" w:sz="4" w:space="4" w:color="auto"/>
        </w:pBdr>
        <w:spacing w:after="120" w:line="240" w:lineRule="auto"/>
        <w:rPr>
          <w:rFonts w:eastAsia="Calibri" w:cstheme="minorHAnsi"/>
        </w:rPr>
      </w:pPr>
      <w:r w:rsidRPr="006E25AF">
        <w:rPr>
          <w:rFonts w:eastAsia="Calibri" w:cstheme="minorHAnsi"/>
        </w:rPr>
        <w:t xml:space="preserve">At the hospital, dazed and confused, </w:t>
      </w:r>
      <w:proofErr w:type="spellStart"/>
      <w:r w:rsidRPr="006E25AF">
        <w:rPr>
          <w:rFonts w:eastAsia="Calibri" w:cstheme="minorHAnsi"/>
        </w:rPr>
        <w:t>Delun</w:t>
      </w:r>
      <w:proofErr w:type="spellEnd"/>
      <w:r w:rsidRPr="006E25AF">
        <w:rPr>
          <w:rFonts w:eastAsia="Calibri" w:cstheme="minorHAnsi"/>
        </w:rPr>
        <w:t xml:space="preserve"> had managed to answer a few questions with the help of a Cantonese-speaking porter at the hospital until an interpreter could be tracked-down, though the interpreter never arrived.  My Mum arrived at the hospital just ahead of me and told me that when she arrived, </w:t>
      </w:r>
      <w:proofErr w:type="spellStart"/>
      <w:r w:rsidRPr="006E25AF">
        <w:rPr>
          <w:rFonts w:eastAsia="Calibri" w:cstheme="minorHAnsi"/>
        </w:rPr>
        <w:t>Delun</w:t>
      </w:r>
      <w:proofErr w:type="spellEnd"/>
      <w:r w:rsidRPr="006E25AF">
        <w:rPr>
          <w:rFonts w:eastAsia="Calibri" w:cstheme="minorHAnsi"/>
        </w:rPr>
        <w:t xml:space="preserve"> had been in a very distressed state as he had been unable to explain that he needed to visit the toilet.  </w:t>
      </w:r>
    </w:p>
    <w:p w14:paraId="6A79D2D4" w14:textId="77777777" w:rsidR="000F7E56" w:rsidRPr="006E25AF" w:rsidRDefault="000F7E56" w:rsidP="000F7E56">
      <w:pPr>
        <w:pBdr>
          <w:top w:val="single" w:sz="4" w:space="1" w:color="auto"/>
          <w:left w:val="single" w:sz="4" w:space="4" w:color="auto"/>
          <w:bottom w:val="single" w:sz="4" w:space="1" w:color="auto"/>
          <w:right w:val="single" w:sz="4" w:space="4" w:color="auto"/>
        </w:pBdr>
        <w:spacing w:after="120" w:line="240" w:lineRule="auto"/>
        <w:rPr>
          <w:rFonts w:eastAsia="Calibri" w:cstheme="minorHAnsi"/>
        </w:rPr>
      </w:pPr>
      <w:r w:rsidRPr="006E25AF">
        <w:rPr>
          <w:rFonts w:eastAsia="Calibri" w:cstheme="minorHAnsi"/>
        </w:rPr>
        <w:t xml:space="preserve">When I got there I was immediately questioned by the duty doctor, enquiring whether a DNACPR was in place, as they could have done with knowing this when he was admitted earlier that day.  I explained that nothing was in place at present, as </w:t>
      </w:r>
      <w:proofErr w:type="spellStart"/>
      <w:r w:rsidRPr="006E25AF">
        <w:rPr>
          <w:rFonts w:eastAsia="Calibri" w:cstheme="minorHAnsi"/>
        </w:rPr>
        <w:t>Delun</w:t>
      </w:r>
      <w:proofErr w:type="spellEnd"/>
      <w:r w:rsidRPr="006E25AF">
        <w:rPr>
          <w:rFonts w:eastAsia="Calibri" w:cstheme="minorHAnsi"/>
        </w:rPr>
        <w:t xml:space="preserve"> had become very agitated during an earlier hospital admission when I was not there, and an interpreter had explained to him that they were seeking </w:t>
      </w:r>
      <w:proofErr w:type="spellStart"/>
      <w:r w:rsidRPr="006E25AF">
        <w:rPr>
          <w:rFonts w:eastAsia="Calibri" w:cstheme="minorHAnsi"/>
        </w:rPr>
        <w:t>Delun’s</w:t>
      </w:r>
      <w:proofErr w:type="spellEnd"/>
      <w:r w:rsidRPr="006E25AF">
        <w:rPr>
          <w:rFonts w:eastAsia="Calibri" w:cstheme="minorHAnsi"/>
        </w:rPr>
        <w:t xml:space="preserve"> permission to withhold care if he should become too poorly.  This had disturbed </w:t>
      </w:r>
      <w:proofErr w:type="spellStart"/>
      <w:r w:rsidRPr="006E25AF">
        <w:rPr>
          <w:rFonts w:eastAsia="Calibri" w:cstheme="minorHAnsi"/>
        </w:rPr>
        <w:t>Delun</w:t>
      </w:r>
      <w:proofErr w:type="spellEnd"/>
      <w:r w:rsidRPr="006E25AF">
        <w:rPr>
          <w:rFonts w:eastAsia="Calibri" w:cstheme="minorHAnsi"/>
        </w:rPr>
        <w:t xml:space="preserve"> greatly and was upsetting to me because it meant that this was a conversation that I was going to have with my grandfather.  It was also upsetting for me because it took me back to emotional conversations I had had with my father before his death. </w:t>
      </w:r>
    </w:p>
    <w:p w14:paraId="5E9A1177" w14:textId="77777777" w:rsidR="000F7E56" w:rsidRPr="006E25AF" w:rsidRDefault="000F7E56" w:rsidP="000F7E56">
      <w:pPr>
        <w:pBdr>
          <w:top w:val="single" w:sz="4" w:space="1" w:color="auto"/>
          <w:left w:val="single" w:sz="4" w:space="4" w:color="auto"/>
          <w:bottom w:val="single" w:sz="4" w:space="1" w:color="auto"/>
          <w:right w:val="single" w:sz="4" w:space="4" w:color="auto"/>
        </w:pBdr>
        <w:spacing w:after="120" w:line="240" w:lineRule="auto"/>
        <w:rPr>
          <w:rFonts w:eastAsia="Calibri" w:cstheme="minorHAnsi"/>
        </w:rPr>
      </w:pPr>
      <w:proofErr w:type="spellStart"/>
      <w:r w:rsidRPr="006E25AF">
        <w:rPr>
          <w:rFonts w:eastAsia="Calibri" w:cstheme="minorHAnsi"/>
        </w:rPr>
        <w:t>Delun</w:t>
      </w:r>
      <w:proofErr w:type="spellEnd"/>
      <w:r w:rsidRPr="006E25AF">
        <w:rPr>
          <w:rFonts w:eastAsia="Calibri" w:cstheme="minorHAnsi"/>
        </w:rPr>
        <w:t xml:space="preserve"> was now very wary of hospital visits and sometimes missed dialysis sessions when I was occasionally unable to accompany him due to my work commitments. I’ve now used up most of my annual leave entitlement.  I’m the only one my grandfather trusts to make decisions about treatment. </w:t>
      </w:r>
    </w:p>
    <w:p w14:paraId="579CE522" w14:textId="2EE465BC" w:rsidR="000F7E56" w:rsidRPr="006E25AF" w:rsidRDefault="000F7E56" w:rsidP="000F7E56">
      <w:pPr>
        <w:pBdr>
          <w:top w:val="single" w:sz="4" w:space="1" w:color="auto"/>
          <w:left w:val="single" w:sz="4" w:space="4" w:color="auto"/>
          <w:bottom w:val="single" w:sz="4" w:space="1" w:color="auto"/>
          <w:right w:val="single" w:sz="4" w:space="4" w:color="auto"/>
        </w:pBdr>
        <w:spacing w:after="120" w:line="240" w:lineRule="auto"/>
        <w:rPr>
          <w:rFonts w:eastAsia="Calibri" w:cstheme="minorHAnsi"/>
        </w:rPr>
      </w:pPr>
      <w:r w:rsidRPr="006E25AF">
        <w:rPr>
          <w:rFonts w:eastAsia="Calibri" w:cstheme="minorHAnsi"/>
        </w:rPr>
        <w:t xml:space="preserve">I’ve now managed to re-register </w:t>
      </w:r>
      <w:proofErr w:type="spellStart"/>
      <w:r w:rsidRPr="006E25AF">
        <w:rPr>
          <w:rFonts w:eastAsia="Calibri" w:cstheme="minorHAnsi"/>
        </w:rPr>
        <w:t>Delun</w:t>
      </w:r>
      <w:proofErr w:type="spellEnd"/>
      <w:r w:rsidRPr="006E25AF">
        <w:rPr>
          <w:rFonts w:eastAsia="Calibri" w:cstheme="minorHAnsi"/>
        </w:rPr>
        <w:t xml:space="preserve"> with a Chinese-speaking GP at a local surgery. I do think that some important discussions need to be held sooner rather than later and the best chance of hearing my grandfather’s true feelings about the future, rest in the hands of this new GP.  I’ll need to take leave of course to go with </w:t>
      </w:r>
      <w:proofErr w:type="spellStart"/>
      <w:r w:rsidRPr="006E25AF">
        <w:rPr>
          <w:rFonts w:eastAsia="Calibri" w:cstheme="minorHAnsi"/>
        </w:rPr>
        <w:t>Delun</w:t>
      </w:r>
      <w:proofErr w:type="spellEnd"/>
      <w:r w:rsidRPr="006E25AF">
        <w:rPr>
          <w:rFonts w:eastAsia="Calibri" w:cstheme="minorHAnsi"/>
        </w:rPr>
        <w:t>.</w:t>
      </w:r>
    </w:p>
    <w:p w14:paraId="0B1F9BDE" w14:textId="77777777" w:rsidR="006E25AF" w:rsidRPr="006E25AF" w:rsidRDefault="006E25AF" w:rsidP="000F7E56">
      <w:pPr>
        <w:pBdr>
          <w:top w:val="single" w:sz="4" w:space="1" w:color="auto"/>
          <w:left w:val="single" w:sz="4" w:space="4" w:color="auto"/>
          <w:bottom w:val="single" w:sz="4" w:space="1" w:color="auto"/>
          <w:right w:val="single" w:sz="4" w:space="4" w:color="auto"/>
        </w:pBdr>
        <w:spacing w:after="120" w:line="240" w:lineRule="auto"/>
        <w:rPr>
          <w:rFonts w:eastAsia="Calibri" w:cstheme="minorHAnsi"/>
        </w:rPr>
      </w:pPr>
    </w:p>
    <w:p w14:paraId="390F4090" w14:textId="0E3C8B52" w:rsidR="000F7E56" w:rsidRPr="006E25AF" w:rsidRDefault="009D3F6D" w:rsidP="00D74EFC">
      <w:pPr>
        <w:pStyle w:val="Caption"/>
        <w:rPr>
          <w:rFonts w:eastAsia="Calibri"/>
        </w:rPr>
      </w:pPr>
      <w:bookmarkStart w:id="477" w:name="_Toc106701728"/>
      <w:r>
        <w:t xml:space="preserve">Box </w:t>
      </w:r>
      <w:fldSimple w:instr=" SEQ Box \* ARABIC ">
        <w:r w:rsidR="002E1980">
          <w:rPr>
            <w:noProof/>
          </w:rPr>
          <w:t>8</w:t>
        </w:r>
      </w:fldSimple>
      <w:r>
        <w:t xml:space="preserve"> - Story 5 '</w:t>
      </w:r>
      <w:proofErr w:type="spellStart"/>
      <w:r>
        <w:t>Delun</w:t>
      </w:r>
      <w:proofErr w:type="spellEnd"/>
      <w:r>
        <w:t>'</w:t>
      </w:r>
      <w:bookmarkEnd w:id="477"/>
    </w:p>
    <w:p w14:paraId="192CADC8" w14:textId="77777777" w:rsidR="000F7E56" w:rsidRPr="006E25AF" w:rsidRDefault="000F7E56" w:rsidP="000F7E56">
      <w:pPr>
        <w:spacing w:after="0" w:line="240" w:lineRule="auto"/>
        <w:rPr>
          <w:rFonts w:eastAsia="Calibri" w:cstheme="minorHAnsi"/>
        </w:rPr>
      </w:pPr>
    </w:p>
    <w:p w14:paraId="6213807C" w14:textId="77777777" w:rsidR="000F7E56" w:rsidRPr="006E25AF" w:rsidRDefault="000F7E56" w:rsidP="000F7E56">
      <w:pPr>
        <w:spacing w:after="0" w:line="240" w:lineRule="auto"/>
        <w:rPr>
          <w:rFonts w:eastAsia="Calibri" w:cstheme="minorHAnsi"/>
        </w:rPr>
      </w:pPr>
    </w:p>
    <w:p w14:paraId="2135030B" w14:textId="77777777" w:rsidR="000F7E56" w:rsidRPr="006E25AF" w:rsidRDefault="000F7E56" w:rsidP="000F7E56">
      <w:pPr>
        <w:spacing w:after="0" w:line="240" w:lineRule="auto"/>
        <w:rPr>
          <w:rFonts w:eastAsia="Calibri" w:cstheme="minorHAnsi"/>
        </w:rPr>
      </w:pPr>
    </w:p>
    <w:p w14:paraId="09C2895A" w14:textId="77777777" w:rsidR="000F7E56" w:rsidRPr="006E25AF" w:rsidRDefault="000F7E56" w:rsidP="000F7E56">
      <w:pPr>
        <w:spacing w:after="0" w:line="240" w:lineRule="auto"/>
        <w:rPr>
          <w:rFonts w:eastAsia="Calibri" w:cstheme="minorHAnsi"/>
        </w:rPr>
      </w:pPr>
    </w:p>
    <w:p w14:paraId="071BF8B2" w14:textId="77777777" w:rsidR="000F7E56" w:rsidRPr="006E25AF" w:rsidRDefault="000F7E56" w:rsidP="000F7E56">
      <w:pPr>
        <w:spacing w:after="0" w:line="240" w:lineRule="auto"/>
        <w:rPr>
          <w:rFonts w:eastAsia="Calibri" w:cstheme="minorHAnsi"/>
        </w:rPr>
      </w:pPr>
    </w:p>
    <w:p w14:paraId="57208494" w14:textId="77777777" w:rsidR="000F7E56" w:rsidRPr="006E25AF" w:rsidRDefault="000F7E56" w:rsidP="000F7E56">
      <w:pPr>
        <w:spacing w:after="0" w:line="240" w:lineRule="auto"/>
        <w:rPr>
          <w:rFonts w:eastAsia="Calibri" w:cstheme="minorHAnsi"/>
        </w:rPr>
      </w:pPr>
    </w:p>
    <w:p w14:paraId="158AF949" w14:textId="77777777" w:rsidR="000F7E56" w:rsidRPr="006E25AF" w:rsidRDefault="000F7E56" w:rsidP="000F7E56">
      <w:pPr>
        <w:spacing w:after="0" w:line="240" w:lineRule="auto"/>
        <w:rPr>
          <w:rFonts w:eastAsia="Calibri" w:cstheme="minorHAnsi"/>
        </w:rPr>
      </w:pPr>
    </w:p>
    <w:p w14:paraId="0F8A1EFE" w14:textId="08A927B0" w:rsidR="000F7E56" w:rsidRDefault="000F7E56" w:rsidP="000F7E56">
      <w:pPr>
        <w:spacing w:after="0" w:line="240" w:lineRule="auto"/>
        <w:rPr>
          <w:rFonts w:eastAsia="Calibri" w:cstheme="minorHAnsi"/>
        </w:rPr>
      </w:pPr>
    </w:p>
    <w:p w14:paraId="5C64442E" w14:textId="0D98903A" w:rsidR="006E25AF" w:rsidRDefault="006E25AF" w:rsidP="000F7E56">
      <w:pPr>
        <w:spacing w:after="0" w:line="240" w:lineRule="auto"/>
        <w:rPr>
          <w:rFonts w:eastAsia="Calibri" w:cstheme="minorHAnsi"/>
        </w:rPr>
      </w:pPr>
    </w:p>
    <w:p w14:paraId="30E1A9AF" w14:textId="5C376348" w:rsidR="006E25AF" w:rsidRDefault="006E25AF" w:rsidP="000F7E56">
      <w:pPr>
        <w:spacing w:after="0" w:line="240" w:lineRule="auto"/>
        <w:rPr>
          <w:rFonts w:eastAsia="Calibri" w:cstheme="minorHAnsi"/>
        </w:rPr>
      </w:pPr>
    </w:p>
    <w:p w14:paraId="53E8B0A6" w14:textId="20CDB4F0" w:rsidR="006E25AF" w:rsidRDefault="006E25AF" w:rsidP="000F7E56">
      <w:pPr>
        <w:spacing w:after="0" w:line="240" w:lineRule="auto"/>
        <w:rPr>
          <w:rFonts w:eastAsia="Calibri" w:cstheme="minorHAnsi"/>
        </w:rPr>
      </w:pPr>
    </w:p>
    <w:p w14:paraId="0EA30C7E" w14:textId="77777777" w:rsidR="006E25AF" w:rsidRPr="006E25AF" w:rsidRDefault="006E25AF" w:rsidP="000F7E56">
      <w:pPr>
        <w:spacing w:after="0" w:line="240" w:lineRule="auto"/>
        <w:rPr>
          <w:rFonts w:eastAsia="Calibri" w:cstheme="minorHAnsi"/>
        </w:rPr>
      </w:pPr>
    </w:p>
    <w:p w14:paraId="40D3B5F6" w14:textId="77777777" w:rsidR="000F7E56" w:rsidRPr="006E25AF" w:rsidRDefault="000F7E56" w:rsidP="000F7E56">
      <w:pPr>
        <w:spacing w:after="0" w:line="240" w:lineRule="auto"/>
        <w:rPr>
          <w:rFonts w:eastAsia="Calibri" w:cstheme="minorHAnsi"/>
        </w:rPr>
      </w:pPr>
    </w:p>
    <w:p w14:paraId="01EE9E28" w14:textId="77777777" w:rsidR="006E25AF" w:rsidRPr="006E25AF" w:rsidRDefault="006E25AF" w:rsidP="000F7E56">
      <w:pPr>
        <w:pBdr>
          <w:top w:val="single" w:sz="4" w:space="1" w:color="auto"/>
          <w:left w:val="single" w:sz="4" w:space="4" w:color="auto"/>
          <w:bottom w:val="single" w:sz="4" w:space="1" w:color="auto"/>
          <w:right w:val="single" w:sz="4" w:space="4" w:color="auto"/>
        </w:pBdr>
        <w:spacing w:after="120" w:line="240" w:lineRule="auto"/>
        <w:rPr>
          <w:rFonts w:eastAsia="Calibri" w:cstheme="minorHAnsi"/>
        </w:rPr>
      </w:pPr>
    </w:p>
    <w:p w14:paraId="14F88758" w14:textId="56AB3A76" w:rsidR="000F7E56" w:rsidRPr="006E25AF" w:rsidRDefault="000F7E56" w:rsidP="000F7E56">
      <w:pPr>
        <w:pBdr>
          <w:top w:val="single" w:sz="4" w:space="1" w:color="auto"/>
          <w:left w:val="single" w:sz="4" w:space="4" w:color="auto"/>
          <w:bottom w:val="single" w:sz="4" w:space="1" w:color="auto"/>
          <w:right w:val="single" w:sz="4" w:space="4" w:color="auto"/>
        </w:pBdr>
        <w:spacing w:after="120" w:line="240" w:lineRule="auto"/>
        <w:rPr>
          <w:rFonts w:eastAsia="Calibri" w:cstheme="minorHAnsi"/>
        </w:rPr>
      </w:pPr>
      <w:r w:rsidRPr="006E25AF">
        <w:rPr>
          <w:rFonts w:eastAsia="Calibri" w:cstheme="minorHAnsi"/>
        </w:rPr>
        <w:t xml:space="preserve">Story 6: </w:t>
      </w:r>
      <w:proofErr w:type="spellStart"/>
      <w:r w:rsidRPr="006E25AF">
        <w:rPr>
          <w:rFonts w:eastAsia="Calibri" w:cstheme="minorHAnsi"/>
        </w:rPr>
        <w:t>Shimbira</w:t>
      </w:r>
      <w:proofErr w:type="spellEnd"/>
    </w:p>
    <w:p w14:paraId="1D6D00CE" w14:textId="77777777" w:rsidR="000F7E56" w:rsidRPr="006E25AF" w:rsidRDefault="000F7E56" w:rsidP="000F7E56">
      <w:pPr>
        <w:pBdr>
          <w:top w:val="single" w:sz="4" w:space="1" w:color="auto"/>
          <w:left w:val="single" w:sz="4" w:space="4" w:color="auto"/>
          <w:bottom w:val="single" w:sz="4" w:space="1" w:color="auto"/>
          <w:right w:val="single" w:sz="4" w:space="4" w:color="auto"/>
        </w:pBdr>
        <w:spacing w:after="120" w:line="240" w:lineRule="auto"/>
        <w:rPr>
          <w:rFonts w:eastAsia="Calibri" w:cstheme="minorHAnsi"/>
        </w:rPr>
      </w:pPr>
      <w:proofErr w:type="spellStart"/>
      <w:r w:rsidRPr="006E25AF">
        <w:rPr>
          <w:rFonts w:eastAsia="Calibri" w:cstheme="minorHAnsi"/>
        </w:rPr>
        <w:t>Shimbira</w:t>
      </w:r>
      <w:proofErr w:type="spellEnd"/>
      <w:r w:rsidRPr="006E25AF">
        <w:rPr>
          <w:rFonts w:eastAsia="Calibri" w:cstheme="minorHAnsi"/>
        </w:rPr>
        <w:t xml:space="preserve"> is a 66 year old woman who lost her husband to a brain tumour 2 years ago. Her husband Abdul was a very committed family man who enjoyed having family dinners. Abdul was born in Zambia and came to the UK in the 60s. They had been married for 40 years and have 2 grown up children - a girl and a boy and 8 grandchildren. Abdul was a committed Muslim and very independent and had owned and managed his own business for more than 30 years. </w:t>
      </w:r>
      <w:proofErr w:type="spellStart"/>
      <w:r w:rsidRPr="006E25AF">
        <w:rPr>
          <w:rFonts w:eastAsia="Calibri" w:cstheme="minorHAnsi"/>
        </w:rPr>
        <w:t>Shimbira</w:t>
      </w:r>
      <w:proofErr w:type="spellEnd"/>
      <w:r w:rsidRPr="006E25AF">
        <w:rPr>
          <w:rFonts w:eastAsia="Calibri" w:cstheme="minorHAnsi"/>
        </w:rPr>
        <w:t xml:space="preserve"> recounts the events leading to Abdul’s illness saying it was very sudden. </w:t>
      </w:r>
    </w:p>
    <w:p w14:paraId="79C49D66" w14:textId="77777777" w:rsidR="000F7E56" w:rsidRPr="006E25AF" w:rsidRDefault="000F7E56" w:rsidP="000F7E56">
      <w:pPr>
        <w:pBdr>
          <w:top w:val="single" w:sz="4" w:space="1" w:color="auto"/>
          <w:left w:val="single" w:sz="4" w:space="4" w:color="auto"/>
          <w:bottom w:val="single" w:sz="4" w:space="1" w:color="auto"/>
          <w:right w:val="single" w:sz="4" w:space="4" w:color="auto"/>
        </w:pBdr>
        <w:spacing w:after="120" w:line="240" w:lineRule="auto"/>
        <w:rPr>
          <w:rFonts w:eastAsia="Calibri" w:cstheme="minorHAnsi"/>
        </w:rPr>
      </w:pPr>
      <w:r w:rsidRPr="006E25AF">
        <w:rPr>
          <w:rFonts w:eastAsia="Calibri" w:cstheme="minorHAnsi"/>
        </w:rPr>
        <w:t xml:space="preserve">Abdul felt weak when he returned from his pilgrimage to Mecca and complained of a headache so he went to the GP. The GP could not find anything wrong so he gave him painkillers which did not work. Abdul then returned to the GP on two separate occasions, complaining of the same symptoms before he was referred to the hospital for further assessments. Eventually, an MRI scan found he had a brain tumour. Abdul had to have brain surgery. </w:t>
      </w:r>
    </w:p>
    <w:p w14:paraId="06D74599" w14:textId="77777777" w:rsidR="000F7E56" w:rsidRPr="006E25AF" w:rsidRDefault="000F7E56" w:rsidP="000F7E56">
      <w:pPr>
        <w:pBdr>
          <w:top w:val="single" w:sz="4" w:space="1" w:color="auto"/>
          <w:left w:val="single" w:sz="4" w:space="4" w:color="auto"/>
          <w:bottom w:val="single" w:sz="4" w:space="1" w:color="auto"/>
          <w:right w:val="single" w:sz="4" w:space="4" w:color="auto"/>
        </w:pBdr>
        <w:spacing w:after="120" w:line="240" w:lineRule="auto"/>
        <w:rPr>
          <w:rFonts w:eastAsia="Calibri" w:cstheme="minorHAnsi"/>
        </w:rPr>
      </w:pPr>
      <w:proofErr w:type="spellStart"/>
      <w:r w:rsidRPr="006E25AF">
        <w:rPr>
          <w:rFonts w:eastAsia="Calibri" w:cstheme="minorHAnsi"/>
        </w:rPr>
        <w:t>Shimbira</w:t>
      </w:r>
      <w:proofErr w:type="spellEnd"/>
      <w:r w:rsidRPr="006E25AF">
        <w:rPr>
          <w:rFonts w:eastAsia="Calibri" w:cstheme="minorHAnsi"/>
        </w:rPr>
        <w:t xml:space="preserve"> describes her experience at hospital as being offensive. She recalls the time when she walked in Abdul’s ward and found her husband about to eat pork sausages something he would never eat as a devout Muslim.  She contrasted this experience with another at a different hospital where Abdul was referred to for further surgery. In </w:t>
      </w:r>
      <w:proofErr w:type="spellStart"/>
      <w:r w:rsidRPr="006E25AF">
        <w:rPr>
          <w:rFonts w:eastAsia="Calibri" w:cstheme="minorHAnsi"/>
        </w:rPr>
        <w:t>Shimbira’s</w:t>
      </w:r>
      <w:proofErr w:type="spellEnd"/>
      <w:r w:rsidRPr="006E25AF">
        <w:rPr>
          <w:rFonts w:eastAsia="Calibri" w:cstheme="minorHAnsi"/>
        </w:rPr>
        <w:t xml:space="preserve"> opinion the doctors and nurses there were very good. For example, because of Abdul’s speech difficulties caused by the tumour they were keen to involve the family and make sure they get things right for him. </w:t>
      </w:r>
      <w:proofErr w:type="spellStart"/>
      <w:r w:rsidRPr="006E25AF">
        <w:rPr>
          <w:rFonts w:eastAsia="Calibri" w:cstheme="minorHAnsi"/>
        </w:rPr>
        <w:t>Shimbira</w:t>
      </w:r>
      <w:proofErr w:type="spellEnd"/>
      <w:r w:rsidRPr="006E25AF">
        <w:rPr>
          <w:rFonts w:eastAsia="Calibri" w:cstheme="minorHAnsi"/>
        </w:rPr>
        <w:t xml:space="preserve"> explained that whenever the doctor or nurse was unable to understand her husband, they always phoned her to explain or clarify things and to ask them for their input on all decisions even his dietary requirements and preferences. Whilst this was a very difficult period in </w:t>
      </w:r>
      <w:proofErr w:type="spellStart"/>
      <w:r w:rsidRPr="006E25AF">
        <w:rPr>
          <w:rFonts w:eastAsia="Calibri" w:cstheme="minorHAnsi"/>
        </w:rPr>
        <w:t>Shimbira’s</w:t>
      </w:r>
      <w:proofErr w:type="spellEnd"/>
      <w:r w:rsidRPr="006E25AF">
        <w:rPr>
          <w:rFonts w:eastAsia="Calibri" w:cstheme="minorHAnsi"/>
        </w:rPr>
        <w:t xml:space="preserve"> life she is grateful for the support she received from the hospital staff. </w:t>
      </w:r>
    </w:p>
    <w:p w14:paraId="0B95B5A8" w14:textId="77777777" w:rsidR="000F7E56" w:rsidRPr="006E25AF" w:rsidRDefault="000F7E56" w:rsidP="000F7E56">
      <w:pPr>
        <w:pBdr>
          <w:top w:val="single" w:sz="4" w:space="1" w:color="auto"/>
          <w:left w:val="single" w:sz="4" w:space="4" w:color="auto"/>
          <w:bottom w:val="single" w:sz="4" w:space="1" w:color="auto"/>
          <w:right w:val="single" w:sz="4" w:space="4" w:color="auto"/>
        </w:pBdr>
        <w:spacing w:after="120" w:line="240" w:lineRule="auto"/>
        <w:rPr>
          <w:rFonts w:eastAsia="Calibri" w:cstheme="minorHAnsi"/>
        </w:rPr>
      </w:pPr>
      <w:r w:rsidRPr="006E25AF">
        <w:rPr>
          <w:rFonts w:eastAsia="Calibri" w:cstheme="minorHAnsi"/>
        </w:rPr>
        <w:t xml:space="preserve">After Abdul was discharged from hospital, </w:t>
      </w:r>
      <w:proofErr w:type="spellStart"/>
      <w:r w:rsidRPr="006E25AF">
        <w:rPr>
          <w:rFonts w:eastAsia="Calibri" w:cstheme="minorHAnsi"/>
        </w:rPr>
        <w:t>Shimbira</w:t>
      </w:r>
      <w:proofErr w:type="spellEnd"/>
      <w:r w:rsidRPr="006E25AF">
        <w:rPr>
          <w:rFonts w:eastAsia="Calibri" w:cstheme="minorHAnsi"/>
        </w:rPr>
        <w:t xml:space="preserve"> described how nurses continued to support her as his health deteriorated. She recalls the nurse, Judy, who used to come every Tuesday to check on them and provide support. To her what made this support outstanding is the fact that Judy managed to win their trust as a family. Each time Judy would visit she would make an effort to interact with Abdul and this assured them that she always had his best interests at heart. Judy guided them about changes in Abdul’s medications. She was also accessible and when they could not speak to her over the phone she would always return their calls within a reasonable time. Judy also updated </w:t>
      </w:r>
      <w:proofErr w:type="spellStart"/>
      <w:r w:rsidRPr="006E25AF">
        <w:rPr>
          <w:rFonts w:eastAsia="Calibri" w:cstheme="minorHAnsi"/>
        </w:rPr>
        <w:t>Shimbira</w:t>
      </w:r>
      <w:proofErr w:type="spellEnd"/>
      <w:r w:rsidRPr="006E25AF">
        <w:rPr>
          <w:rFonts w:eastAsia="Calibri" w:cstheme="minorHAnsi"/>
        </w:rPr>
        <w:t xml:space="preserve"> and Abdul on what to expect as he deteriorated and this helped </w:t>
      </w:r>
      <w:proofErr w:type="spellStart"/>
      <w:r w:rsidRPr="006E25AF">
        <w:rPr>
          <w:rFonts w:eastAsia="Calibri" w:cstheme="minorHAnsi"/>
        </w:rPr>
        <w:t>Shimbira</w:t>
      </w:r>
      <w:proofErr w:type="spellEnd"/>
      <w:r w:rsidRPr="006E25AF">
        <w:rPr>
          <w:rFonts w:eastAsia="Calibri" w:cstheme="minorHAnsi"/>
        </w:rPr>
        <w:t xml:space="preserve"> and the family prepare for the eventuality of Abdul’s death. In that sense, </w:t>
      </w:r>
      <w:proofErr w:type="spellStart"/>
      <w:r w:rsidRPr="006E25AF">
        <w:rPr>
          <w:rFonts w:eastAsia="Calibri" w:cstheme="minorHAnsi"/>
        </w:rPr>
        <w:t>Shimbira</w:t>
      </w:r>
      <w:proofErr w:type="spellEnd"/>
      <w:r w:rsidRPr="006E25AF">
        <w:rPr>
          <w:rFonts w:eastAsia="Calibri" w:cstheme="minorHAnsi"/>
        </w:rPr>
        <w:t xml:space="preserve"> considers herself lucky even though her husband is no longer here. </w:t>
      </w:r>
    </w:p>
    <w:p w14:paraId="0966B4EB" w14:textId="3A361D7A" w:rsidR="000F7E56" w:rsidRPr="006E25AF" w:rsidRDefault="000F7E56" w:rsidP="000F7E56">
      <w:pPr>
        <w:pBdr>
          <w:top w:val="single" w:sz="4" w:space="1" w:color="auto"/>
          <w:left w:val="single" w:sz="4" w:space="4" w:color="auto"/>
          <w:bottom w:val="single" w:sz="4" w:space="1" w:color="auto"/>
          <w:right w:val="single" w:sz="4" w:space="4" w:color="auto"/>
        </w:pBdr>
        <w:spacing w:after="120" w:line="240" w:lineRule="auto"/>
        <w:rPr>
          <w:rFonts w:eastAsia="Calibri" w:cstheme="minorHAnsi"/>
        </w:rPr>
      </w:pPr>
      <w:proofErr w:type="spellStart"/>
      <w:r w:rsidRPr="006E25AF">
        <w:rPr>
          <w:rFonts w:eastAsia="Calibri" w:cstheme="minorHAnsi"/>
        </w:rPr>
        <w:t>Shimbira</w:t>
      </w:r>
      <w:proofErr w:type="spellEnd"/>
      <w:r w:rsidRPr="006E25AF">
        <w:rPr>
          <w:rFonts w:eastAsia="Calibri" w:cstheme="minorHAnsi"/>
        </w:rPr>
        <w:t xml:space="preserve"> compares her experience with her neighbour Prudence’s experience. She explains Prudence has just learned that her mother has liver cancer, and does not have long to live. The consultant has advised Prudence to take her mother home to die. </w:t>
      </w:r>
      <w:proofErr w:type="spellStart"/>
      <w:r w:rsidRPr="006E25AF">
        <w:rPr>
          <w:rFonts w:eastAsia="Calibri" w:cstheme="minorHAnsi"/>
        </w:rPr>
        <w:t>Shimbira</w:t>
      </w:r>
      <w:proofErr w:type="spellEnd"/>
      <w:r w:rsidRPr="006E25AF">
        <w:rPr>
          <w:rFonts w:eastAsia="Calibri" w:cstheme="minorHAnsi"/>
        </w:rPr>
        <w:t xml:space="preserve"> is helping Prudence access guidance and support for her mother at home and they are speaking to the doctor later today. </w:t>
      </w:r>
    </w:p>
    <w:p w14:paraId="4915ACF6" w14:textId="77777777" w:rsidR="006E25AF" w:rsidRPr="006E25AF" w:rsidRDefault="006E25AF" w:rsidP="000F7E56">
      <w:pPr>
        <w:pBdr>
          <w:top w:val="single" w:sz="4" w:space="1" w:color="auto"/>
          <w:left w:val="single" w:sz="4" w:space="4" w:color="auto"/>
          <w:bottom w:val="single" w:sz="4" w:space="1" w:color="auto"/>
          <w:right w:val="single" w:sz="4" w:space="4" w:color="auto"/>
        </w:pBdr>
        <w:spacing w:after="120" w:line="240" w:lineRule="auto"/>
        <w:rPr>
          <w:rFonts w:eastAsia="Calibri" w:cstheme="minorHAnsi"/>
        </w:rPr>
      </w:pPr>
    </w:p>
    <w:p w14:paraId="17E177A1" w14:textId="34FB6894" w:rsidR="000F7E56" w:rsidRPr="006E25AF" w:rsidRDefault="009D3F6D" w:rsidP="00D74EFC">
      <w:pPr>
        <w:pStyle w:val="Caption"/>
        <w:rPr>
          <w:rFonts w:eastAsia="Calibri"/>
        </w:rPr>
      </w:pPr>
      <w:bookmarkStart w:id="478" w:name="_Toc106701729"/>
      <w:r>
        <w:t xml:space="preserve">Box </w:t>
      </w:r>
      <w:fldSimple w:instr=" SEQ Box \* ARABIC ">
        <w:r w:rsidR="002E1980">
          <w:rPr>
            <w:noProof/>
          </w:rPr>
          <w:t>9</w:t>
        </w:r>
      </w:fldSimple>
      <w:r>
        <w:t xml:space="preserve"> - Story 6 '</w:t>
      </w:r>
      <w:proofErr w:type="spellStart"/>
      <w:r>
        <w:t>Shimbira</w:t>
      </w:r>
      <w:proofErr w:type="spellEnd"/>
      <w:r>
        <w:t>'</w:t>
      </w:r>
      <w:bookmarkEnd w:id="478"/>
    </w:p>
    <w:p w14:paraId="3FB717A8" w14:textId="77777777" w:rsidR="000F7E56" w:rsidRPr="006E25AF" w:rsidRDefault="000F7E56" w:rsidP="000F7E56">
      <w:pPr>
        <w:spacing w:after="0" w:line="240" w:lineRule="auto"/>
        <w:rPr>
          <w:rFonts w:eastAsia="Calibri" w:cstheme="minorHAnsi"/>
        </w:rPr>
      </w:pPr>
    </w:p>
    <w:p w14:paraId="6E135C66" w14:textId="77777777" w:rsidR="000F7E56" w:rsidRPr="006E25AF" w:rsidRDefault="000F7E56" w:rsidP="000F7E56">
      <w:pPr>
        <w:spacing w:after="0" w:line="240" w:lineRule="auto"/>
        <w:rPr>
          <w:rFonts w:eastAsia="Calibri" w:cstheme="minorHAnsi"/>
        </w:rPr>
      </w:pPr>
    </w:p>
    <w:p w14:paraId="77CCA31F" w14:textId="2023052F" w:rsidR="000F7E56" w:rsidRDefault="000F7E56" w:rsidP="000F7E56">
      <w:pPr>
        <w:spacing w:after="0" w:line="240" w:lineRule="auto"/>
        <w:rPr>
          <w:rFonts w:eastAsia="Calibri" w:cstheme="minorHAnsi"/>
        </w:rPr>
      </w:pPr>
    </w:p>
    <w:p w14:paraId="7A8A9385" w14:textId="314A3F0B" w:rsidR="006E25AF" w:rsidRDefault="006E25AF" w:rsidP="000F7E56">
      <w:pPr>
        <w:spacing w:after="0" w:line="240" w:lineRule="auto"/>
        <w:rPr>
          <w:rFonts w:eastAsia="Calibri" w:cstheme="minorHAnsi"/>
        </w:rPr>
      </w:pPr>
    </w:p>
    <w:p w14:paraId="086147DD" w14:textId="170EABF9" w:rsidR="006E25AF" w:rsidRDefault="006E25AF" w:rsidP="000F7E56">
      <w:pPr>
        <w:spacing w:after="0" w:line="240" w:lineRule="auto"/>
        <w:rPr>
          <w:rFonts w:eastAsia="Calibri" w:cstheme="minorHAnsi"/>
        </w:rPr>
      </w:pPr>
    </w:p>
    <w:p w14:paraId="28E83C43" w14:textId="705C90C8" w:rsidR="006E25AF" w:rsidRDefault="006E25AF" w:rsidP="000F7E56">
      <w:pPr>
        <w:spacing w:after="0" w:line="240" w:lineRule="auto"/>
        <w:rPr>
          <w:rFonts w:eastAsia="Calibri" w:cstheme="minorHAnsi"/>
        </w:rPr>
      </w:pPr>
    </w:p>
    <w:p w14:paraId="2A2B3C92" w14:textId="77777777" w:rsidR="006E25AF" w:rsidRPr="006E25AF" w:rsidRDefault="006E25AF" w:rsidP="000F7E56">
      <w:pPr>
        <w:spacing w:after="0" w:line="240" w:lineRule="auto"/>
        <w:rPr>
          <w:rFonts w:eastAsia="Calibri" w:cstheme="minorHAnsi"/>
        </w:rPr>
      </w:pPr>
    </w:p>
    <w:p w14:paraId="009AD606" w14:textId="77777777" w:rsidR="000F7E56" w:rsidRPr="006E25AF" w:rsidRDefault="000F7E56" w:rsidP="000F7E56">
      <w:pPr>
        <w:spacing w:after="0" w:line="240" w:lineRule="auto"/>
        <w:rPr>
          <w:rFonts w:eastAsia="Calibri" w:cstheme="minorHAnsi"/>
        </w:rPr>
      </w:pPr>
    </w:p>
    <w:p w14:paraId="4F115E19" w14:textId="77777777" w:rsidR="000F7E56" w:rsidRPr="006E25AF" w:rsidRDefault="000F7E56" w:rsidP="000F7E56">
      <w:pPr>
        <w:spacing w:after="0" w:line="240" w:lineRule="auto"/>
        <w:rPr>
          <w:rFonts w:eastAsia="Calibri" w:cstheme="minorHAnsi"/>
        </w:rPr>
      </w:pPr>
    </w:p>
    <w:p w14:paraId="11D89ABE" w14:textId="77777777" w:rsidR="006E25AF" w:rsidRPr="006E25AF" w:rsidRDefault="006E25AF" w:rsidP="000F7E56">
      <w:pPr>
        <w:pBdr>
          <w:top w:val="single" w:sz="4" w:space="1" w:color="auto"/>
          <w:left w:val="single" w:sz="4" w:space="4" w:color="auto"/>
          <w:bottom w:val="single" w:sz="4" w:space="1" w:color="auto"/>
          <w:right w:val="single" w:sz="4" w:space="4" w:color="auto"/>
        </w:pBdr>
        <w:spacing w:after="120" w:line="240" w:lineRule="auto"/>
        <w:rPr>
          <w:rFonts w:eastAsia="Calibri" w:cstheme="minorHAnsi"/>
        </w:rPr>
      </w:pPr>
    </w:p>
    <w:p w14:paraId="6853CE95" w14:textId="5F992977" w:rsidR="000F7E56" w:rsidRPr="006E25AF" w:rsidRDefault="000F7E56" w:rsidP="000F7E56">
      <w:pPr>
        <w:pBdr>
          <w:top w:val="single" w:sz="4" w:space="1" w:color="auto"/>
          <w:left w:val="single" w:sz="4" w:space="4" w:color="auto"/>
          <w:bottom w:val="single" w:sz="4" w:space="1" w:color="auto"/>
          <w:right w:val="single" w:sz="4" w:space="4" w:color="auto"/>
        </w:pBdr>
        <w:spacing w:after="120" w:line="240" w:lineRule="auto"/>
        <w:rPr>
          <w:rFonts w:eastAsia="Calibri" w:cstheme="minorHAnsi"/>
        </w:rPr>
      </w:pPr>
      <w:r w:rsidRPr="006E25AF">
        <w:rPr>
          <w:rFonts w:eastAsia="Calibri" w:cstheme="minorHAnsi"/>
        </w:rPr>
        <w:t xml:space="preserve">Story 7: </w:t>
      </w:r>
      <w:proofErr w:type="spellStart"/>
      <w:r w:rsidRPr="006E25AF">
        <w:rPr>
          <w:rFonts w:eastAsia="Calibri" w:cstheme="minorHAnsi"/>
        </w:rPr>
        <w:t>Kozal</w:t>
      </w:r>
      <w:proofErr w:type="spellEnd"/>
    </w:p>
    <w:p w14:paraId="722905D7" w14:textId="77777777" w:rsidR="000F7E56" w:rsidRPr="006E25AF" w:rsidRDefault="000F7E56" w:rsidP="000F7E56">
      <w:pPr>
        <w:pBdr>
          <w:top w:val="single" w:sz="4" w:space="1" w:color="auto"/>
          <w:left w:val="single" w:sz="4" w:space="4" w:color="auto"/>
          <w:bottom w:val="single" w:sz="4" w:space="1" w:color="auto"/>
          <w:right w:val="single" w:sz="4" w:space="4" w:color="auto"/>
        </w:pBdr>
        <w:spacing w:after="120" w:line="240" w:lineRule="auto"/>
        <w:rPr>
          <w:rFonts w:eastAsia="Calibri" w:cstheme="minorHAnsi"/>
        </w:rPr>
      </w:pPr>
      <w:proofErr w:type="spellStart"/>
      <w:r w:rsidRPr="006E25AF">
        <w:rPr>
          <w:rFonts w:eastAsia="Calibri" w:cstheme="minorHAnsi"/>
        </w:rPr>
        <w:t>Kozal</w:t>
      </w:r>
      <w:proofErr w:type="spellEnd"/>
      <w:r w:rsidRPr="006E25AF">
        <w:rPr>
          <w:rFonts w:eastAsia="Calibri" w:cstheme="minorHAnsi"/>
        </w:rPr>
        <w:t xml:space="preserve"> is a frail 78 year old Asian woman born in India who migrated to the UK in the 70s. She spends most days in bed and lives with her daughter Sunita. Sunita is the main carer and struggles with administering her mother’s medication and also her own mental health issues. </w:t>
      </w:r>
      <w:proofErr w:type="spellStart"/>
      <w:r w:rsidRPr="006E25AF">
        <w:rPr>
          <w:rFonts w:eastAsia="Calibri" w:cstheme="minorHAnsi"/>
        </w:rPr>
        <w:t>Kozal</w:t>
      </w:r>
      <w:proofErr w:type="spellEnd"/>
      <w:r w:rsidRPr="006E25AF">
        <w:rPr>
          <w:rFonts w:eastAsia="Calibri" w:cstheme="minorHAnsi"/>
        </w:rPr>
        <w:t xml:space="preserve"> blames the healthcare system for her delayed diagnosis and subsequent ill health. When </w:t>
      </w:r>
      <w:proofErr w:type="spellStart"/>
      <w:r w:rsidRPr="006E25AF">
        <w:rPr>
          <w:rFonts w:eastAsia="Calibri" w:cstheme="minorHAnsi"/>
        </w:rPr>
        <w:t>Kozal’s</w:t>
      </w:r>
      <w:proofErr w:type="spellEnd"/>
      <w:r w:rsidRPr="006E25AF">
        <w:rPr>
          <w:rFonts w:eastAsia="Calibri" w:cstheme="minorHAnsi"/>
        </w:rPr>
        <w:t xml:space="preserve"> health started deteriorating, doctors took a long time to identify a faulty heart valve causing her heart failure.  The operation to correct this resulted in </w:t>
      </w:r>
      <w:proofErr w:type="spellStart"/>
      <w:r w:rsidRPr="006E25AF">
        <w:rPr>
          <w:rFonts w:eastAsia="Calibri" w:cstheme="minorHAnsi"/>
        </w:rPr>
        <w:t>Kozal</w:t>
      </w:r>
      <w:proofErr w:type="spellEnd"/>
      <w:r w:rsidRPr="006E25AF">
        <w:rPr>
          <w:rFonts w:eastAsia="Calibri" w:cstheme="minorHAnsi"/>
        </w:rPr>
        <w:t xml:space="preserve"> requiring further corrective surgery.  </w:t>
      </w:r>
      <w:proofErr w:type="spellStart"/>
      <w:r w:rsidRPr="006E25AF">
        <w:rPr>
          <w:rFonts w:eastAsia="Calibri" w:cstheme="minorHAnsi"/>
        </w:rPr>
        <w:t>Kozal</w:t>
      </w:r>
      <w:proofErr w:type="spellEnd"/>
      <w:r w:rsidRPr="006E25AF">
        <w:rPr>
          <w:rFonts w:eastAsia="Calibri" w:cstheme="minorHAnsi"/>
        </w:rPr>
        <w:t xml:space="preserve"> feels that the first operation was a disaster.   Even though </w:t>
      </w:r>
      <w:proofErr w:type="spellStart"/>
      <w:r w:rsidRPr="006E25AF">
        <w:rPr>
          <w:rFonts w:eastAsia="Calibri" w:cstheme="minorHAnsi"/>
        </w:rPr>
        <w:t>Kozal</w:t>
      </w:r>
      <w:proofErr w:type="spellEnd"/>
      <w:r w:rsidRPr="006E25AF">
        <w:rPr>
          <w:rFonts w:eastAsia="Calibri" w:cstheme="minorHAnsi"/>
        </w:rPr>
        <w:t xml:space="preserve"> regularly attended the hospital, Sunita described it as a ‘battle’ to locate her mother’s records for insurance purposes.  </w:t>
      </w:r>
    </w:p>
    <w:p w14:paraId="2AD1EF89" w14:textId="77777777" w:rsidR="000F7E56" w:rsidRPr="006E25AF" w:rsidRDefault="000F7E56" w:rsidP="000F7E56">
      <w:pPr>
        <w:pBdr>
          <w:top w:val="single" w:sz="4" w:space="1" w:color="auto"/>
          <w:left w:val="single" w:sz="4" w:space="4" w:color="auto"/>
          <w:bottom w:val="single" w:sz="4" w:space="1" w:color="auto"/>
          <w:right w:val="single" w:sz="4" w:space="4" w:color="auto"/>
        </w:pBdr>
        <w:spacing w:after="120" w:line="240" w:lineRule="auto"/>
        <w:rPr>
          <w:rFonts w:eastAsia="Calibri" w:cstheme="minorHAnsi"/>
        </w:rPr>
      </w:pPr>
      <w:proofErr w:type="spellStart"/>
      <w:r w:rsidRPr="006E25AF">
        <w:rPr>
          <w:rFonts w:eastAsia="Calibri" w:cstheme="minorHAnsi"/>
        </w:rPr>
        <w:t>Kozal</w:t>
      </w:r>
      <w:proofErr w:type="spellEnd"/>
      <w:r w:rsidRPr="006E25AF">
        <w:rPr>
          <w:rFonts w:eastAsia="Calibri" w:cstheme="minorHAnsi"/>
        </w:rPr>
        <w:t xml:space="preserve"> is a Jain and believes that everyone’s soul is considered equal and should be treated with respect and compassion. She is not afraid of dying; she feels she has had a good life. She has talked to her family about her wishes at end of life, but has not shared these with healthcare professionals as she feels this is an intimate family matter in which healthcare professionals should have no involvement. </w:t>
      </w:r>
      <w:proofErr w:type="spellStart"/>
      <w:r w:rsidRPr="006E25AF">
        <w:rPr>
          <w:rFonts w:eastAsia="Calibri" w:cstheme="minorHAnsi"/>
        </w:rPr>
        <w:t>Kozal’s</w:t>
      </w:r>
      <w:proofErr w:type="spellEnd"/>
      <w:r w:rsidRPr="006E25AF">
        <w:rPr>
          <w:rFonts w:eastAsia="Calibri" w:cstheme="minorHAnsi"/>
        </w:rPr>
        <w:t xml:space="preserve"> preference is to die at home but the memory of her sister Aarti’s death from cancer makes it difficult for her to trust healthcare advice about end of life. </w:t>
      </w:r>
      <w:proofErr w:type="spellStart"/>
      <w:r w:rsidRPr="006E25AF">
        <w:rPr>
          <w:rFonts w:eastAsia="Calibri" w:cstheme="minorHAnsi"/>
        </w:rPr>
        <w:t>Kozal</w:t>
      </w:r>
      <w:proofErr w:type="spellEnd"/>
      <w:r w:rsidRPr="006E25AF">
        <w:rPr>
          <w:rFonts w:eastAsia="Calibri" w:cstheme="minorHAnsi"/>
        </w:rPr>
        <w:t xml:space="preserve"> and Aarti had many similar experiences of health care, especially painful was that each time they were referred to a new health service they were asked to retell their story.   Talking about the illness brings bad feelings and is not right.   Aarti received palliative care for 2 years and </w:t>
      </w:r>
      <w:proofErr w:type="spellStart"/>
      <w:r w:rsidRPr="006E25AF">
        <w:rPr>
          <w:rFonts w:eastAsia="Calibri" w:cstheme="minorHAnsi"/>
        </w:rPr>
        <w:t>Kozal</w:t>
      </w:r>
      <w:proofErr w:type="spellEnd"/>
      <w:r w:rsidRPr="006E25AF">
        <w:rPr>
          <w:rFonts w:eastAsia="Calibri" w:cstheme="minorHAnsi"/>
        </w:rPr>
        <w:t xml:space="preserve"> felt her death was hastened by the drugs she was given, after coming home from a hospital admission. </w:t>
      </w:r>
      <w:proofErr w:type="spellStart"/>
      <w:r w:rsidRPr="006E25AF">
        <w:rPr>
          <w:rFonts w:eastAsia="Calibri" w:cstheme="minorHAnsi"/>
        </w:rPr>
        <w:t>Kozal</w:t>
      </w:r>
      <w:proofErr w:type="spellEnd"/>
      <w:r w:rsidRPr="006E25AF">
        <w:rPr>
          <w:rFonts w:eastAsia="Calibri" w:cstheme="minorHAnsi"/>
        </w:rPr>
        <w:t xml:space="preserve"> knows these drugs were called end-of-</w:t>
      </w:r>
      <w:proofErr w:type="spellStart"/>
      <w:r w:rsidRPr="006E25AF">
        <w:rPr>
          <w:rFonts w:eastAsia="Calibri" w:cstheme="minorHAnsi"/>
        </w:rPr>
        <w:t>lifedrugs</w:t>
      </w:r>
      <w:proofErr w:type="spellEnd"/>
      <w:r w:rsidRPr="006E25AF">
        <w:rPr>
          <w:rFonts w:eastAsia="Calibri" w:cstheme="minorHAnsi"/>
        </w:rPr>
        <w:t xml:space="preserve"> but her sister died a day after taking them. As a result </w:t>
      </w:r>
      <w:proofErr w:type="spellStart"/>
      <w:r w:rsidRPr="006E25AF">
        <w:rPr>
          <w:rFonts w:eastAsia="Calibri" w:cstheme="minorHAnsi"/>
        </w:rPr>
        <w:t>Kozal</w:t>
      </w:r>
      <w:proofErr w:type="spellEnd"/>
      <w:r w:rsidRPr="006E25AF">
        <w:rPr>
          <w:rFonts w:eastAsia="Calibri" w:cstheme="minorHAnsi"/>
        </w:rPr>
        <w:t xml:space="preserve"> recently refused to take morphine when it was prescribed for her pain relief as she believes it is lethal and only works to hasten patients’ deaths. </w:t>
      </w:r>
    </w:p>
    <w:p w14:paraId="52DF19EF" w14:textId="77777777" w:rsidR="000F7E56" w:rsidRPr="006E25AF" w:rsidRDefault="000F7E56" w:rsidP="000F7E56">
      <w:pPr>
        <w:pBdr>
          <w:top w:val="single" w:sz="4" w:space="1" w:color="auto"/>
          <w:left w:val="single" w:sz="4" w:space="4" w:color="auto"/>
          <w:bottom w:val="single" w:sz="4" w:space="1" w:color="auto"/>
          <w:right w:val="single" w:sz="4" w:space="4" w:color="auto"/>
        </w:pBdr>
        <w:spacing w:after="120" w:line="240" w:lineRule="auto"/>
        <w:rPr>
          <w:rFonts w:eastAsia="Calibri" w:cstheme="minorHAnsi"/>
        </w:rPr>
      </w:pPr>
      <w:proofErr w:type="spellStart"/>
      <w:r w:rsidRPr="006E25AF">
        <w:rPr>
          <w:rFonts w:eastAsia="Calibri" w:cstheme="minorHAnsi"/>
        </w:rPr>
        <w:t>Kozal</w:t>
      </w:r>
      <w:proofErr w:type="spellEnd"/>
      <w:r w:rsidRPr="006E25AF">
        <w:rPr>
          <w:rFonts w:eastAsia="Calibri" w:cstheme="minorHAnsi"/>
        </w:rPr>
        <w:t xml:space="preserve"> was close to her sister but they had different faith beliefs. While </w:t>
      </w:r>
      <w:proofErr w:type="spellStart"/>
      <w:r w:rsidRPr="006E25AF">
        <w:rPr>
          <w:rFonts w:eastAsia="Calibri" w:cstheme="minorHAnsi"/>
        </w:rPr>
        <w:t>Kozal</w:t>
      </w:r>
      <w:proofErr w:type="spellEnd"/>
      <w:r w:rsidRPr="006E25AF">
        <w:rPr>
          <w:rFonts w:eastAsia="Calibri" w:cstheme="minorHAnsi"/>
        </w:rPr>
        <w:t xml:space="preserve"> is a committed Jain - reading scripture and praying regularly and believing everything happens for a reason – her sister saw things differently. Aarti struggled to see beyond her present life and believed that evil forces were at work and that these originated from previous, negative life experiences to do with her marriage and family relationships. Throughout her illness she regretted not accepting offers of a priest to pray for her and cleanse her of these problems and misfortune. She believed that then her health might not have taken a turn for the worse.</w:t>
      </w:r>
    </w:p>
    <w:p w14:paraId="53F2C462" w14:textId="3DB51CB4" w:rsidR="000F7E56" w:rsidRPr="006E25AF" w:rsidRDefault="000F7E56" w:rsidP="000F7E56">
      <w:pPr>
        <w:pBdr>
          <w:top w:val="single" w:sz="4" w:space="1" w:color="auto"/>
          <w:left w:val="single" w:sz="4" w:space="4" w:color="auto"/>
          <w:bottom w:val="single" w:sz="4" w:space="1" w:color="auto"/>
          <w:right w:val="single" w:sz="4" w:space="4" w:color="auto"/>
        </w:pBdr>
        <w:spacing w:after="120" w:line="240" w:lineRule="auto"/>
        <w:rPr>
          <w:rFonts w:eastAsia="Calibri" w:cstheme="minorHAnsi"/>
        </w:rPr>
      </w:pPr>
      <w:proofErr w:type="spellStart"/>
      <w:r w:rsidRPr="006E25AF">
        <w:rPr>
          <w:rFonts w:eastAsia="Calibri" w:cstheme="minorHAnsi"/>
        </w:rPr>
        <w:t>Kozal’s</w:t>
      </w:r>
      <w:proofErr w:type="spellEnd"/>
      <w:r w:rsidRPr="006E25AF">
        <w:rPr>
          <w:rFonts w:eastAsia="Calibri" w:cstheme="minorHAnsi"/>
        </w:rPr>
        <w:t xml:space="preserve"> daughter is concerned that in focussing more on life after death her mother is not engaging with matters of this life. </w:t>
      </w:r>
      <w:proofErr w:type="spellStart"/>
      <w:r w:rsidRPr="006E25AF">
        <w:rPr>
          <w:rFonts w:eastAsia="Calibri" w:cstheme="minorHAnsi"/>
        </w:rPr>
        <w:t>Kozal</w:t>
      </w:r>
      <w:proofErr w:type="spellEnd"/>
      <w:r w:rsidRPr="006E25AF">
        <w:rPr>
          <w:rFonts w:eastAsia="Calibri" w:cstheme="minorHAnsi"/>
        </w:rPr>
        <w:t xml:space="preserve"> has said that apart from spiritual preparation for life after death no one has the power to change anything. Sunita feels that whilst some spiritual preparation may be helping her mother to cope, </w:t>
      </w:r>
      <w:proofErr w:type="spellStart"/>
      <w:r w:rsidRPr="006E25AF">
        <w:rPr>
          <w:rFonts w:eastAsia="Calibri" w:cstheme="minorHAnsi"/>
        </w:rPr>
        <w:t>Kozal</w:t>
      </w:r>
      <w:proofErr w:type="spellEnd"/>
      <w:r w:rsidRPr="006E25AF">
        <w:rPr>
          <w:rFonts w:eastAsia="Calibri" w:cstheme="minorHAnsi"/>
        </w:rPr>
        <w:t xml:space="preserve"> is growing more distant and closed off to others. </w:t>
      </w:r>
      <w:proofErr w:type="spellStart"/>
      <w:r w:rsidRPr="006E25AF">
        <w:rPr>
          <w:rFonts w:eastAsia="Calibri" w:cstheme="minorHAnsi"/>
        </w:rPr>
        <w:t>Kozal</w:t>
      </w:r>
      <w:proofErr w:type="spellEnd"/>
      <w:r w:rsidRPr="006E25AF">
        <w:rPr>
          <w:rFonts w:eastAsia="Calibri" w:cstheme="minorHAnsi"/>
        </w:rPr>
        <w:t xml:space="preserve"> and Sunita are seeing the GP today to discuss the flu jab. Sunita is worried about how </w:t>
      </w:r>
      <w:proofErr w:type="spellStart"/>
      <w:r w:rsidRPr="006E25AF">
        <w:rPr>
          <w:rFonts w:eastAsia="Calibri" w:cstheme="minorHAnsi"/>
        </w:rPr>
        <w:t>Kozal</w:t>
      </w:r>
      <w:proofErr w:type="spellEnd"/>
      <w:r w:rsidRPr="006E25AF">
        <w:rPr>
          <w:rFonts w:eastAsia="Calibri" w:cstheme="minorHAnsi"/>
        </w:rPr>
        <w:t xml:space="preserve"> will react if the GP wants to discuss pain relief.   </w:t>
      </w:r>
    </w:p>
    <w:p w14:paraId="681AE946" w14:textId="77777777" w:rsidR="006E25AF" w:rsidRPr="006E25AF" w:rsidRDefault="006E25AF" w:rsidP="000F7E56">
      <w:pPr>
        <w:pBdr>
          <w:top w:val="single" w:sz="4" w:space="1" w:color="auto"/>
          <w:left w:val="single" w:sz="4" w:space="4" w:color="auto"/>
          <w:bottom w:val="single" w:sz="4" w:space="1" w:color="auto"/>
          <w:right w:val="single" w:sz="4" w:space="4" w:color="auto"/>
        </w:pBdr>
        <w:spacing w:after="120" w:line="240" w:lineRule="auto"/>
        <w:rPr>
          <w:rFonts w:eastAsia="Calibri" w:cstheme="minorHAnsi"/>
        </w:rPr>
      </w:pPr>
    </w:p>
    <w:p w14:paraId="2364C649" w14:textId="77777777" w:rsidR="000F7E56" w:rsidRPr="006E25AF" w:rsidRDefault="000F7E56" w:rsidP="000F7E56">
      <w:pPr>
        <w:spacing w:after="0" w:line="240" w:lineRule="auto"/>
        <w:rPr>
          <w:rFonts w:eastAsia="Calibri" w:cstheme="minorHAnsi"/>
        </w:rPr>
      </w:pPr>
    </w:p>
    <w:p w14:paraId="69A63768" w14:textId="12E417EB" w:rsidR="006E25AF" w:rsidRDefault="002E1980" w:rsidP="00D74EFC">
      <w:pPr>
        <w:pStyle w:val="Caption"/>
        <w:rPr>
          <w:rFonts w:eastAsia="Calibri"/>
        </w:rPr>
      </w:pPr>
      <w:bookmarkStart w:id="479" w:name="_Toc106701730"/>
      <w:r>
        <w:t xml:space="preserve">Box </w:t>
      </w:r>
      <w:fldSimple w:instr=" SEQ Box \* ARABIC ">
        <w:r>
          <w:rPr>
            <w:noProof/>
          </w:rPr>
          <w:t>10</w:t>
        </w:r>
      </w:fldSimple>
      <w:r>
        <w:t xml:space="preserve"> - Story 7 '</w:t>
      </w:r>
      <w:proofErr w:type="spellStart"/>
      <w:r>
        <w:t>Kozal</w:t>
      </w:r>
      <w:proofErr w:type="spellEnd"/>
      <w:r>
        <w:t>'</w:t>
      </w:r>
      <w:bookmarkEnd w:id="479"/>
    </w:p>
    <w:p w14:paraId="65BDA5FE" w14:textId="3795F364" w:rsidR="006E25AF" w:rsidRDefault="006E25AF" w:rsidP="006E25AF">
      <w:pPr>
        <w:rPr>
          <w:rFonts w:eastAsia="Calibri" w:cstheme="minorHAnsi"/>
        </w:rPr>
      </w:pPr>
    </w:p>
    <w:p w14:paraId="0EA70F4F" w14:textId="3A030438" w:rsidR="006E25AF" w:rsidRDefault="006E25AF" w:rsidP="006E25AF">
      <w:pPr>
        <w:rPr>
          <w:rFonts w:eastAsia="Calibri" w:cstheme="minorHAnsi"/>
        </w:rPr>
      </w:pPr>
    </w:p>
    <w:p w14:paraId="20C5ACDD" w14:textId="5A856FED" w:rsidR="006E25AF" w:rsidRDefault="006E25AF" w:rsidP="006E25AF">
      <w:pPr>
        <w:rPr>
          <w:rFonts w:eastAsia="Calibri" w:cstheme="minorHAnsi"/>
        </w:rPr>
      </w:pPr>
    </w:p>
    <w:p w14:paraId="4C23C88A" w14:textId="13D13020" w:rsidR="006E25AF" w:rsidRDefault="006E25AF" w:rsidP="006E25AF">
      <w:pPr>
        <w:rPr>
          <w:rFonts w:eastAsia="Calibri" w:cstheme="minorHAnsi"/>
        </w:rPr>
      </w:pPr>
    </w:p>
    <w:p w14:paraId="5B2FF4DE" w14:textId="59D1E028" w:rsidR="006E25AF" w:rsidRDefault="006E25AF" w:rsidP="006E25AF">
      <w:pPr>
        <w:rPr>
          <w:rFonts w:eastAsia="Calibri" w:cstheme="minorHAnsi"/>
        </w:rPr>
      </w:pPr>
    </w:p>
    <w:p w14:paraId="639153DE" w14:textId="77777777" w:rsidR="006E25AF" w:rsidRPr="006E25AF" w:rsidRDefault="006E25AF" w:rsidP="006E25AF">
      <w:pPr>
        <w:rPr>
          <w:rFonts w:eastAsia="Calibri" w:cstheme="minorHAnsi"/>
        </w:rPr>
      </w:pPr>
    </w:p>
    <w:p w14:paraId="64CAD82A" w14:textId="77777777" w:rsidR="00794A1A" w:rsidRDefault="00794A1A" w:rsidP="000F7E56">
      <w:pPr>
        <w:pBdr>
          <w:top w:val="single" w:sz="4" w:space="1" w:color="auto"/>
          <w:left w:val="single" w:sz="4" w:space="4" w:color="auto"/>
          <w:bottom w:val="single" w:sz="4" w:space="1" w:color="auto"/>
          <w:right w:val="single" w:sz="4" w:space="4" w:color="auto"/>
        </w:pBdr>
        <w:spacing w:before="120" w:after="0" w:line="240" w:lineRule="auto"/>
        <w:rPr>
          <w:rFonts w:eastAsia="Calibri" w:cstheme="minorHAnsi"/>
        </w:rPr>
      </w:pPr>
    </w:p>
    <w:p w14:paraId="1A91945E" w14:textId="0C639EAC" w:rsidR="000F7E56" w:rsidRPr="006E25AF" w:rsidRDefault="000F7E56" w:rsidP="000F7E56">
      <w:pPr>
        <w:pBdr>
          <w:top w:val="single" w:sz="4" w:space="1" w:color="auto"/>
          <w:left w:val="single" w:sz="4" w:space="4" w:color="auto"/>
          <w:bottom w:val="single" w:sz="4" w:space="1" w:color="auto"/>
          <w:right w:val="single" w:sz="4" w:space="4" w:color="auto"/>
        </w:pBdr>
        <w:spacing w:before="120" w:after="0" w:line="240" w:lineRule="auto"/>
        <w:rPr>
          <w:rFonts w:eastAsia="Calibri" w:cstheme="minorHAnsi"/>
        </w:rPr>
      </w:pPr>
      <w:r w:rsidRPr="006E25AF">
        <w:rPr>
          <w:rFonts w:eastAsia="Calibri" w:cstheme="minorHAnsi"/>
        </w:rPr>
        <w:t xml:space="preserve">Story 8: </w:t>
      </w:r>
      <w:proofErr w:type="spellStart"/>
      <w:r w:rsidRPr="006E25AF">
        <w:rPr>
          <w:rFonts w:eastAsia="Calibri" w:cstheme="minorHAnsi"/>
        </w:rPr>
        <w:t>Mufaro</w:t>
      </w:r>
      <w:proofErr w:type="spellEnd"/>
    </w:p>
    <w:p w14:paraId="31273AB6" w14:textId="1F189478" w:rsidR="000F7E56" w:rsidRPr="006E25AF" w:rsidRDefault="000F7E56" w:rsidP="000F7E56">
      <w:pPr>
        <w:pBdr>
          <w:top w:val="single" w:sz="4" w:space="1" w:color="auto"/>
          <w:left w:val="single" w:sz="4" w:space="4" w:color="auto"/>
          <w:bottom w:val="single" w:sz="4" w:space="1" w:color="auto"/>
          <w:right w:val="single" w:sz="4" w:space="4" w:color="auto"/>
        </w:pBdr>
        <w:spacing w:before="120" w:after="0" w:line="240" w:lineRule="auto"/>
        <w:rPr>
          <w:rFonts w:eastAsia="Calibri" w:cstheme="minorHAnsi"/>
        </w:rPr>
      </w:pPr>
      <w:proofErr w:type="spellStart"/>
      <w:r w:rsidRPr="006E25AF">
        <w:rPr>
          <w:rFonts w:eastAsia="Calibri" w:cstheme="minorHAnsi"/>
        </w:rPr>
        <w:t>Mufaro</w:t>
      </w:r>
      <w:proofErr w:type="spellEnd"/>
      <w:r w:rsidRPr="006E25AF">
        <w:rPr>
          <w:rFonts w:eastAsia="Calibri" w:cstheme="minorHAnsi"/>
        </w:rPr>
        <w:t xml:space="preserve"> is a keen football player and football fan who is suffering from cancer; although he is no longer receiving treatment at the hospital, having been told they are unsure at this stage if there is any more treatment available.  Although the pain has been getting worse </w:t>
      </w:r>
      <w:proofErr w:type="spellStart"/>
      <w:r w:rsidRPr="006E25AF">
        <w:rPr>
          <w:rFonts w:eastAsia="Calibri" w:cstheme="minorHAnsi"/>
        </w:rPr>
        <w:t>Mufaro</w:t>
      </w:r>
      <w:proofErr w:type="spellEnd"/>
      <w:r w:rsidRPr="006E25AF">
        <w:rPr>
          <w:rFonts w:eastAsia="Calibri" w:cstheme="minorHAnsi"/>
        </w:rPr>
        <w:t xml:space="preserve"> is confident that he will pull through and that God will help him to recover.  As long as he stays strong and does not start to doubt.  As long as he does not give up.  But he knows that he won’t.  Everyone has always known that </w:t>
      </w:r>
      <w:proofErr w:type="spellStart"/>
      <w:r w:rsidRPr="006E25AF">
        <w:rPr>
          <w:rFonts w:eastAsia="Calibri" w:cstheme="minorHAnsi"/>
        </w:rPr>
        <w:t>Mufaro</w:t>
      </w:r>
      <w:proofErr w:type="spellEnd"/>
      <w:r w:rsidRPr="006E25AF">
        <w:rPr>
          <w:rFonts w:eastAsia="Calibri" w:cstheme="minorHAnsi"/>
        </w:rPr>
        <w:t xml:space="preserve"> is a fighter.  Ever since arriving here as a young boy with his aunt he has had to stand on his own two feet.</w:t>
      </w:r>
    </w:p>
    <w:p w14:paraId="3EBE6F8B" w14:textId="0D046FED" w:rsidR="000F7E56" w:rsidRPr="006E25AF" w:rsidRDefault="000F7E56" w:rsidP="000F7E56">
      <w:pPr>
        <w:pBdr>
          <w:top w:val="single" w:sz="4" w:space="1" w:color="auto"/>
          <w:left w:val="single" w:sz="4" w:space="4" w:color="auto"/>
          <w:bottom w:val="single" w:sz="4" w:space="1" w:color="auto"/>
          <w:right w:val="single" w:sz="4" w:space="4" w:color="auto"/>
        </w:pBdr>
        <w:spacing w:before="120" w:after="0" w:line="240" w:lineRule="auto"/>
        <w:rPr>
          <w:rFonts w:eastAsia="Calibri" w:cstheme="minorHAnsi"/>
        </w:rPr>
      </w:pPr>
      <w:r w:rsidRPr="006E25AF">
        <w:rPr>
          <w:rFonts w:eastAsia="Calibri" w:cstheme="minorHAnsi"/>
        </w:rPr>
        <w:t>Furth</w:t>
      </w:r>
      <w:r w:rsidR="006E25AF" w:rsidRPr="006E25AF">
        <w:rPr>
          <w:rFonts w:eastAsia="Calibri" w:cstheme="minorHAnsi"/>
        </w:rPr>
        <w:t>e</w:t>
      </w:r>
      <w:r w:rsidRPr="006E25AF">
        <w:rPr>
          <w:rFonts w:eastAsia="Calibri" w:cstheme="minorHAnsi"/>
        </w:rPr>
        <w:t xml:space="preserve">rmore, the fact that he has not received any news from the hospital suggests to him that he has a good chance of recovery, because they always treated him well and he is confident that if they think of a new treatment that might work that they will let him know.  Although his wife, </w:t>
      </w:r>
      <w:proofErr w:type="spellStart"/>
      <w:r w:rsidRPr="006E25AF">
        <w:rPr>
          <w:rFonts w:eastAsia="Calibri" w:cstheme="minorHAnsi"/>
        </w:rPr>
        <w:t>Chibuzo</w:t>
      </w:r>
      <w:proofErr w:type="spellEnd"/>
      <w:r w:rsidRPr="006E25AF">
        <w:rPr>
          <w:rFonts w:eastAsia="Calibri" w:cstheme="minorHAnsi"/>
        </w:rPr>
        <w:t xml:space="preserve">, has told him that she overheard a nurse saying that there was nothing more </w:t>
      </w:r>
      <w:proofErr w:type="spellStart"/>
      <w:r w:rsidRPr="006E25AF">
        <w:rPr>
          <w:rFonts w:eastAsia="Calibri" w:cstheme="minorHAnsi"/>
        </w:rPr>
        <w:t>that</w:t>
      </w:r>
      <w:proofErr w:type="spellEnd"/>
      <w:r w:rsidRPr="006E25AF">
        <w:rPr>
          <w:rFonts w:eastAsia="Calibri" w:cstheme="minorHAnsi"/>
        </w:rPr>
        <w:t xml:space="preserve"> they could do, and it was now just a matter of time.  </w:t>
      </w:r>
      <w:proofErr w:type="spellStart"/>
      <w:r w:rsidRPr="006E25AF">
        <w:rPr>
          <w:rFonts w:eastAsia="Calibri" w:cstheme="minorHAnsi"/>
        </w:rPr>
        <w:t>Chibuzo</w:t>
      </w:r>
      <w:proofErr w:type="spellEnd"/>
      <w:r w:rsidRPr="006E25AF">
        <w:rPr>
          <w:rFonts w:eastAsia="Calibri" w:cstheme="minorHAnsi"/>
        </w:rPr>
        <w:t xml:space="preserve"> was shocked by this, and even more by the fact that she heard the nurse use the word ‘dying’, a term she cannot bring herself to use, for it is only God who knows whether somebody is dying or not.  </w:t>
      </w:r>
      <w:proofErr w:type="spellStart"/>
      <w:r w:rsidRPr="006E25AF">
        <w:rPr>
          <w:rFonts w:eastAsia="Calibri" w:cstheme="minorHAnsi"/>
        </w:rPr>
        <w:t>Mufaro</w:t>
      </w:r>
      <w:proofErr w:type="spellEnd"/>
      <w:r w:rsidRPr="006E25AF">
        <w:rPr>
          <w:rFonts w:eastAsia="Calibri" w:cstheme="minorHAnsi"/>
        </w:rPr>
        <w:t xml:space="preserve"> has tried to console her; and anyway the nurse is not a proper doctor and doesn’t know what the doctor knows.  </w:t>
      </w:r>
    </w:p>
    <w:p w14:paraId="1F99F4D6" w14:textId="7E4690A4" w:rsidR="000F7E56" w:rsidRPr="006E25AF" w:rsidRDefault="000F7E56" w:rsidP="000F7E56">
      <w:pPr>
        <w:pBdr>
          <w:top w:val="single" w:sz="4" w:space="1" w:color="auto"/>
          <w:left w:val="single" w:sz="4" w:space="4" w:color="auto"/>
          <w:bottom w:val="single" w:sz="4" w:space="1" w:color="auto"/>
          <w:right w:val="single" w:sz="4" w:space="4" w:color="auto"/>
        </w:pBdr>
        <w:spacing w:before="120" w:after="0" w:line="240" w:lineRule="auto"/>
        <w:rPr>
          <w:rFonts w:eastAsia="Calibri" w:cstheme="minorHAnsi"/>
        </w:rPr>
      </w:pPr>
      <w:proofErr w:type="spellStart"/>
      <w:r w:rsidRPr="006E25AF">
        <w:rPr>
          <w:rFonts w:eastAsia="Calibri" w:cstheme="minorHAnsi"/>
        </w:rPr>
        <w:t>Mufaro</w:t>
      </w:r>
      <w:proofErr w:type="spellEnd"/>
      <w:r w:rsidRPr="006E25AF">
        <w:rPr>
          <w:rFonts w:eastAsia="Calibri" w:cstheme="minorHAnsi"/>
        </w:rPr>
        <w:t xml:space="preserve"> respects his doctor; he has always encouraged his positive attitude.  There was one time when he was going to talk about things with him; about what might happen to his wife if the treatment didn’t work; but he could see that the doctor was being positive, and he didn’t want to let him down.  Everyone must all believe in the same thing and fight together.  That’s the way that you win.  Through teamwork. </w:t>
      </w:r>
    </w:p>
    <w:p w14:paraId="248FDB89" w14:textId="7427D099" w:rsidR="000F7E56" w:rsidRPr="006E25AF" w:rsidRDefault="000F7E56" w:rsidP="000F7E56">
      <w:pPr>
        <w:pBdr>
          <w:top w:val="single" w:sz="4" w:space="1" w:color="auto"/>
          <w:left w:val="single" w:sz="4" w:space="4" w:color="auto"/>
          <w:bottom w:val="single" w:sz="4" w:space="1" w:color="auto"/>
          <w:right w:val="single" w:sz="4" w:space="4" w:color="auto"/>
        </w:pBdr>
        <w:spacing w:before="120" w:after="0" w:line="240" w:lineRule="auto"/>
        <w:rPr>
          <w:rFonts w:eastAsia="Calibri" w:cstheme="minorHAnsi"/>
        </w:rPr>
      </w:pPr>
      <w:r w:rsidRPr="006E25AF">
        <w:rPr>
          <w:rFonts w:eastAsia="Calibri" w:cstheme="minorHAnsi"/>
        </w:rPr>
        <w:t xml:space="preserve">Today some friends from the football team he used to play for are coming round to watch a big match with him on the television and he is willing himself to be in as good a shape as possible.  He is worried that he may let himself and them down a little. He feels that he has with some of the congregation at church who have been praying for his recovery which has not yet started to materialise.  But it will.  He is sure of it.  He knows he will never play football again, but he can still offer advice from the side-lines once his body has started to recover or if a new cure is found.  And the doctors are always finding these new treatments and will contact him when they have found something that they think will work.  </w:t>
      </w:r>
    </w:p>
    <w:p w14:paraId="3DE5DA6E" w14:textId="77777777" w:rsidR="000F7E56" w:rsidRPr="006E25AF" w:rsidRDefault="000F7E56" w:rsidP="000F7E56">
      <w:pPr>
        <w:pBdr>
          <w:top w:val="single" w:sz="4" w:space="1" w:color="auto"/>
          <w:left w:val="single" w:sz="4" w:space="4" w:color="auto"/>
          <w:bottom w:val="single" w:sz="4" w:space="1" w:color="auto"/>
          <w:right w:val="single" w:sz="4" w:space="4" w:color="auto"/>
        </w:pBdr>
        <w:spacing w:before="120" w:after="0" w:line="240" w:lineRule="auto"/>
        <w:rPr>
          <w:rFonts w:eastAsia="Calibri" w:cstheme="minorHAnsi"/>
        </w:rPr>
      </w:pPr>
      <w:proofErr w:type="spellStart"/>
      <w:r w:rsidRPr="006E25AF">
        <w:rPr>
          <w:rFonts w:eastAsia="Calibri" w:cstheme="minorHAnsi"/>
        </w:rPr>
        <w:t>Mufaro</w:t>
      </w:r>
      <w:proofErr w:type="spellEnd"/>
      <w:r w:rsidRPr="006E25AF">
        <w:rPr>
          <w:rFonts w:eastAsia="Calibri" w:cstheme="minorHAnsi"/>
        </w:rPr>
        <w:t xml:space="preserve"> also knows that he needs to apologise to one of his friends, Darren, who will be coming; someone he played with at the heart of defence the year they won the league.  During a visit last week Darren suggested to his wife, </w:t>
      </w:r>
      <w:proofErr w:type="spellStart"/>
      <w:r w:rsidRPr="006E25AF">
        <w:rPr>
          <w:rFonts w:eastAsia="Calibri" w:cstheme="minorHAnsi"/>
        </w:rPr>
        <w:t>Chibuzo</w:t>
      </w:r>
      <w:proofErr w:type="spellEnd"/>
      <w:r w:rsidRPr="006E25AF">
        <w:rPr>
          <w:rFonts w:eastAsia="Calibri" w:cstheme="minorHAnsi"/>
        </w:rPr>
        <w:t xml:space="preserve">, that </w:t>
      </w:r>
      <w:proofErr w:type="spellStart"/>
      <w:r w:rsidRPr="006E25AF">
        <w:rPr>
          <w:rFonts w:eastAsia="Calibri" w:cstheme="minorHAnsi"/>
        </w:rPr>
        <w:t>Mufaro</w:t>
      </w:r>
      <w:proofErr w:type="spellEnd"/>
      <w:r w:rsidRPr="006E25AF">
        <w:rPr>
          <w:rFonts w:eastAsia="Calibri" w:cstheme="minorHAnsi"/>
        </w:rPr>
        <w:t xml:space="preserve"> was not dealing with the reality of the situation, that he could see that he was getting weaker and that perhaps they should talk to the doctor about what they could do to make the end of his life easier for them both when that moment arose.  This confused and worried </w:t>
      </w:r>
      <w:proofErr w:type="spellStart"/>
      <w:r w:rsidRPr="006E25AF">
        <w:rPr>
          <w:rFonts w:eastAsia="Calibri" w:cstheme="minorHAnsi"/>
        </w:rPr>
        <w:t>Chibuzo</w:t>
      </w:r>
      <w:proofErr w:type="spellEnd"/>
      <w:r w:rsidRPr="006E25AF">
        <w:rPr>
          <w:rFonts w:eastAsia="Calibri" w:cstheme="minorHAnsi"/>
        </w:rPr>
        <w:t xml:space="preserve">, like the time she overheard the nurse, because </w:t>
      </w:r>
      <w:proofErr w:type="spellStart"/>
      <w:r w:rsidRPr="006E25AF">
        <w:rPr>
          <w:rFonts w:eastAsia="Calibri" w:cstheme="minorHAnsi"/>
        </w:rPr>
        <w:t>Chibuzo</w:t>
      </w:r>
      <w:proofErr w:type="spellEnd"/>
      <w:r w:rsidRPr="006E25AF">
        <w:rPr>
          <w:rFonts w:eastAsia="Calibri" w:cstheme="minorHAnsi"/>
        </w:rPr>
        <w:t xml:space="preserve"> knows that such things shouldn’t be talked about like this.  That to start to think about such things is the start of a slippery slope.  </w:t>
      </w:r>
      <w:proofErr w:type="spellStart"/>
      <w:r w:rsidRPr="006E25AF">
        <w:rPr>
          <w:rFonts w:eastAsia="Calibri" w:cstheme="minorHAnsi"/>
        </w:rPr>
        <w:t>Mufaro</w:t>
      </w:r>
      <w:proofErr w:type="spellEnd"/>
      <w:r w:rsidRPr="006E25AF">
        <w:rPr>
          <w:rFonts w:eastAsia="Calibri" w:cstheme="minorHAnsi"/>
        </w:rPr>
        <w:t xml:space="preserve"> was very angry; it was wrong to do this to his wife.  If Darren wanted to say anything, he should have spoken to him and not her.  And anyway the Doctor is the one who will decide when the right time is to talk about such things.  </w:t>
      </w:r>
    </w:p>
    <w:p w14:paraId="35F988A0" w14:textId="77777777" w:rsidR="000F7E56" w:rsidRPr="006E25AF" w:rsidRDefault="000F7E56" w:rsidP="000F7E56">
      <w:pPr>
        <w:pBdr>
          <w:top w:val="single" w:sz="4" w:space="1" w:color="auto"/>
          <w:left w:val="single" w:sz="4" w:space="4" w:color="auto"/>
          <w:bottom w:val="single" w:sz="4" w:space="1" w:color="auto"/>
          <w:right w:val="single" w:sz="4" w:space="4" w:color="auto"/>
        </w:pBdr>
        <w:spacing w:after="0" w:line="240" w:lineRule="auto"/>
        <w:jc w:val="both"/>
        <w:rPr>
          <w:rFonts w:eastAsia="Calibri" w:cstheme="minorHAnsi"/>
        </w:rPr>
      </w:pPr>
    </w:p>
    <w:p w14:paraId="40FB33B9" w14:textId="77777777" w:rsidR="000F7E56" w:rsidRPr="006E25AF" w:rsidRDefault="000F7E56" w:rsidP="000F7E56">
      <w:pPr>
        <w:pBdr>
          <w:top w:val="single" w:sz="4" w:space="1" w:color="auto"/>
          <w:left w:val="single" w:sz="4" w:space="4" w:color="auto"/>
          <w:bottom w:val="single" w:sz="4" w:space="1" w:color="auto"/>
          <w:right w:val="single" w:sz="4" w:space="4" w:color="auto"/>
        </w:pBdr>
        <w:spacing w:after="0" w:line="240" w:lineRule="auto"/>
        <w:rPr>
          <w:rFonts w:eastAsia="Calibri" w:cstheme="minorHAnsi"/>
        </w:rPr>
      </w:pPr>
      <w:proofErr w:type="spellStart"/>
      <w:r w:rsidRPr="006E25AF">
        <w:rPr>
          <w:rFonts w:eastAsia="Calibri" w:cstheme="minorHAnsi"/>
        </w:rPr>
        <w:t>Mufaro</w:t>
      </w:r>
      <w:proofErr w:type="spellEnd"/>
      <w:r w:rsidRPr="006E25AF">
        <w:rPr>
          <w:rFonts w:eastAsia="Calibri" w:cstheme="minorHAnsi"/>
        </w:rPr>
        <w:t xml:space="preserve"> is aware that </w:t>
      </w:r>
      <w:proofErr w:type="spellStart"/>
      <w:r w:rsidRPr="006E25AF">
        <w:rPr>
          <w:rFonts w:eastAsia="Calibri" w:cstheme="minorHAnsi"/>
        </w:rPr>
        <w:t>Chibuzo</w:t>
      </w:r>
      <w:proofErr w:type="spellEnd"/>
      <w:r w:rsidRPr="006E25AF">
        <w:rPr>
          <w:rFonts w:eastAsia="Calibri" w:cstheme="minorHAnsi"/>
        </w:rPr>
        <w:t xml:space="preserve"> is tired and can sometimes become very emotional with the work of looking after him.  He jokingly calls her his trainer because she has become an expert on the peaks and troughs of his energy levels and mental well-being.  Yet this moment of confusion for </w:t>
      </w:r>
      <w:proofErr w:type="spellStart"/>
      <w:r w:rsidRPr="006E25AF">
        <w:rPr>
          <w:rFonts w:eastAsia="Calibri" w:cstheme="minorHAnsi"/>
        </w:rPr>
        <w:t>Chibuzo</w:t>
      </w:r>
      <w:proofErr w:type="spellEnd"/>
      <w:r w:rsidRPr="006E25AF">
        <w:rPr>
          <w:rFonts w:eastAsia="Calibri" w:cstheme="minorHAnsi"/>
        </w:rPr>
        <w:t xml:space="preserve">, because of Darren’s thoughtlessness, also threw </w:t>
      </w:r>
      <w:proofErr w:type="spellStart"/>
      <w:r w:rsidRPr="006E25AF">
        <w:rPr>
          <w:rFonts w:eastAsia="Calibri" w:cstheme="minorHAnsi"/>
        </w:rPr>
        <w:t>Mufaro</w:t>
      </w:r>
      <w:proofErr w:type="spellEnd"/>
      <w:r w:rsidRPr="006E25AF">
        <w:rPr>
          <w:rFonts w:eastAsia="Calibri" w:cstheme="minorHAnsi"/>
        </w:rPr>
        <w:t xml:space="preserve"> and in a moment of weakness he wrote down everything that he wanted to happen if he did die.  Not just the funeral and what happens afterwards but the actual days leading up to his dying.  Not that he will. </w:t>
      </w:r>
    </w:p>
    <w:p w14:paraId="7FFC12A0" w14:textId="77777777" w:rsidR="000F7E56" w:rsidRPr="006E25AF" w:rsidRDefault="000F7E56" w:rsidP="000F7E56">
      <w:pPr>
        <w:pBdr>
          <w:top w:val="single" w:sz="4" w:space="1" w:color="auto"/>
          <w:left w:val="single" w:sz="4" w:space="4" w:color="auto"/>
          <w:bottom w:val="single" w:sz="4" w:space="1" w:color="auto"/>
          <w:right w:val="single" w:sz="4" w:space="4" w:color="auto"/>
        </w:pBdr>
        <w:spacing w:after="0" w:line="240" w:lineRule="auto"/>
        <w:rPr>
          <w:rFonts w:eastAsia="Calibri" w:cstheme="minorHAnsi"/>
        </w:rPr>
      </w:pPr>
    </w:p>
    <w:p w14:paraId="04637CD7" w14:textId="77777777" w:rsidR="000F7E56" w:rsidRPr="006E25AF" w:rsidRDefault="000F7E56" w:rsidP="000F7E56">
      <w:pPr>
        <w:pBdr>
          <w:top w:val="single" w:sz="4" w:space="1" w:color="auto"/>
          <w:left w:val="single" w:sz="4" w:space="4" w:color="auto"/>
          <w:bottom w:val="single" w:sz="4" w:space="1" w:color="auto"/>
          <w:right w:val="single" w:sz="4" w:space="4" w:color="auto"/>
        </w:pBdr>
        <w:spacing w:after="0" w:line="240" w:lineRule="auto"/>
        <w:rPr>
          <w:rFonts w:eastAsia="Calibri" w:cstheme="minorHAnsi"/>
        </w:rPr>
      </w:pPr>
      <w:r w:rsidRPr="006E25AF">
        <w:rPr>
          <w:rFonts w:eastAsia="Calibri" w:cstheme="minorHAnsi"/>
        </w:rPr>
        <w:t xml:space="preserve">He hasn’t given this to </w:t>
      </w:r>
      <w:proofErr w:type="spellStart"/>
      <w:r w:rsidRPr="006E25AF">
        <w:rPr>
          <w:rFonts w:eastAsia="Calibri" w:cstheme="minorHAnsi"/>
        </w:rPr>
        <w:t>Chibuzo</w:t>
      </w:r>
      <w:proofErr w:type="spellEnd"/>
      <w:r w:rsidRPr="006E25AF">
        <w:rPr>
          <w:rFonts w:eastAsia="Calibri" w:cstheme="minorHAnsi"/>
        </w:rPr>
        <w:t xml:space="preserve">, and he hasn’t told her about it.  But he has kept it.  Just in case.  Now that he’s written it, it would be stupid to throw it away.  He has also decided that </w:t>
      </w:r>
      <w:proofErr w:type="spellStart"/>
      <w:r w:rsidRPr="006E25AF">
        <w:rPr>
          <w:rFonts w:eastAsia="Calibri" w:cstheme="minorHAnsi"/>
        </w:rPr>
        <w:t>Chibuzo</w:t>
      </w:r>
      <w:proofErr w:type="spellEnd"/>
      <w:r w:rsidRPr="006E25AF">
        <w:rPr>
          <w:rFonts w:eastAsia="Calibri" w:cstheme="minorHAnsi"/>
        </w:rPr>
        <w:t xml:space="preserve"> should let his organs be donated.  That maybe he can help a young person who is unwell.  That maybe this will help them run around a football field or engage in some other kind of sport as he would like to.  He is not sure about the religious </w:t>
      </w:r>
      <w:r w:rsidRPr="006E25AF">
        <w:rPr>
          <w:rFonts w:eastAsia="Calibri" w:cstheme="minorHAnsi"/>
        </w:rPr>
        <w:lastRenderedPageBreak/>
        <w:t xml:space="preserve">teachings considering this, but it is something that he has decided on.  And he is pleased that he has done that. </w:t>
      </w:r>
    </w:p>
    <w:p w14:paraId="77B8E931" w14:textId="77777777" w:rsidR="000F7E56" w:rsidRPr="006E25AF" w:rsidRDefault="000F7E56" w:rsidP="000F7E56">
      <w:pPr>
        <w:pBdr>
          <w:top w:val="single" w:sz="4" w:space="1" w:color="auto"/>
          <w:left w:val="single" w:sz="4" w:space="4" w:color="auto"/>
          <w:bottom w:val="single" w:sz="4" w:space="1" w:color="auto"/>
          <w:right w:val="single" w:sz="4" w:space="4" w:color="auto"/>
        </w:pBdr>
        <w:spacing w:after="0" w:line="240" w:lineRule="auto"/>
        <w:rPr>
          <w:rFonts w:eastAsia="Calibri" w:cstheme="minorHAnsi"/>
        </w:rPr>
      </w:pPr>
    </w:p>
    <w:p w14:paraId="0BD6F9A3" w14:textId="77777777" w:rsidR="000F7E56" w:rsidRPr="006E25AF" w:rsidRDefault="000F7E56" w:rsidP="000F7E56">
      <w:pPr>
        <w:pBdr>
          <w:top w:val="single" w:sz="4" w:space="1" w:color="auto"/>
          <w:left w:val="single" w:sz="4" w:space="4" w:color="auto"/>
          <w:bottom w:val="single" w:sz="4" w:space="1" w:color="auto"/>
          <w:right w:val="single" w:sz="4" w:space="4" w:color="auto"/>
        </w:pBdr>
        <w:spacing w:after="0" w:line="240" w:lineRule="auto"/>
        <w:rPr>
          <w:rFonts w:eastAsia="Calibri" w:cstheme="minorHAnsi"/>
        </w:rPr>
      </w:pPr>
      <w:r w:rsidRPr="006E25AF">
        <w:rPr>
          <w:rFonts w:eastAsia="Calibri" w:cstheme="minorHAnsi"/>
        </w:rPr>
        <w:t xml:space="preserve">He rang Darren and told him never to say things like that to his wife again.  That although he was a good footballer, he never had the same level of commitment as </w:t>
      </w:r>
      <w:proofErr w:type="spellStart"/>
      <w:r w:rsidRPr="006E25AF">
        <w:rPr>
          <w:rFonts w:eastAsia="Calibri" w:cstheme="minorHAnsi"/>
        </w:rPr>
        <w:t>Mufaro</w:t>
      </w:r>
      <w:proofErr w:type="spellEnd"/>
      <w:r w:rsidRPr="006E25AF">
        <w:rPr>
          <w:rFonts w:eastAsia="Calibri" w:cstheme="minorHAnsi"/>
        </w:rPr>
        <w:t>; and never understood his faith.  That the rest of the team that have come to his house have known better.  Even though some are non-believers, and the others are of a different faith to him, they know the importance of a positive mindset.  That you never win anything if you go into a game fearing defeat.</w:t>
      </w:r>
    </w:p>
    <w:p w14:paraId="51338701" w14:textId="77777777" w:rsidR="000F7E56" w:rsidRPr="006E25AF" w:rsidRDefault="000F7E56" w:rsidP="000F7E56">
      <w:pPr>
        <w:pBdr>
          <w:top w:val="single" w:sz="4" w:space="1" w:color="auto"/>
          <w:left w:val="single" w:sz="4" w:space="4" w:color="auto"/>
          <w:bottom w:val="single" w:sz="4" w:space="1" w:color="auto"/>
          <w:right w:val="single" w:sz="4" w:space="4" w:color="auto"/>
        </w:pBdr>
        <w:spacing w:after="0" w:line="240" w:lineRule="auto"/>
        <w:rPr>
          <w:rFonts w:eastAsia="Calibri" w:cstheme="minorHAnsi"/>
        </w:rPr>
      </w:pPr>
    </w:p>
    <w:p w14:paraId="40CF1252" w14:textId="77777777" w:rsidR="000F7E56" w:rsidRPr="006E25AF" w:rsidRDefault="000F7E56" w:rsidP="000F7E56">
      <w:pPr>
        <w:pBdr>
          <w:top w:val="single" w:sz="4" w:space="1" w:color="auto"/>
          <w:left w:val="single" w:sz="4" w:space="4" w:color="auto"/>
          <w:bottom w:val="single" w:sz="4" w:space="1" w:color="auto"/>
          <w:right w:val="single" w:sz="4" w:space="4" w:color="auto"/>
        </w:pBdr>
        <w:spacing w:after="0" w:line="240" w:lineRule="auto"/>
        <w:rPr>
          <w:rFonts w:eastAsia="Calibri" w:cstheme="minorHAnsi"/>
        </w:rPr>
      </w:pPr>
      <w:r w:rsidRPr="006E25AF">
        <w:rPr>
          <w:rFonts w:eastAsia="Calibri" w:cstheme="minorHAnsi"/>
        </w:rPr>
        <w:t xml:space="preserve">But it is not just all about his inner strength; he knows that.  It is ultimately in God’s hands.  It is He who gives life and He who determines it will be taken away.  </w:t>
      </w:r>
      <w:proofErr w:type="spellStart"/>
      <w:r w:rsidRPr="006E25AF">
        <w:rPr>
          <w:rFonts w:eastAsia="Calibri" w:cstheme="minorHAnsi"/>
        </w:rPr>
        <w:t>Mufaro’s</w:t>
      </w:r>
      <w:proofErr w:type="spellEnd"/>
      <w:r w:rsidRPr="006E25AF">
        <w:rPr>
          <w:rFonts w:eastAsia="Calibri" w:cstheme="minorHAnsi"/>
        </w:rPr>
        <w:t xml:space="preserve"> job is to stay positive and to keep praying.  And he has forgiven Darren, as he knows he should.  It is a time to embrace ones love of friends.  </w:t>
      </w:r>
    </w:p>
    <w:p w14:paraId="62FEAF46" w14:textId="77777777" w:rsidR="000F7E56" w:rsidRPr="006E25AF" w:rsidRDefault="000F7E56" w:rsidP="000F7E56">
      <w:pPr>
        <w:pBdr>
          <w:top w:val="single" w:sz="4" w:space="1" w:color="auto"/>
          <w:left w:val="single" w:sz="4" w:space="4" w:color="auto"/>
          <w:bottom w:val="single" w:sz="4" w:space="1" w:color="auto"/>
          <w:right w:val="single" w:sz="4" w:space="4" w:color="auto"/>
        </w:pBdr>
        <w:spacing w:after="0" w:line="240" w:lineRule="auto"/>
        <w:rPr>
          <w:rFonts w:eastAsia="Calibri" w:cstheme="minorHAnsi"/>
        </w:rPr>
      </w:pPr>
    </w:p>
    <w:p w14:paraId="5F970850" w14:textId="29D8FF0A" w:rsidR="000F7E56" w:rsidRPr="006E25AF" w:rsidRDefault="000F7E56" w:rsidP="000F7E56">
      <w:pPr>
        <w:pBdr>
          <w:top w:val="single" w:sz="4" w:space="1" w:color="auto"/>
          <w:left w:val="single" w:sz="4" w:space="4" w:color="auto"/>
          <w:bottom w:val="single" w:sz="4" w:space="1" w:color="auto"/>
          <w:right w:val="single" w:sz="4" w:space="4" w:color="auto"/>
        </w:pBdr>
        <w:spacing w:after="0" w:line="240" w:lineRule="auto"/>
        <w:rPr>
          <w:rFonts w:eastAsia="Calibri" w:cstheme="minorHAnsi"/>
        </w:rPr>
      </w:pPr>
      <w:r w:rsidRPr="006E25AF">
        <w:rPr>
          <w:rFonts w:eastAsia="Calibri" w:cstheme="minorHAnsi"/>
        </w:rPr>
        <w:t xml:space="preserve">He just hopes the match won’t go to extra time.  </w:t>
      </w:r>
    </w:p>
    <w:p w14:paraId="04BCF7D5" w14:textId="77777777" w:rsidR="006E25AF" w:rsidRPr="000F7E56" w:rsidRDefault="006E25AF" w:rsidP="000F7E56">
      <w:pPr>
        <w:pBdr>
          <w:top w:val="single" w:sz="4" w:space="1" w:color="auto"/>
          <w:left w:val="single" w:sz="4" w:space="4" w:color="auto"/>
          <w:bottom w:val="single" w:sz="4" w:space="1" w:color="auto"/>
          <w:right w:val="single" w:sz="4" w:space="4" w:color="auto"/>
        </w:pBdr>
        <w:spacing w:after="0" w:line="240" w:lineRule="auto"/>
        <w:rPr>
          <w:rFonts w:ascii="Calibri" w:eastAsia="Calibri" w:hAnsi="Calibri" w:cs="Times New Roman"/>
          <w:sz w:val="24"/>
          <w:szCs w:val="24"/>
        </w:rPr>
      </w:pPr>
    </w:p>
    <w:p w14:paraId="4026D6E1" w14:textId="77777777" w:rsidR="000F7E56" w:rsidRPr="000F7E56" w:rsidRDefault="000F7E56" w:rsidP="000F7E56">
      <w:pPr>
        <w:spacing w:after="0" w:line="240" w:lineRule="auto"/>
        <w:rPr>
          <w:rFonts w:ascii="Calibri" w:eastAsia="Calibri" w:hAnsi="Calibri" w:cs="Times New Roman"/>
          <w:sz w:val="24"/>
          <w:szCs w:val="24"/>
        </w:rPr>
      </w:pPr>
    </w:p>
    <w:p w14:paraId="7B864DAD" w14:textId="3C197E19" w:rsidR="006E25AF" w:rsidRDefault="002E1980" w:rsidP="00D74EFC">
      <w:pPr>
        <w:pStyle w:val="Caption"/>
        <w:rPr>
          <w:rFonts w:ascii="Calibri" w:eastAsia="Calibri" w:hAnsi="Calibri" w:cs="Times New Roman"/>
          <w:sz w:val="24"/>
          <w:szCs w:val="24"/>
        </w:rPr>
      </w:pPr>
      <w:bookmarkStart w:id="480" w:name="_Toc106701731"/>
      <w:r>
        <w:t xml:space="preserve">Box </w:t>
      </w:r>
      <w:fldSimple w:instr=" SEQ Box \* ARABIC ">
        <w:r>
          <w:rPr>
            <w:noProof/>
          </w:rPr>
          <w:t>11</w:t>
        </w:r>
      </w:fldSimple>
      <w:r>
        <w:t xml:space="preserve"> - Story 8 '</w:t>
      </w:r>
      <w:proofErr w:type="spellStart"/>
      <w:r>
        <w:t>Mufaro</w:t>
      </w:r>
      <w:proofErr w:type="spellEnd"/>
      <w:r>
        <w:t>'</w:t>
      </w:r>
      <w:bookmarkEnd w:id="480"/>
      <w:r w:rsidR="006E25AF">
        <w:rPr>
          <w:rFonts w:ascii="Calibri" w:eastAsia="Calibri" w:hAnsi="Calibri" w:cs="Times New Roman"/>
          <w:sz w:val="24"/>
          <w:szCs w:val="24"/>
        </w:rPr>
        <w:br w:type="page"/>
      </w:r>
    </w:p>
    <w:p w14:paraId="52E93248" w14:textId="4B3AB5BE" w:rsidR="006E25AF" w:rsidRDefault="006E25AF" w:rsidP="006E25AF">
      <w:pPr>
        <w:rPr>
          <w:rFonts w:ascii="Calibri" w:eastAsia="Calibri" w:hAnsi="Calibri" w:cs="Times New Roman"/>
          <w:sz w:val="24"/>
          <w:szCs w:val="24"/>
        </w:rPr>
      </w:pPr>
    </w:p>
    <w:p w14:paraId="265B076D" w14:textId="77777777" w:rsidR="006E25AF" w:rsidRPr="000F7E56" w:rsidRDefault="006E25AF" w:rsidP="006E25AF">
      <w:pPr>
        <w:rPr>
          <w:rFonts w:ascii="Calibri" w:eastAsia="Calibri" w:hAnsi="Calibri" w:cs="Times New Roman"/>
          <w:sz w:val="24"/>
          <w:szCs w:val="24"/>
        </w:rPr>
      </w:pPr>
    </w:p>
    <w:p w14:paraId="1D41F6EC" w14:textId="77777777" w:rsidR="000F7E56" w:rsidRPr="000F7E56" w:rsidRDefault="000F7E56" w:rsidP="000F7E56">
      <w:pPr>
        <w:keepNext/>
        <w:keepLines/>
        <w:spacing w:before="320" w:after="120" w:line="240" w:lineRule="auto"/>
        <w:outlineLvl w:val="0"/>
        <w:rPr>
          <w:rFonts w:ascii="Calibri Light" w:eastAsia="SimSun" w:hAnsi="Calibri Light" w:cs="Times New Roman"/>
          <w:color w:val="2E74B5"/>
          <w:lang w:eastAsia="en-GB"/>
        </w:rPr>
      </w:pPr>
      <w:bookmarkStart w:id="481" w:name="_Toc106697880"/>
      <w:bookmarkStart w:id="482" w:name="_Hlk90049318"/>
      <w:r w:rsidRPr="000F7E56">
        <w:rPr>
          <w:rFonts w:ascii="Calibri Light" w:eastAsia="SimSun" w:hAnsi="Calibri Light" w:cs="Times New Roman"/>
          <w:color w:val="2E74B5"/>
          <w:lang w:eastAsia="en-GB"/>
        </w:rPr>
        <w:t>Appendix 2 Brief case narrative summaries</w:t>
      </w:r>
      <w:bookmarkEnd w:id="481"/>
    </w:p>
    <w:bookmarkEnd w:id="482"/>
    <w:p w14:paraId="06AA8E3C" w14:textId="77777777" w:rsidR="000F7E56" w:rsidRPr="000F7E56" w:rsidRDefault="000F7E56" w:rsidP="000F7E56">
      <w:pPr>
        <w:spacing w:after="120"/>
      </w:pPr>
    </w:p>
    <w:p w14:paraId="581F46BF" w14:textId="3A4C99A6" w:rsidR="000F7E56" w:rsidRPr="000F7E56" w:rsidRDefault="000F7E56" w:rsidP="000F7E56">
      <w:pPr>
        <w:spacing w:after="120"/>
        <w:rPr>
          <w:b/>
          <w:i/>
        </w:rPr>
      </w:pPr>
      <w:bookmarkStart w:id="483" w:name="_Hlk89339289"/>
    </w:p>
    <w:tbl>
      <w:tblPr>
        <w:tblStyle w:val="TableGrid"/>
        <w:tblW w:w="8789" w:type="dxa"/>
        <w:tblInd w:w="-5" w:type="dxa"/>
        <w:tblLook w:val="04A0" w:firstRow="1" w:lastRow="0" w:firstColumn="1" w:lastColumn="0" w:noHBand="0" w:noVBand="1"/>
      </w:tblPr>
      <w:tblGrid>
        <w:gridCol w:w="3232"/>
        <w:gridCol w:w="5557"/>
      </w:tblGrid>
      <w:tr w:rsidR="000F7E56" w:rsidRPr="000F7E56" w14:paraId="6E141E8C" w14:textId="77777777" w:rsidTr="000F7E56">
        <w:tc>
          <w:tcPr>
            <w:tcW w:w="3232" w:type="dxa"/>
          </w:tcPr>
          <w:bookmarkEnd w:id="483"/>
          <w:p w14:paraId="42E9FB02" w14:textId="77777777" w:rsidR="000F7E56" w:rsidRPr="000F7E56" w:rsidRDefault="000F7E56" w:rsidP="000F7E56">
            <w:pPr>
              <w:spacing w:after="120"/>
              <w:rPr>
                <w:b/>
              </w:rPr>
            </w:pPr>
            <w:r w:rsidRPr="000F7E56">
              <w:rPr>
                <w:b/>
              </w:rPr>
              <w:t xml:space="preserve">Participant </w:t>
            </w:r>
          </w:p>
        </w:tc>
        <w:tc>
          <w:tcPr>
            <w:tcW w:w="5557" w:type="dxa"/>
          </w:tcPr>
          <w:p w14:paraId="254F4B9A" w14:textId="77777777" w:rsidR="000F7E56" w:rsidRPr="000F7E56" w:rsidRDefault="000F7E56" w:rsidP="000F7E56">
            <w:pPr>
              <w:spacing w:after="120"/>
              <w:rPr>
                <w:b/>
              </w:rPr>
            </w:pPr>
            <w:r w:rsidRPr="000F7E56">
              <w:rPr>
                <w:b/>
              </w:rPr>
              <w:t>Data collection: March 2019 – July 2019</w:t>
            </w:r>
          </w:p>
        </w:tc>
      </w:tr>
      <w:tr w:rsidR="000F7E56" w:rsidRPr="000F7E56" w14:paraId="22969D01" w14:textId="77777777" w:rsidTr="000F7E56">
        <w:tc>
          <w:tcPr>
            <w:tcW w:w="3232" w:type="dxa"/>
          </w:tcPr>
          <w:p w14:paraId="14E4C544" w14:textId="77777777" w:rsidR="000F7E56" w:rsidRPr="000F7E56" w:rsidRDefault="000F7E56" w:rsidP="000F7E56">
            <w:pPr>
              <w:spacing w:after="120"/>
            </w:pPr>
            <w:r w:rsidRPr="000F7E56">
              <w:t>Mr Chahine</w:t>
            </w:r>
          </w:p>
        </w:tc>
        <w:tc>
          <w:tcPr>
            <w:tcW w:w="5557" w:type="dxa"/>
          </w:tcPr>
          <w:p w14:paraId="27708477" w14:textId="77777777" w:rsidR="000F7E56" w:rsidRPr="000F7E56" w:rsidRDefault="000F7E56" w:rsidP="000F7E56">
            <w:pPr>
              <w:spacing w:after="120"/>
            </w:pPr>
            <w:r w:rsidRPr="000F7E56">
              <w:t>3 interviews</w:t>
            </w:r>
          </w:p>
        </w:tc>
      </w:tr>
      <w:tr w:rsidR="000F7E56" w:rsidRPr="000F7E56" w14:paraId="67351A87" w14:textId="77777777" w:rsidTr="000F7E56">
        <w:tc>
          <w:tcPr>
            <w:tcW w:w="3232" w:type="dxa"/>
          </w:tcPr>
          <w:p w14:paraId="0711E5B1" w14:textId="77777777" w:rsidR="000F7E56" w:rsidRPr="000F7E56" w:rsidRDefault="000F7E56" w:rsidP="000F7E56">
            <w:pPr>
              <w:spacing w:after="120"/>
            </w:pPr>
            <w:r w:rsidRPr="000F7E56">
              <w:t xml:space="preserve">Mr Chahine’s Wife </w:t>
            </w:r>
          </w:p>
        </w:tc>
        <w:tc>
          <w:tcPr>
            <w:tcW w:w="5557" w:type="dxa"/>
          </w:tcPr>
          <w:p w14:paraId="54A55EDD" w14:textId="77777777" w:rsidR="000F7E56" w:rsidRPr="000F7E56" w:rsidRDefault="000F7E56" w:rsidP="000F7E56">
            <w:pPr>
              <w:spacing w:after="120"/>
            </w:pPr>
            <w:r w:rsidRPr="000F7E56">
              <w:t>3 interview</w:t>
            </w:r>
          </w:p>
        </w:tc>
      </w:tr>
      <w:tr w:rsidR="000F7E56" w:rsidRPr="000F7E56" w14:paraId="0FD0C892" w14:textId="77777777" w:rsidTr="000F7E56">
        <w:tc>
          <w:tcPr>
            <w:tcW w:w="3232" w:type="dxa"/>
          </w:tcPr>
          <w:p w14:paraId="7B478980" w14:textId="77777777" w:rsidR="000F7E56" w:rsidRPr="000F7E56" w:rsidRDefault="000F7E56" w:rsidP="000F7E56">
            <w:pPr>
              <w:spacing w:after="120"/>
            </w:pPr>
            <w:r w:rsidRPr="000F7E56">
              <w:t xml:space="preserve">Mr Chahine’s  Son </w:t>
            </w:r>
          </w:p>
        </w:tc>
        <w:tc>
          <w:tcPr>
            <w:tcW w:w="5557" w:type="dxa"/>
          </w:tcPr>
          <w:p w14:paraId="0272F940" w14:textId="77777777" w:rsidR="000F7E56" w:rsidRPr="000F7E56" w:rsidRDefault="000F7E56" w:rsidP="000F7E56">
            <w:pPr>
              <w:spacing w:after="120"/>
            </w:pPr>
            <w:r w:rsidRPr="000F7E56">
              <w:t>3 interview</w:t>
            </w:r>
          </w:p>
        </w:tc>
      </w:tr>
      <w:tr w:rsidR="000F7E56" w:rsidRPr="000F7E56" w14:paraId="01F7BA76" w14:textId="77777777" w:rsidTr="000F7E56">
        <w:tc>
          <w:tcPr>
            <w:tcW w:w="3232" w:type="dxa"/>
          </w:tcPr>
          <w:p w14:paraId="57AB44FC" w14:textId="77777777" w:rsidR="000F7E56" w:rsidRPr="000F7E56" w:rsidRDefault="000F7E56" w:rsidP="000F7E56">
            <w:pPr>
              <w:spacing w:after="120"/>
            </w:pPr>
            <w:r w:rsidRPr="000F7E56">
              <w:t>HCP:  Specialist nurse for MND</w:t>
            </w:r>
          </w:p>
        </w:tc>
        <w:tc>
          <w:tcPr>
            <w:tcW w:w="5557" w:type="dxa"/>
          </w:tcPr>
          <w:p w14:paraId="60824E03" w14:textId="77777777" w:rsidR="000F7E56" w:rsidRPr="000F7E56" w:rsidRDefault="000F7E56" w:rsidP="000F7E56">
            <w:pPr>
              <w:spacing w:after="120"/>
            </w:pPr>
            <w:r w:rsidRPr="000F7E56">
              <w:t>2 interview</w:t>
            </w:r>
          </w:p>
        </w:tc>
      </w:tr>
    </w:tbl>
    <w:p w14:paraId="629B7837" w14:textId="20644698" w:rsidR="00672161" w:rsidRDefault="00672161" w:rsidP="00672161">
      <w:pPr>
        <w:pStyle w:val="Caption"/>
      </w:pPr>
      <w:bookmarkStart w:id="484" w:name="_Toc106701076"/>
      <w:r>
        <w:t>T</w:t>
      </w:r>
      <w:r w:rsidR="0087146C">
        <w:t>ABLE</w:t>
      </w:r>
      <w:r>
        <w:t xml:space="preserve"> </w:t>
      </w:r>
      <w:fldSimple w:instr=" SEQ Table \* ARABIC ">
        <w:r w:rsidR="00514EB4">
          <w:rPr>
            <w:noProof/>
          </w:rPr>
          <w:t>14</w:t>
        </w:r>
      </w:fldSimple>
      <w:r>
        <w:t xml:space="preserve"> - Mr Chahine Case Study Interviews</w:t>
      </w:r>
      <w:bookmarkEnd w:id="484"/>
    </w:p>
    <w:p w14:paraId="4E12EF4B" w14:textId="109CC197" w:rsidR="001E71C2" w:rsidRPr="001E71C2" w:rsidRDefault="001E71C2" w:rsidP="00D74EFC">
      <w:pPr>
        <w:pStyle w:val="Caption"/>
      </w:pPr>
    </w:p>
    <w:p w14:paraId="2C7D116A" w14:textId="543458D3" w:rsidR="000F7E56" w:rsidRPr="000F7E56" w:rsidRDefault="000F7E56" w:rsidP="000F7E56">
      <w:pPr>
        <w:spacing w:after="120" w:line="360" w:lineRule="auto"/>
        <w:rPr>
          <w:b/>
        </w:rPr>
      </w:pPr>
      <w:r w:rsidRPr="000F7E56">
        <w:rPr>
          <w:i/>
        </w:rPr>
        <w:t>Background:</w:t>
      </w:r>
      <w:r w:rsidRPr="000F7E56">
        <w:rPr>
          <w:b/>
        </w:rPr>
        <w:t xml:space="preserve"> </w:t>
      </w:r>
      <w:r w:rsidRPr="000F7E56">
        <w:t xml:space="preserve">This is an Elderly Muslim gentleman with motor neuron disease. He left formal schooling at 13. Mr Chahine is a </w:t>
      </w:r>
      <w:r w:rsidR="006E25AF" w:rsidRPr="000F7E56">
        <w:t>first-generation</w:t>
      </w:r>
      <w:r w:rsidRPr="000F7E56">
        <w:t xml:space="preserve"> migrant – he came here from </w:t>
      </w:r>
      <w:proofErr w:type="spellStart"/>
      <w:r w:rsidRPr="000F7E56">
        <w:t>Gujurat</w:t>
      </w:r>
      <w:proofErr w:type="spellEnd"/>
      <w:r w:rsidRPr="000F7E56">
        <w:t xml:space="preserve">, India and became a Islamic religious teacher (Imam). He speaks Gujarati as a first language and has been interviewed via an interpreter. He has an Indian wife and three sons and a daughter – the eldest son being the one that the parents turn to in the first instance for support in any </w:t>
      </w:r>
      <w:r w:rsidR="006E25AF" w:rsidRPr="000F7E56">
        <w:t>health-related</w:t>
      </w:r>
      <w:r w:rsidRPr="000F7E56">
        <w:t xml:space="preserve"> matters, i.e., speaking to healthcare professionals.</w:t>
      </w:r>
    </w:p>
    <w:p w14:paraId="5511D0EB" w14:textId="77777777" w:rsidR="000F7E56" w:rsidRPr="000F7E56" w:rsidRDefault="000F7E56" w:rsidP="000F7E56">
      <w:pPr>
        <w:spacing w:after="120" w:line="360" w:lineRule="auto"/>
      </w:pPr>
      <w:r w:rsidRPr="000F7E56">
        <w:rPr>
          <w:i/>
        </w:rPr>
        <w:t>Living Arrangements:</w:t>
      </w:r>
      <w:r w:rsidRPr="000F7E56">
        <w:rPr>
          <w:b/>
        </w:rPr>
        <w:t xml:space="preserve"> </w:t>
      </w:r>
      <w:r w:rsidRPr="000F7E56">
        <w:t xml:space="preserve">Mr Chahine and his wife live independently in a bungalow. They moved when Mr Chahine could no longer manage stairs well and now live a little further out of their community.  Their elder son who is their first point of contact if needed, lives on the other side of the city.  </w:t>
      </w:r>
    </w:p>
    <w:p w14:paraId="2788B72A" w14:textId="77777777" w:rsidR="000F7E56" w:rsidRPr="000F7E56" w:rsidRDefault="000F7E56" w:rsidP="000F7E56">
      <w:pPr>
        <w:spacing w:after="120" w:line="360" w:lineRule="auto"/>
      </w:pPr>
      <w:r w:rsidRPr="000F7E56">
        <w:rPr>
          <w:i/>
        </w:rPr>
        <w:t>Understanding of EOLCP</w:t>
      </w:r>
      <w:r w:rsidRPr="000F7E56">
        <w:rPr>
          <w:b/>
          <w:i/>
        </w:rPr>
        <w:t>:</w:t>
      </w:r>
      <w:r w:rsidRPr="000F7E56">
        <w:t xml:space="preserve"> Mr Chahine</w:t>
      </w:r>
      <w:r w:rsidRPr="000F7E56">
        <w:rPr>
          <w:b/>
        </w:rPr>
        <w:t xml:space="preserve"> </w:t>
      </w:r>
      <w:r w:rsidRPr="000F7E56">
        <w:t>has never spoken to any HCPs about his future care or EOLCP. He did not want to broach the subject of the future and what will happen as his health deteriorates. He is not ready to talk about end-of-lifecare planning yet.</w:t>
      </w:r>
    </w:p>
    <w:p w14:paraId="42E7A066" w14:textId="77777777" w:rsidR="000F7E56" w:rsidRPr="000F7E56" w:rsidRDefault="000F7E56" w:rsidP="000F7E56">
      <w:pPr>
        <w:spacing w:after="120" w:line="360" w:lineRule="auto"/>
      </w:pPr>
      <w:r w:rsidRPr="000F7E56">
        <w:rPr>
          <w:i/>
        </w:rPr>
        <w:t>Experience and Expectations of treatment:</w:t>
      </w:r>
      <w:r w:rsidRPr="000F7E56">
        <w:t xml:space="preserve"> Treatment appears to be around management of his condition and the limits to his mobility. </w:t>
      </w:r>
    </w:p>
    <w:p w14:paraId="4B01303C" w14:textId="77777777" w:rsidR="000F7E56" w:rsidRPr="000F7E56" w:rsidRDefault="000F7E56" w:rsidP="000F7E56">
      <w:pPr>
        <w:spacing w:after="120" w:line="360" w:lineRule="auto"/>
      </w:pPr>
      <w:r w:rsidRPr="000F7E56">
        <w:rPr>
          <w:i/>
        </w:rPr>
        <w:t>Expectations for the future/goals/values:</w:t>
      </w:r>
      <w:r w:rsidRPr="000F7E56">
        <w:rPr>
          <w:b/>
        </w:rPr>
        <w:t xml:space="preserve"> </w:t>
      </w:r>
      <w:bookmarkStart w:id="485" w:name="_Hlk89339492"/>
      <w:r w:rsidRPr="000F7E56">
        <w:t xml:space="preserve">Mr Chahine </w:t>
      </w:r>
      <w:bookmarkEnd w:id="485"/>
      <w:r w:rsidRPr="000F7E56">
        <w:t xml:space="preserve">wishes to stay in his house for as long as possible though he hasn’t communicated this to anyone other than his wife.  </w:t>
      </w:r>
    </w:p>
    <w:p w14:paraId="07A45D12" w14:textId="77777777" w:rsidR="000F7E56" w:rsidRPr="000F7E56" w:rsidRDefault="000F7E56" w:rsidP="000F7E56">
      <w:pPr>
        <w:spacing w:after="120" w:line="360" w:lineRule="auto"/>
      </w:pPr>
      <w:r w:rsidRPr="000F7E56">
        <w:rPr>
          <w:i/>
        </w:rPr>
        <w:t>HCPs perspective:</w:t>
      </w:r>
      <w:r w:rsidRPr="000F7E56">
        <w:rPr>
          <w:b/>
        </w:rPr>
        <w:t xml:space="preserve"> </w:t>
      </w:r>
      <w:r w:rsidRPr="000F7E56">
        <w:t>Mr Chahine’s</w:t>
      </w:r>
      <w:r w:rsidRPr="000F7E56">
        <w:rPr>
          <w:b/>
        </w:rPr>
        <w:t xml:space="preserve"> </w:t>
      </w:r>
      <w:r w:rsidRPr="000F7E56">
        <w:t>nominated</w:t>
      </w:r>
      <w:r w:rsidRPr="000F7E56">
        <w:rPr>
          <w:b/>
        </w:rPr>
        <w:t xml:space="preserve"> </w:t>
      </w:r>
      <w:r w:rsidRPr="000F7E56">
        <w:t xml:space="preserve">HCP is a specialist nurse for people with motor neurone disease.  She only sees him every 3 months as his illness is progressing slowly. The HCP had discussed DNACPR with Mr Chahine and tried to talk to the eldest son about this especially as Mr Chahine had more or less come round to the idea of having a DNACPR instruction in place – however the eldest son felt he should consult his siblings </w:t>
      </w:r>
      <w:r w:rsidRPr="000F7E56">
        <w:lastRenderedPageBreak/>
        <w:t xml:space="preserve">to check this. They seemed to see the logic of having this though.  The HCP however feels the discussion only came up because Mr Chahine had a chest infection – it may not have been discussed otherwise. </w:t>
      </w:r>
    </w:p>
    <w:p w14:paraId="7F0E5918" w14:textId="77777777" w:rsidR="006E25AF" w:rsidRDefault="006E25AF" w:rsidP="000F7E56">
      <w:pPr>
        <w:spacing w:after="120" w:line="360" w:lineRule="auto"/>
        <w:rPr>
          <w:b/>
          <w:i/>
        </w:rPr>
      </w:pPr>
    </w:p>
    <w:p w14:paraId="479324E6" w14:textId="7740767C" w:rsidR="000F7E56" w:rsidRPr="000F7E56" w:rsidRDefault="000F7E56" w:rsidP="000F7E56">
      <w:pPr>
        <w:spacing w:after="120" w:line="360" w:lineRule="auto"/>
        <w:rPr>
          <w:b/>
          <w:i/>
        </w:rPr>
      </w:pPr>
      <w:r w:rsidRPr="000F7E56">
        <w:rPr>
          <w:b/>
          <w:i/>
        </w:rPr>
        <w:t>Key Observations and Emerging Issues</w:t>
      </w:r>
    </w:p>
    <w:p w14:paraId="72FB6F95" w14:textId="77777777" w:rsidR="000F7E56" w:rsidRPr="000F7E56" w:rsidRDefault="000F7E56" w:rsidP="000F7E56">
      <w:pPr>
        <w:spacing w:after="120" w:line="360" w:lineRule="auto"/>
      </w:pPr>
      <w:r w:rsidRPr="000F7E56">
        <w:rPr>
          <w:i/>
        </w:rPr>
        <w:t>Knowledge of illness and Prognosis</w:t>
      </w:r>
      <w:r w:rsidRPr="000F7E56">
        <w:t>: Mr Chahine does not know the name of his illness but can talk about its effects on his mobility and the care that he needs. He is also aware that in time he may also experience problems with his throat, which by the 3</w:t>
      </w:r>
      <w:r w:rsidRPr="000F7E56">
        <w:rPr>
          <w:vertAlign w:val="superscript"/>
        </w:rPr>
        <w:t>rd</w:t>
      </w:r>
      <w:r w:rsidRPr="000F7E56">
        <w:t xml:space="preserve"> visit with him, had become apparent as he was struggling with swallowing. Although he stated his health was deteriorating over the course of the interviews, he did not want to think about what will happen as he gets worse. </w:t>
      </w:r>
    </w:p>
    <w:p w14:paraId="32F493C7" w14:textId="77777777" w:rsidR="000F7E56" w:rsidRPr="000F7E56" w:rsidRDefault="000F7E56" w:rsidP="000F7E56">
      <w:pPr>
        <w:spacing w:after="120" w:line="360" w:lineRule="auto"/>
      </w:pPr>
      <w:r w:rsidRPr="000F7E56">
        <w:rPr>
          <w:i/>
        </w:rPr>
        <w:t>Choice and Decision-making (who is involved?):</w:t>
      </w:r>
      <w:r w:rsidRPr="000F7E56">
        <w:rPr>
          <w:b/>
        </w:rPr>
        <w:t xml:space="preserve"> </w:t>
      </w:r>
      <w:r w:rsidRPr="000F7E56">
        <w:t xml:space="preserve">Mr Chahine stated that any decisions made about treatment and future care would be based on a joint-decision with him, his wife and son. Mr Chahine’s son stated that ultimately any decisions made were his Dad’s decisions, but that he himself would also speak to his siblings before anything final was in place. </w:t>
      </w:r>
    </w:p>
    <w:p w14:paraId="6BD5FB74" w14:textId="77777777" w:rsidR="000F7E56" w:rsidRPr="000F7E56" w:rsidRDefault="000F7E56" w:rsidP="000F7E56">
      <w:pPr>
        <w:spacing w:after="120" w:line="360" w:lineRule="auto"/>
      </w:pPr>
      <w:r w:rsidRPr="000F7E56">
        <w:rPr>
          <w:i/>
        </w:rPr>
        <w:t>Discussing EOLCP with others (DNACPR):</w:t>
      </w:r>
      <w:r w:rsidRPr="000F7E56">
        <w:rPr>
          <w:b/>
        </w:rPr>
        <w:t xml:space="preserve"> </w:t>
      </w:r>
      <w:r w:rsidRPr="000F7E56">
        <w:t xml:space="preserve">Mr Chahine’s HCP had discussed DNAR with the him and tried to talk to the eldest son about this especially as Mr Chahine had more or less come round to the idea of having a DNR instruction in place – however the eldest son felt he should consult his siblings to check this. Mr Chahine’s son explained that his dad had been confused about what DNACPR meant and once he had explained this to his father he had decided against this.  Mr Chahine’s son also said that he had checked if DNACPR was actually feasible Islamically with a scholar who was an educated Mufti (a Muslim legal expert who is empowered to give rulings on religious matters) and the Mufti had confirmed that there was no reason Islamically why his father could not have a DNACPR instruction in place in the future. Mr Chahine decided not to sign a DNACPR form. </w:t>
      </w:r>
    </w:p>
    <w:p w14:paraId="0B1C79E5" w14:textId="77777777" w:rsidR="000F7E56" w:rsidRPr="000F7E56" w:rsidRDefault="000F7E56" w:rsidP="000F7E56">
      <w:pPr>
        <w:spacing w:after="120" w:line="360" w:lineRule="auto"/>
      </w:pPr>
      <w:r w:rsidRPr="000F7E56">
        <w:rPr>
          <w:i/>
        </w:rPr>
        <w:t>Faith/Spirituality and Culture:</w:t>
      </w:r>
      <w:r w:rsidRPr="000F7E56">
        <w:rPr>
          <w:b/>
        </w:rPr>
        <w:t xml:space="preserve"> </w:t>
      </w:r>
      <w:r w:rsidRPr="000F7E56">
        <w:t xml:space="preserve">Mr Chahine is a Hafiz (memorised the Quran). Faith appears to have been a part of Mr Chahine’s career and remains a big part of his prayer life. He prays five times a day. His wife helps him with ablutions.  Mr Chahine’s wife’s desire to care for her husband herself is also to some extent rooted in faith. Mr Chahine however does not feel that faith necessarily guides his treatment decisions.  Mr Chahine however does refer several times to how God is helping them (with good neighbours, helpful people in shops etc.). Whilst nothing (regarding accepting treatment and care) has been completely ruled out on the basis of culture/religion, it is possible that any future outside personal care support given to </w:t>
      </w:r>
      <w:bookmarkStart w:id="486" w:name="_Hlk89340022"/>
      <w:r w:rsidRPr="000F7E56">
        <w:t xml:space="preserve">Mr Chahine </w:t>
      </w:r>
      <w:bookmarkEnd w:id="486"/>
      <w:r w:rsidRPr="000F7E56">
        <w:t xml:space="preserve">may also need to reflect appropriate timings (carers to arrive at sunrise and sunset due related to prayer times) and methods (of correct washing to prepare for prayer) that is in line with religious requirements. </w:t>
      </w:r>
    </w:p>
    <w:p w14:paraId="5E7CF745" w14:textId="77777777" w:rsidR="000F7E56" w:rsidRPr="000F7E56" w:rsidRDefault="000F7E56" w:rsidP="000F7E56">
      <w:pPr>
        <w:spacing w:after="120" w:line="360" w:lineRule="auto"/>
      </w:pPr>
      <w:r w:rsidRPr="000F7E56">
        <w:rPr>
          <w:i/>
        </w:rPr>
        <w:lastRenderedPageBreak/>
        <w:t>Family Support (Duty)/Extent of Family Support:</w:t>
      </w:r>
      <w:r w:rsidRPr="000F7E56">
        <w:rPr>
          <w:b/>
        </w:rPr>
        <w:t xml:space="preserve"> </w:t>
      </w:r>
      <w:r w:rsidRPr="000F7E56">
        <w:t xml:space="preserve">Mr Chahine’s wife feels a sense of duty to care for her husband – as her wifely duty, religiously it is better if she cares for her husband rather than passing this over to others. She has struggled to handle him physically and also wheel him around in the wheelchair but she is determined to care for him. Another reason given for not wanting carer support was because she wanted to do it herself, as it gave her a ‘sense of purpose’, she wouldn’t have anything to do if she did not care for her husband, she would become unwell if she did not keep active. </w:t>
      </w:r>
    </w:p>
    <w:p w14:paraId="7B26EAEE" w14:textId="77777777" w:rsidR="000F7E56" w:rsidRPr="000F7E56" w:rsidRDefault="000F7E56" w:rsidP="000F7E56">
      <w:pPr>
        <w:spacing w:after="120" w:line="360" w:lineRule="auto"/>
      </w:pPr>
      <w:r w:rsidRPr="000F7E56">
        <w:rPr>
          <w:i/>
        </w:rPr>
        <w:t>Ethnicity specific issues (Community Pressure):</w:t>
      </w:r>
      <w:r w:rsidRPr="000F7E56">
        <w:t xml:space="preserve"> Mr Chahine’s son mentioned that he and his brothers have been judged by the wider community (namely his Mum’s and Dad’s friends) who question how much they do for their parents-i.e. he gave an example of his parents’ friends asking him if he had got the correct walking frame for his mother and also why they had not got personal care for his parents. This added ‘societal pressure’ to be seen as doing everything you can seems to add to the carers’ burden. </w:t>
      </w:r>
    </w:p>
    <w:p w14:paraId="1F0F96A3" w14:textId="77777777" w:rsidR="000F7E56" w:rsidRPr="000F7E56" w:rsidRDefault="000F7E56" w:rsidP="000F7E56">
      <w:pPr>
        <w:spacing w:after="120" w:line="360" w:lineRule="auto"/>
      </w:pPr>
      <w:r w:rsidRPr="000F7E56">
        <w:rPr>
          <w:i/>
        </w:rPr>
        <w:t>Personal reactions and stances (Independence and Dignity):</w:t>
      </w:r>
      <w:r w:rsidRPr="000F7E56">
        <w:t xml:space="preserve">  These are key for both Mr Chahine and his wife. Mr Chahine’s son stated that culture was a key reason in his parents not wanting to seek support outside the family. Both want to remain independent for as long as possible and are sometimes reluctant to seek help. Particularly with personal care, Mr Chahine’s wife feels that she should do it and that is her ‘personal’ choice and also duty (see above). Mr Chahine’s HCP suggested that this seems to be frequently the case with other families not just for this family or based on cultural norms.</w:t>
      </w:r>
    </w:p>
    <w:p w14:paraId="3412AD87" w14:textId="3149B815" w:rsidR="000F7E56" w:rsidRPr="000F7E56" w:rsidRDefault="000F7E56" w:rsidP="000F7E56">
      <w:pPr>
        <w:spacing w:after="120"/>
        <w:rPr>
          <w:b/>
          <w:i/>
        </w:rPr>
      </w:pPr>
      <w:bookmarkStart w:id="487" w:name="_Hlk89340531"/>
    </w:p>
    <w:tbl>
      <w:tblPr>
        <w:tblStyle w:val="TableGrid"/>
        <w:tblW w:w="8789" w:type="dxa"/>
        <w:tblInd w:w="-5" w:type="dxa"/>
        <w:tblLook w:val="04A0" w:firstRow="1" w:lastRow="0" w:firstColumn="1" w:lastColumn="0" w:noHBand="0" w:noVBand="1"/>
      </w:tblPr>
      <w:tblGrid>
        <w:gridCol w:w="3232"/>
        <w:gridCol w:w="5557"/>
      </w:tblGrid>
      <w:tr w:rsidR="000F7E56" w:rsidRPr="000F7E56" w14:paraId="0B6DA535" w14:textId="77777777" w:rsidTr="000F7E56">
        <w:tc>
          <w:tcPr>
            <w:tcW w:w="3232" w:type="dxa"/>
          </w:tcPr>
          <w:bookmarkEnd w:id="487"/>
          <w:p w14:paraId="4B97E45E" w14:textId="77777777" w:rsidR="000F7E56" w:rsidRPr="000F7E56" w:rsidRDefault="000F7E56" w:rsidP="000F7E56">
            <w:pPr>
              <w:spacing w:after="120"/>
              <w:rPr>
                <w:b/>
              </w:rPr>
            </w:pPr>
            <w:r w:rsidRPr="000F7E56">
              <w:rPr>
                <w:b/>
              </w:rPr>
              <w:t xml:space="preserve">Participants </w:t>
            </w:r>
          </w:p>
        </w:tc>
        <w:tc>
          <w:tcPr>
            <w:tcW w:w="5557" w:type="dxa"/>
          </w:tcPr>
          <w:p w14:paraId="1D20B933" w14:textId="77777777" w:rsidR="000F7E56" w:rsidRPr="000F7E56" w:rsidRDefault="000F7E56" w:rsidP="000F7E56">
            <w:pPr>
              <w:spacing w:after="120"/>
              <w:rPr>
                <w:b/>
                <w:i/>
              </w:rPr>
            </w:pPr>
            <w:r w:rsidRPr="000F7E56">
              <w:rPr>
                <w:b/>
              </w:rPr>
              <w:t>Data collection:  July 2019-November 2019</w:t>
            </w:r>
          </w:p>
        </w:tc>
      </w:tr>
      <w:tr w:rsidR="000F7E56" w:rsidRPr="000F7E56" w14:paraId="1295F61E" w14:textId="77777777" w:rsidTr="000F7E56">
        <w:tc>
          <w:tcPr>
            <w:tcW w:w="3232" w:type="dxa"/>
          </w:tcPr>
          <w:p w14:paraId="0867A744" w14:textId="77777777" w:rsidR="000F7E56" w:rsidRPr="000F7E56" w:rsidRDefault="000F7E56" w:rsidP="000F7E56">
            <w:pPr>
              <w:spacing w:after="120"/>
            </w:pPr>
            <w:r w:rsidRPr="000F7E56">
              <w:t xml:space="preserve">Mr </w:t>
            </w:r>
            <w:proofErr w:type="spellStart"/>
            <w:r w:rsidRPr="000F7E56">
              <w:t>Chifamba</w:t>
            </w:r>
            <w:proofErr w:type="spellEnd"/>
          </w:p>
        </w:tc>
        <w:tc>
          <w:tcPr>
            <w:tcW w:w="5557" w:type="dxa"/>
          </w:tcPr>
          <w:p w14:paraId="0B889A59" w14:textId="77777777" w:rsidR="000F7E56" w:rsidRPr="000F7E56" w:rsidRDefault="000F7E56" w:rsidP="000F7E56">
            <w:pPr>
              <w:spacing w:after="120"/>
              <w:rPr>
                <w:iCs/>
              </w:rPr>
            </w:pPr>
            <w:r w:rsidRPr="000F7E56">
              <w:rPr>
                <w:iCs/>
              </w:rPr>
              <w:t xml:space="preserve"> 2 interviews </w:t>
            </w:r>
          </w:p>
        </w:tc>
      </w:tr>
      <w:tr w:rsidR="000F7E56" w:rsidRPr="000F7E56" w14:paraId="24CA0F3C" w14:textId="77777777" w:rsidTr="000F7E56">
        <w:tc>
          <w:tcPr>
            <w:tcW w:w="3232" w:type="dxa"/>
          </w:tcPr>
          <w:p w14:paraId="1E0F8FB4" w14:textId="77777777" w:rsidR="000F7E56" w:rsidRPr="000F7E56" w:rsidRDefault="000F7E56" w:rsidP="000F7E56">
            <w:pPr>
              <w:spacing w:after="120"/>
            </w:pPr>
            <w:r w:rsidRPr="000F7E56">
              <w:t xml:space="preserve">Mr </w:t>
            </w:r>
            <w:proofErr w:type="spellStart"/>
            <w:r w:rsidRPr="000F7E56">
              <w:t>Chifamba’s</w:t>
            </w:r>
            <w:proofErr w:type="spellEnd"/>
            <w:r w:rsidRPr="000F7E56">
              <w:t xml:space="preserve"> Mother</w:t>
            </w:r>
          </w:p>
        </w:tc>
        <w:tc>
          <w:tcPr>
            <w:tcW w:w="5557" w:type="dxa"/>
          </w:tcPr>
          <w:p w14:paraId="5608A5B6" w14:textId="77777777" w:rsidR="000F7E56" w:rsidRPr="000F7E56" w:rsidRDefault="000F7E56" w:rsidP="000F7E56">
            <w:pPr>
              <w:spacing w:after="120"/>
              <w:rPr>
                <w:iCs/>
              </w:rPr>
            </w:pPr>
            <w:r w:rsidRPr="000F7E56">
              <w:rPr>
                <w:iCs/>
              </w:rPr>
              <w:t xml:space="preserve">2 interviews </w:t>
            </w:r>
          </w:p>
        </w:tc>
      </w:tr>
      <w:tr w:rsidR="000F7E56" w:rsidRPr="000F7E56" w14:paraId="1572C3E0" w14:textId="77777777" w:rsidTr="000F7E56">
        <w:tc>
          <w:tcPr>
            <w:tcW w:w="3232" w:type="dxa"/>
          </w:tcPr>
          <w:p w14:paraId="76B73BA6" w14:textId="77777777" w:rsidR="000F7E56" w:rsidRPr="000F7E56" w:rsidRDefault="000F7E56" w:rsidP="000F7E56">
            <w:pPr>
              <w:spacing w:after="120"/>
            </w:pPr>
            <w:r w:rsidRPr="000F7E56">
              <w:t xml:space="preserve">Mr </w:t>
            </w:r>
            <w:proofErr w:type="spellStart"/>
            <w:r w:rsidRPr="000F7E56">
              <w:t>Chifamba’s</w:t>
            </w:r>
            <w:proofErr w:type="spellEnd"/>
            <w:r w:rsidRPr="000F7E56">
              <w:t xml:space="preserve"> Sister</w:t>
            </w:r>
          </w:p>
        </w:tc>
        <w:tc>
          <w:tcPr>
            <w:tcW w:w="5557" w:type="dxa"/>
          </w:tcPr>
          <w:p w14:paraId="6E783AC0" w14:textId="77777777" w:rsidR="000F7E56" w:rsidRPr="000F7E56" w:rsidRDefault="000F7E56" w:rsidP="000F7E56">
            <w:pPr>
              <w:spacing w:after="120"/>
              <w:rPr>
                <w:iCs/>
              </w:rPr>
            </w:pPr>
            <w:r w:rsidRPr="000F7E56">
              <w:rPr>
                <w:iCs/>
              </w:rPr>
              <w:t xml:space="preserve">1 interview </w:t>
            </w:r>
          </w:p>
        </w:tc>
      </w:tr>
      <w:tr w:rsidR="000F7E56" w:rsidRPr="000F7E56" w14:paraId="67C7449F" w14:textId="77777777" w:rsidTr="000F7E56">
        <w:tc>
          <w:tcPr>
            <w:tcW w:w="8789" w:type="dxa"/>
            <w:gridSpan w:val="2"/>
          </w:tcPr>
          <w:p w14:paraId="6ED1200B" w14:textId="6A11D0A9" w:rsidR="000F7E56" w:rsidRPr="000F7E56" w:rsidRDefault="000F7E56" w:rsidP="000F7E56">
            <w:pPr>
              <w:spacing w:after="120"/>
              <w:rPr>
                <w:iCs/>
              </w:rPr>
            </w:pPr>
            <w:r w:rsidRPr="000F7E56">
              <w:t xml:space="preserve">NB: There was no interview with the HCP as a result </w:t>
            </w:r>
            <w:r w:rsidR="006E25AF" w:rsidRPr="000F7E56">
              <w:t>of COVID</w:t>
            </w:r>
            <w:r w:rsidRPr="000F7E56">
              <w:t xml:space="preserve"> 19 pandemic. Medical notes were checked. </w:t>
            </w:r>
          </w:p>
        </w:tc>
      </w:tr>
    </w:tbl>
    <w:p w14:paraId="409B747D" w14:textId="4924199F" w:rsidR="00672161" w:rsidRDefault="00672161" w:rsidP="00D74EFC">
      <w:pPr>
        <w:pStyle w:val="Caption"/>
        <w:jc w:val="left"/>
      </w:pPr>
      <w:bookmarkStart w:id="488" w:name="_Toc106701077"/>
      <w:r>
        <w:t>T</w:t>
      </w:r>
      <w:r w:rsidR="0087146C">
        <w:t>ABLE</w:t>
      </w:r>
      <w:r>
        <w:t xml:space="preserve"> </w:t>
      </w:r>
      <w:fldSimple w:instr=" SEQ Table \* ARABIC ">
        <w:r w:rsidR="00514EB4">
          <w:rPr>
            <w:noProof/>
          </w:rPr>
          <w:t>15</w:t>
        </w:r>
      </w:fldSimple>
      <w:r>
        <w:t xml:space="preserve"> - Mr </w:t>
      </w:r>
      <w:proofErr w:type="spellStart"/>
      <w:r>
        <w:t>Chifamba</w:t>
      </w:r>
      <w:proofErr w:type="spellEnd"/>
      <w:r>
        <w:t xml:space="preserve"> Case Study Interviews</w:t>
      </w:r>
      <w:bookmarkEnd w:id="488"/>
    </w:p>
    <w:p w14:paraId="633CB21E" w14:textId="487EE5FF" w:rsidR="000F7E56" w:rsidRPr="006E25AF" w:rsidRDefault="000F7E56" w:rsidP="000F7E56">
      <w:pPr>
        <w:spacing w:after="120" w:line="360" w:lineRule="auto"/>
        <w:rPr>
          <w:bCs/>
        </w:rPr>
      </w:pPr>
      <w:r w:rsidRPr="000F7E56">
        <w:rPr>
          <w:i/>
        </w:rPr>
        <w:t>Background:</w:t>
      </w:r>
      <w:r w:rsidRPr="000F7E56">
        <w:rPr>
          <w:b/>
        </w:rPr>
        <w:t xml:space="preserve">  </w:t>
      </w:r>
      <w:r w:rsidRPr="000F7E56">
        <w:rPr>
          <w:bCs/>
        </w:rPr>
        <w:t xml:space="preserve">Mr </w:t>
      </w:r>
      <w:proofErr w:type="spellStart"/>
      <w:r w:rsidRPr="000F7E56">
        <w:rPr>
          <w:bCs/>
        </w:rPr>
        <w:t>Chifamba</w:t>
      </w:r>
      <w:proofErr w:type="spellEnd"/>
      <w:r w:rsidRPr="000F7E56">
        <w:rPr>
          <w:bCs/>
        </w:rPr>
        <w:t xml:space="preserve"> is a middle-aged man with cancer who came to UK from Zimbabwe to study and then to work as a mental health nurse. Before the illness Mr </w:t>
      </w:r>
      <w:proofErr w:type="spellStart"/>
      <w:r w:rsidRPr="000F7E56">
        <w:rPr>
          <w:bCs/>
        </w:rPr>
        <w:t>Chifamba</w:t>
      </w:r>
      <w:proofErr w:type="spellEnd"/>
      <w:r w:rsidRPr="000F7E56">
        <w:rPr>
          <w:bCs/>
        </w:rPr>
        <w:t xml:space="preserve"> used to live on his own. Mr </w:t>
      </w:r>
      <w:proofErr w:type="spellStart"/>
      <w:r w:rsidRPr="000F7E56">
        <w:rPr>
          <w:bCs/>
        </w:rPr>
        <w:t>Chifamba’s</w:t>
      </w:r>
      <w:proofErr w:type="spellEnd"/>
      <w:r w:rsidRPr="000F7E56">
        <w:rPr>
          <w:bCs/>
        </w:rPr>
        <w:t xml:space="preserve"> mother came to look after him but after the 6 months compassionate visa expired she had to return to Africa as immigration refused to renew it even though her son still required care.</w:t>
      </w:r>
    </w:p>
    <w:p w14:paraId="0EED97ED" w14:textId="474A321E" w:rsidR="000F7E56" w:rsidRPr="006E25AF" w:rsidRDefault="000F7E56" w:rsidP="000F7E56">
      <w:pPr>
        <w:spacing w:after="120" w:line="360" w:lineRule="auto"/>
      </w:pPr>
      <w:r w:rsidRPr="000F7E56">
        <w:rPr>
          <w:i/>
        </w:rPr>
        <w:t>Living Arrangements:</w:t>
      </w:r>
      <w:r w:rsidRPr="000F7E56">
        <w:rPr>
          <w:b/>
        </w:rPr>
        <w:t xml:space="preserve"> </w:t>
      </w:r>
      <w:r w:rsidRPr="000F7E56">
        <w:t xml:space="preserve">At the time of the interviews Mr </w:t>
      </w:r>
      <w:proofErr w:type="spellStart"/>
      <w:r w:rsidRPr="000F7E56">
        <w:t>Chifamba</w:t>
      </w:r>
      <w:proofErr w:type="spellEnd"/>
      <w:r w:rsidRPr="000F7E56">
        <w:t xml:space="preserve"> was living with his mother in his house. During the follow up interview patient stated that his mother’s compassionate visa had expired and she had been asked to leave the country. She was planning to go back to Africa. </w:t>
      </w:r>
      <w:r w:rsidRPr="000F7E56">
        <w:rPr>
          <w:i/>
        </w:rPr>
        <w:tab/>
      </w:r>
    </w:p>
    <w:p w14:paraId="4BEA15CB" w14:textId="77777777" w:rsidR="000F7E56" w:rsidRPr="000F7E56" w:rsidRDefault="000F7E56" w:rsidP="000F7E56">
      <w:pPr>
        <w:spacing w:after="120" w:line="360" w:lineRule="auto"/>
      </w:pPr>
      <w:r w:rsidRPr="000F7E56">
        <w:rPr>
          <w:i/>
        </w:rPr>
        <w:lastRenderedPageBreak/>
        <w:t>Understanding of EOLCP:</w:t>
      </w:r>
      <w:r w:rsidRPr="000F7E56">
        <w:rPr>
          <w:b/>
        </w:rPr>
        <w:t xml:space="preserve"> </w:t>
      </w:r>
      <w:r w:rsidRPr="000F7E56">
        <w:t xml:space="preserve">Mr </w:t>
      </w:r>
      <w:bookmarkStart w:id="489" w:name="_Hlk89346216"/>
      <w:proofErr w:type="spellStart"/>
      <w:r w:rsidRPr="000F7E56">
        <w:t>Chifamba</w:t>
      </w:r>
      <w:bookmarkEnd w:id="489"/>
      <w:proofErr w:type="spellEnd"/>
      <w:r w:rsidRPr="000F7E56">
        <w:t xml:space="preserve"> </w:t>
      </w:r>
      <w:proofErr w:type="spellStart"/>
      <w:r w:rsidRPr="000F7E56">
        <w:t>apprears</w:t>
      </w:r>
      <w:proofErr w:type="spellEnd"/>
      <w:r w:rsidRPr="000F7E56">
        <w:t xml:space="preserve"> to understands about EOLCP, but does not necessarily   engage with it. In the interviews when Mr </w:t>
      </w:r>
      <w:proofErr w:type="spellStart"/>
      <w:r w:rsidRPr="000F7E56">
        <w:t>Chifamba</w:t>
      </w:r>
      <w:proofErr w:type="spellEnd"/>
      <w:r w:rsidRPr="000F7E56">
        <w:t xml:space="preserve"> was asked about this he mostly talked about his post death wishes and financial preparations. </w:t>
      </w:r>
    </w:p>
    <w:p w14:paraId="6E52FD83" w14:textId="77777777" w:rsidR="000F7E56" w:rsidRPr="000F7E56" w:rsidRDefault="000F7E56" w:rsidP="000F7E56">
      <w:pPr>
        <w:spacing w:after="120" w:line="360" w:lineRule="auto"/>
        <w:rPr>
          <w:b/>
        </w:rPr>
      </w:pPr>
    </w:p>
    <w:p w14:paraId="713CE930" w14:textId="04717182" w:rsidR="000F7E56" w:rsidRPr="000F7E56" w:rsidRDefault="000F7E56" w:rsidP="000F7E56">
      <w:pPr>
        <w:spacing w:after="120" w:line="360" w:lineRule="auto"/>
      </w:pPr>
      <w:r w:rsidRPr="000F7E56">
        <w:rPr>
          <w:i/>
        </w:rPr>
        <w:t>Experience and Expectations of treatment:</w:t>
      </w:r>
      <w:r w:rsidRPr="000F7E56">
        <w:t xml:space="preserve"> Mr </w:t>
      </w:r>
      <w:proofErr w:type="spellStart"/>
      <w:r w:rsidRPr="000F7E56">
        <w:t>Chifamba</w:t>
      </w:r>
      <w:proofErr w:type="spellEnd"/>
      <w:r w:rsidRPr="000F7E56">
        <w:t xml:space="preserve"> had mixed experiences when it came to treatment. It took HCPs a long time to determine what was wrong with him. For a long time he kept visiting the hospital, they would check him and say they could not see anything wrong with him. He feels disappointed and frustrated that it took so long to diagnose him with end stage cancer. All this experience made Mr </w:t>
      </w:r>
      <w:proofErr w:type="spellStart"/>
      <w:r w:rsidRPr="000F7E56">
        <w:t>Chifamba</w:t>
      </w:r>
      <w:proofErr w:type="spellEnd"/>
      <w:r w:rsidRPr="000F7E56">
        <w:t xml:space="preserve"> loose trust with hospital and also question whether they had his best interest at heart. He decided to put in a formal complaint about the way he was treated.</w:t>
      </w:r>
      <w:r w:rsidRPr="000F7E56">
        <w:rPr>
          <w:i/>
        </w:rPr>
        <w:t xml:space="preserve">  </w:t>
      </w:r>
    </w:p>
    <w:p w14:paraId="48CACA94" w14:textId="77777777" w:rsidR="000F7E56" w:rsidRPr="000F7E56" w:rsidRDefault="000F7E56" w:rsidP="000F7E56">
      <w:pPr>
        <w:spacing w:after="120" w:line="360" w:lineRule="auto"/>
      </w:pPr>
      <w:r w:rsidRPr="000F7E56">
        <w:rPr>
          <w:i/>
        </w:rPr>
        <w:t>Expectations for the future/goals/values:</w:t>
      </w:r>
      <w:r w:rsidRPr="000F7E56">
        <w:rPr>
          <w:b/>
        </w:rPr>
        <w:t xml:space="preserve"> </w:t>
      </w:r>
      <w:r w:rsidRPr="000F7E56">
        <w:t xml:space="preserve">Mr </w:t>
      </w:r>
      <w:proofErr w:type="spellStart"/>
      <w:r w:rsidRPr="000F7E56">
        <w:t>Chifamba</w:t>
      </w:r>
      <w:proofErr w:type="spellEnd"/>
      <w:r w:rsidRPr="000F7E56">
        <w:t xml:space="preserve"> has trouble seeing past his present situation when he talks of cancer not being in the agenda of his life. He expresses further frustration when he was told he was no longer fit to continue working. His narrative implies a life invaded by cancer and unfulfilled potential and promise. He says one of the hardest things to cope with is his own expectation of life and struggling to figure out the future in his present condition</w:t>
      </w:r>
      <w:r w:rsidRPr="000F7E56">
        <w:rPr>
          <w:i/>
        </w:rPr>
        <w:t xml:space="preserve">. </w:t>
      </w:r>
      <w:r w:rsidRPr="000F7E56">
        <w:t xml:space="preserve">Mr </w:t>
      </w:r>
      <w:proofErr w:type="spellStart"/>
      <w:r w:rsidRPr="000F7E56">
        <w:t>Chifamba’s</w:t>
      </w:r>
      <w:proofErr w:type="spellEnd"/>
      <w:r w:rsidRPr="000F7E56">
        <w:t xml:space="preserve"> mother made it clear that death, dying or EOLCP is a topic he would refuse to discuss. In her opinion she does not want to entertain any negative thinking by engaging in EOLCP discussions</w:t>
      </w:r>
      <w:bookmarkStart w:id="490" w:name="_Hlk89339449"/>
    </w:p>
    <w:p w14:paraId="26CA639D" w14:textId="77777777" w:rsidR="000F7E56" w:rsidRPr="000F7E56" w:rsidRDefault="000F7E56" w:rsidP="000F7E56">
      <w:pPr>
        <w:spacing w:after="120"/>
        <w:rPr>
          <w:b/>
          <w:i/>
        </w:rPr>
      </w:pPr>
    </w:p>
    <w:p w14:paraId="3D5C3B54" w14:textId="77777777" w:rsidR="000F7E56" w:rsidRPr="000F7E56" w:rsidRDefault="000F7E56" w:rsidP="000F7E56">
      <w:pPr>
        <w:spacing w:after="120" w:line="360" w:lineRule="auto"/>
        <w:rPr>
          <w:b/>
          <w:i/>
        </w:rPr>
      </w:pPr>
      <w:r w:rsidRPr="000F7E56">
        <w:rPr>
          <w:b/>
          <w:i/>
        </w:rPr>
        <w:t>Key Observations and Emerging Issues</w:t>
      </w:r>
    </w:p>
    <w:bookmarkEnd w:id="490"/>
    <w:p w14:paraId="165CCF53" w14:textId="77777777" w:rsidR="000F7E56" w:rsidRPr="006E25AF" w:rsidRDefault="000F7E56" w:rsidP="000F7E56">
      <w:pPr>
        <w:spacing w:after="120" w:line="360" w:lineRule="auto"/>
        <w:rPr>
          <w:bCs/>
        </w:rPr>
      </w:pPr>
      <w:r w:rsidRPr="006E25AF">
        <w:rPr>
          <w:bCs/>
          <w:i/>
        </w:rPr>
        <w:t>Resistance to EOLCP discussions:</w:t>
      </w:r>
      <w:r w:rsidRPr="006E25AF">
        <w:rPr>
          <w:b/>
          <w:bCs/>
        </w:rPr>
        <w:t xml:space="preserve"> </w:t>
      </w:r>
      <w:r w:rsidRPr="006E25AF">
        <w:rPr>
          <w:bCs/>
        </w:rPr>
        <w:t xml:space="preserve">Mr </w:t>
      </w:r>
      <w:proofErr w:type="spellStart"/>
      <w:r w:rsidRPr="006E25AF">
        <w:rPr>
          <w:bCs/>
        </w:rPr>
        <w:t>Chifamba’s</w:t>
      </w:r>
      <w:proofErr w:type="spellEnd"/>
      <w:r w:rsidRPr="006E25AF">
        <w:rPr>
          <w:bCs/>
        </w:rPr>
        <w:t xml:space="preserve"> mother prefers not to talk about this as she sees it as having a constant reminder regarding your ‘death penalty’. She says it is common sense for someone to be prepared about any eventuality in life. She says it is normal that people are born and die – thus it is automatic that people have learnt and will be prepared when someone dies. She says things to do with death come automatically and people do not have to be reminded all the time about the death penalty. If this happens people are wired to be able to handle this automatically and need not be a topic for discussion. </w:t>
      </w:r>
    </w:p>
    <w:p w14:paraId="018A5369" w14:textId="77777777" w:rsidR="000F7E56" w:rsidRPr="006E25AF" w:rsidRDefault="000F7E56" w:rsidP="000F7E56">
      <w:pPr>
        <w:spacing w:after="120" w:line="360" w:lineRule="auto"/>
        <w:rPr>
          <w:bCs/>
        </w:rPr>
      </w:pPr>
      <w:r w:rsidRPr="006E25AF">
        <w:rPr>
          <w:bCs/>
          <w:i/>
        </w:rPr>
        <w:t>Lack of trust:</w:t>
      </w:r>
      <w:r w:rsidRPr="006E25AF">
        <w:rPr>
          <w:b/>
          <w:bCs/>
        </w:rPr>
        <w:t xml:space="preserve"> </w:t>
      </w:r>
      <w:bookmarkStart w:id="491" w:name="_Hlk89343228"/>
      <w:r w:rsidRPr="006E25AF">
        <w:rPr>
          <w:bCs/>
        </w:rPr>
        <w:t xml:space="preserve">Mr </w:t>
      </w:r>
      <w:proofErr w:type="spellStart"/>
      <w:r w:rsidRPr="006E25AF">
        <w:rPr>
          <w:bCs/>
        </w:rPr>
        <w:t>Chifamba</w:t>
      </w:r>
      <w:proofErr w:type="spellEnd"/>
      <w:r w:rsidRPr="006E25AF">
        <w:rPr>
          <w:bCs/>
        </w:rPr>
        <w:t xml:space="preserve"> </w:t>
      </w:r>
      <w:bookmarkEnd w:id="491"/>
      <w:r w:rsidRPr="006E25AF">
        <w:rPr>
          <w:bCs/>
        </w:rPr>
        <w:t xml:space="preserve">does not trust HCPs due to his past experiences and delay in diagnosis. </w:t>
      </w:r>
    </w:p>
    <w:p w14:paraId="32AE95B9" w14:textId="77777777" w:rsidR="000F7E56" w:rsidRPr="006E25AF" w:rsidRDefault="000F7E56" w:rsidP="000F7E56">
      <w:pPr>
        <w:spacing w:after="120" w:line="360" w:lineRule="auto"/>
        <w:rPr>
          <w:bCs/>
        </w:rPr>
      </w:pPr>
      <w:r w:rsidRPr="006E25AF">
        <w:rPr>
          <w:bCs/>
          <w:i/>
        </w:rPr>
        <w:t>Ancestral roots:</w:t>
      </w:r>
      <w:r w:rsidRPr="006E25AF">
        <w:rPr>
          <w:bCs/>
        </w:rPr>
        <w:t xml:space="preserve"> Mr </w:t>
      </w:r>
      <w:proofErr w:type="spellStart"/>
      <w:r w:rsidRPr="006E25AF">
        <w:rPr>
          <w:bCs/>
        </w:rPr>
        <w:t>Chifamba</w:t>
      </w:r>
      <w:proofErr w:type="spellEnd"/>
      <w:r w:rsidRPr="006E25AF">
        <w:rPr>
          <w:bCs/>
        </w:rPr>
        <w:t xml:space="preserve"> was born in Zimbabwe and wants to be buried there.</w:t>
      </w:r>
    </w:p>
    <w:p w14:paraId="6EB2A4FC" w14:textId="1C312FB6" w:rsidR="000F7E56" w:rsidRPr="006E25AF" w:rsidRDefault="000F7E56" w:rsidP="000F7E56">
      <w:pPr>
        <w:spacing w:after="120" w:line="360" w:lineRule="auto"/>
        <w:rPr>
          <w:bCs/>
        </w:rPr>
      </w:pPr>
      <w:r w:rsidRPr="006E25AF">
        <w:rPr>
          <w:bCs/>
          <w:i/>
        </w:rPr>
        <w:t>Culturally inappropriate</w:t>
      </w:r>
      <w:r w:rsidRPr="006E25AF">
        <w:rPr>
          <w:bCs/>
        </w:rPr>
        <w:t>:</w:t>
      </w:r>
      <w:r w:rsidRPr="006E25AF">
        <w:rPr>
          <w:b/>
          <w:bCs/>
        </w:rPr>
        <w:t xml:space="preserve"> </w:t>
      </w:r>
      <w:r w:rsidRPr="006E25AF">
        <w:rPr>
          <w:bCs/>
        </w:rPr>
        <w:t xml:space="preserve">Mr </w:t>
      </w:r>
      <w:proofErr w:type="spellStart"/>
      <w:r w:rsidRPr="006E25AF">
        <w:rPr>
          <w:bCs/>
        </w:rPr>
        <w:t>Chifamba’s</w:t>
      </w:r>
      <w:proofErr w:type="spellEnd"/>
      <w:r w:rsidRPr="006E25AF">
        <w:rPr>
          <w:bCs/>
        </w:rPr>
        <w:t xml:space="preserve"> mother does not think it is culturally appropriate to discuss dying and death as it may then happen sooner. Such discussions in her culture </w:t>
      </w:r>
      <w:r w:rsidR="00377F16" w:rsidRPr="006E25AF">
        <w:rPr>
          <w:bCs/>
        </w:rPr>
        <w:t>are not</w:t>
      </w:r>
      <w:r w:rsidRPr="006E25AF">
        <w:rPr>
          <w:bCs/>
        </w:rPr>
        <w:t xml:space="preserve"> done and she views it as a western style to discuss such things. Talking about death and </w:t>
      </w:r>
      <w:r w:rsidR="00377F16" w:rsidRPr="006E25AF">
        <w:rPr>
          <w:bCs/>
        </w:rPr>
        <w:t>dying takes</w:t>
      </w:r>
      <w:r w:rsidRPr="006E25AF">
        <w:rPr>
          <w:bCs/>
        </w:rPr>
        <w:t xml:space="preserve"> way her morale and hope.</w:t>
      </w:r>
    </w:p>
    <w:p w14:paraId="56704787" w14:textId="77777777" w:rsidR="000F7E56" w:rsidRPr="006E25AF" w:rsidRDefault="000F7E56" w:rsidP="000F7E56">
      <w:pPr>
        <w:spacing w:after="120" w:line="360" w:lineRule="auto"/>
        <w:rPr>
          <w:bCs/>
        </w:rPr>
      </w:pPr>
      <w:r w:rsidRPr="006E25AF">
        <w:rPr>
          <w:bCs/>
          <w:i/>
        </w:rPr>
        <w:lastRenderedPageBreak/>
        <w:t>Religion and spirituality</w:t>
      </w:r>
      <w:r w:rsidRPr="006E25AF">
        <w:rPr>
          <w:bCs/>
        </w:rPr>
        <w:t>:</w:t>
      </w:r>
      <w:r w:rsidRPr="006E25AF">
        <w:rPr>
          <w:b/>
          <w:bCs/>
        </w:rPr>
        <w:t xml:space="preserve"> </w:t>
      </w:r>
      <w:r w:rsidRPr="006E25AF">
        <w:rPr>
          <w:bCs/>
        </w:rPr>
        <w:t xml:space="preserve">Mr </w:t>
      </w:r>
      <w:proofErr w:type="spellStart"/>
      <w:r w:rsidRPr="006E25AF">
        <w:rPr>
          <w:bCs/>
        </w:rPr>
        <w:t>Chifamba’s</w:t>
      </w:r>
      <w:proofErr w:type="spellEnd"/>
      <w:r w:rsidRPr="006E25AF">
        <w:rPr>
          <w:bCs/>
        </w:rPr>
        <w:t xml:space="preserve"> mother</w:t>
      </w:r>
      <w:r w:rsidRPr="006E25AF">
        <w:rPr>
          <w:b/>
          <w:bCs/>
        </w:rPr>
        <w:t xml:space="preserve"> </w:t>
      </w:r>
      <w:r w:rsidRPr="006E25AF">
        <w:rPr>
          <w:rFonts w:eastAsia="SimSun" w:cstheme="minorHAnsi"/>
          <w:color w:val="00000A"/>
          <w:lang w:eastAsia="zh-CN" w:bidi="hi-IN"/>
        </w:rPr>
        <w:t xml:space="preserve">talks a lot about her Christian values saying that it is God who determine things implying decisions should be made in consultation to him – following his guidance. </w:t>
      </w:r>
      <w:r w:rsidRPr="006E25AF">
        <w:rPr>
          <w:bCs/>
        </w:rPr>
        <w:t xml:space="preserve"> </w:t>
      </w:r>
    </w:p>
    <w:p w14:paraId="2C74DE89" w14:textId="77777777" w:rsidR="000F7E56" w:rsidRPr="006E25AF" w:rsidRDefault="000F7E56" w:rsidP="000F7E56">
      <w:pPr>
        <w:spacing w:after="120" w:line="360" w:lineRule="auto"/>
        <w:rPr>
          <w:bCs/>
        </w:rPr>
      </w:pPr>
      <w:r w:rsidRPr="006E25AF">
        <w:rPr>
          <w:bCs/>
          <w:i/>
        </w:rPr>
        <w:t>Immigration issues:</w:t>
      </w:r>
      <w:r w:rsidRPr="006E25AF">
        <w:rPr>
          <w:bCs/>
        </w:rPr>
        <w:t xml:space="preserve"> Mr </w:t>
      </w:r>
      <w:proofErr w:type="spellStart"/>
      <w:r w:rsidRPr="006E25AF">
        <w:rPr>
          <w:bCs/>
        </w:rPr>
        <w:t>Chifamba’s</w:t>
      </w:r>
      <w:proofErr w:type="spellEnd"/>
      <w:r w:rsidRPr="006E25AF">
        <w:rPr>
          <w:bCs/>
        </w:rPr>
        <w:t xml:space="preserve"> mother was planning to return to Africa even though her son still required care.</w:t>
      </w:r>
    </w:p>
    <w:p w14:paraId="1A89F51B" w14:textId="77777777" w:rsidR="000F7E56" w:rsidRPr="000F7E56" w:rsidRDefault="000F7E56" w:rsidP="000F7E56">
      <w:pPr>
        <w:spacing w:after="120" w:line="360" w:lineRule="auto"/>
        <w:rPr>
          <w:rFonts w:ascii="Calibri" w:hAnsi="Calibri" w:cs="Calibri"/>
          <w:b/>
          <w:sz w:val="24"/>
          <w:szCs w:val="24"/>
          <w:u w:val="single"/>
        </w:rPr>
      </w:pPr>
    </w:p>
    <w:p w14:paraId="398CBD4A" w14:textId="3133DBF1" w:rsidR="000F7E56" w:rsidRPr="000F7E56" w:rsidRDefault="000F7E56" w:rsidP="000F7E56">
      <w:pPr>
        <w:spacing w:after="120" w:line="360" w:lineRule="auto"/>
        <w:rPr>
          <w:rFonts w:ascii="Calibri" w:hAnsi="Calibri" w:cs="Calibri"/>
          <w:b/>
          <w:i/>
          <w:sz w:val="24"/>
          <w:szCs w:val="24"/>
        </w:rPr>
      </w:pPr>
      <w:bookmarkStart w:id="492" w:name="_Hlk89343742"/>
    </w:p>
    <w:tbl>
      <w:tblPr>
        <w:tblStyle w:val="TableGrid"/>
        <w:tblW w:w="8789" w:type="dxa"/>
        <w:tblInd w:w="-5" w:type="dxa"/>
        <w:tblLook w:val="04A0" w:firstRow="1" w:lastRow="0" w:firstColumn="1" w:lastColumn="0" w:noHBand="0" w:noVBand="1"/>
      </w:tblPr>
      <w:tblGrid>
        <w:gridCol w:w="4253"/>
        <w:gridCol w:w="4536"/>
      </w:tblGrid>
      <w:tr w:rsidR="000F7E56" w:rsidRPr="000F7E56" w14:paraId="50647CEA" w14:textId="77777777" w:rsidTr="000F7E56">
        <w:tc>
          <w:tcPr>
            <w:tcW w:w="4253" w:type="dxa"/>
          </w:tcPr>
          <w:bookmarkEnd w:id="492"/>
          <w:p w14:paraId="6746875D" w14:textId="77777777" w:rsidR="000F7E56" w:rsidRPr="000F7E56" w:rsidRDefault="000F7E56" w:rsidP="000F7E56">
            <w:pPr>
              <w:spacing w:after="120" w:line="360" w:lineRule="auto"/>
              <w:rPr>
                <w:rFonts w:ascii="Calibri" w:hAnsi="Calibri" w:cs="Calibri"/>
                <w:b/>
                <w:sz w:val="24"/>
                <w:szCs w:val="24"/>
              </w:rPr>
            </w:pPr>
            <w:r w:rsidRPr="000F7E56">
              <w:rPr>
                <w:rFonts w:ascii="Calibri" w:hAnsi="Calibri" w:cs="Calibri"/>
                <w:b/>
                <w:sz w:val="24"/>
                <w:szCs w:val="24"/>
              </w:rPr>
              <w:t xml:space="preserve">Participant </w:t>
            </w:r>
          </w:p>
        </w:tc>
        <w:tc>
          <w:tcPr>
            <w:tcW w:w="4536" w:type="dxa"/>
          </w:tcPr>
          <w:p w14:paraId="17C3DF91" w14:textId="77777777" w:rsidR="000F7E56" w:rsidRPr="000F7E56" w:rsidRDefault="000F7E56" w:rsidP="000F7E56">
            <w:pPr>
              <w:spacing w:after="120" w:line="360" w:lineRule="auto"/>
              <w:rPr>
                <w:rFonts w:ascii="Calibri" w:hAnsi="Calibri" w:cs="Calibri"/>
                <w:b/>
                <w:i/>
                <w:sz w:val="24"/>
                <w:szCs w:val="24"/>
              </w:rPr>
            </w:pPr>
            <w:r w:rsidRPr="000F7E56">
              <w:rPr>
                <w:rFonts w:ascii="Calibri" w:hAnsi="Calibri" w:cs="Calibri"/>
                <w:b/>
                <w:sz w:val="24"/>
                <w:szCs w:val="24"/>
              </w:rPr>
              <w:t xml:space="preserve">Data collection: </w:t>
            </w:r>
            <w:r w:rsidRPr="000F7E56">
              <w:rPr>
                <w:rFonts w:ascii="Calibri" w:hAnsi="Calibri" w:cs="Calibri"/>
                <w:sz w:val="24"/>
                <w:szCs w:val="24"/>
              </w:rPr>
              <w:t>October 2019 – April 2020</w:t>
            </w:r>
          </w:p>
        </w:tc>
      </w:tr>
      <w:tr w:rsidR="000F7E56" w:rsidRPr="000F7E56" w14:paraId="7D7C1931" w14:textId="77777777" w:rsidTr="000F7E56">
        <w:tc>
          <w:tcPr>
            <w:tcW w:w="4253" w:type="dxa"/>
          </w:tcPr>
          <w:p w14:paraId="3A190289" w14:textId="77777777" w:rsidR="000F7E56" w:rsidRPr="000F7E56" w:rsidRDefault="000F7E56" w:rsidP="000F7E56">
            <w:pPr>
              <w:spacing w:after="120" w:line="360" w:lineRule="auto"/>
              <w:rPr>
                <w:rFonts w:ascii="Calibri" w:hAnsi="Calibri" w:cs="Calibri"/>
                <w:sz w:val="24"/>
                <w:szCs w:val="24"/>
              </w:rPr>
            </w:pPr>
            <w:r w:rsidRPr="000F7E56">
              <w:rPr>
                <w:rFonts w:ascii="Calibri" w:hAnsi="Calibri" w:cs="Calibri"/>
                <w:sz w:val="24"/>
                <w:szCs w:val="24"/>
              </w:rPr>
              <w:t xml:space="preserve">Mrs </w:t>
            </w:r>
            <w:proofErr w:type="spellStart"/>
            <w:r w:rsidRPr="000F7E56">
              <w:rPr>
                <w:rFonts w:ascii="Calibri" w:hAnsi="Calibri" w:cs="Calibri"/>
                <w:sz w:val="24"/>
                <w:szCs w:val="24"/>
              </w:rPr>
              <w:t>Curkovic’s</w:t>
            </w:r>
            <w:proofErr w:type="spellEnd"/>
            <w:r w:rsidRPr="000F7E56">
              <w:rPr>
                <w:rFonts w:ascii="Calibri" w:hAnsi="Calibri" w:cs="Calibri"/>
                <w:sz w:val="24"/>
                <w:szCs w:val="24"/>
              </w:rPr>
              <w:t xml:space="preserve"> Daughter and Consultee</w:t>
            </w:r>
          </w:p>
        </w:tc>
        <w:tc>
          <w:tcPr>
            <w:tcW w:w="4536" w:type="dxa"/>
          </w:tcPr>
          <w:p w14:paraId="6C832054" w14:textId="77777777" w:rsidR="000F7E56" w:rsidRPr="000F7E56" w:rsidRDefault="000F7E56" w:rsidP="000F7E56">
            <w:pPr>
              <w:spacing w:after="120" w:line="360" w:lineRule="auto"/>
              <w:rPr>
                <w:rFonts w:ascii="Calibri" w:hAnsi="Calibri" w:cs="Calibri"/>
                <w:sz w:val="24"/>
                <w:szCs w:val="24"/>
              </w:rPr>
            </w:pPr>
            <w:r w:rsidRPr="000F7E56">
              <w:rPr>
                <w:rFonts w:ascii="Calibri" w:hAnsi="Calibri" w:cs="Calibri"/>
                <w:sz w:val="24"/>
                <w:szCs w:val="24"/>
              </w:rPr>
              <w:t>2 interviews</w:t>
            </w:r>
          </w:p>
        </w:tc>
      </w:tr>
      <w:tr w:rsidR="000F7E56" w:rsidRPr="000F7E56" w14:paraId="68D7E710" w14:textId="77777777" w:rsidTr="000F7E56">
        <w:tc>
          <w:tcPr>
            <w:tcW w:w="4253" w:type="dxa"/>
          </w:tcPr>
          <w:p w14:paraId="1CDF758C" w14:textId="77777777" w:rsidR="000F7E56" w:rsidRPr="000F7E56" w:rsidRDefault="000F7E56" w:rsidP="000F7E56">
            <w:pPr>
              <w:spacing w:after="120" w:line="360" w:lineRule="auto"/>
              <w:rPr>
                <w:rFonts w:ascii="Calibri" w:hAnsi="Calibri" w:cs="Calibri"/>
                <w:sz w:val="24"/>
                <w:szCs w:val="24"/>
              </w:rPr>
            </w:pPr>
            <w:r w:rsidRPr="000F7E56">
              <w:rPr>
                <w:rFonts w:ascii="Calibri" w:hAnsi="Calibri" w:cs="Calibri"/>
                <w:sz w:val="24"/>
                <w:szCs w:val="24"/>
              </w:rPr>
              <w:t xml:space="preserve">Mrs </w:t>
            </w:r>
            <w:proofErr w:type="spellStart"/>
            <w:r w:rsidRPr="000F7E56">
              <w:rPr>
                <w:rFonts w:ascii="Calibri" w:hAnsi="Calibri" w:cs="Calibri"/>
                <w:sz w:val="24"/>
                <w:szCs w:val="24"/>
              </w:rPr>
              <w:t>Curkovic’s</w:t>
            </w:r>
            <w:proofErr w:type="spellEnd"/>
            <w:r w:rsidRPr="000F7E56">
              <w:rPr>
                <w:rFonts w:ascii="Calibri" w:hAnsi="Calibri" w:cs="Calibri"/>
                <w:sz w:val="24"/>
                <w:szCs w:val="24"/>
              </w:rPr>
              <w:t xml:space="preserve"> Daughter</w:t>
            </w:r>
            <w:r w:rsidRPr="000F7E56">
              <w:rPr>
                <w:rFonts w:ascii="Calibri" w:hAnsi="Calibri" w:cs="Calibri"/>
                <w:i/>
                <w:sz w:val="24"/>
                <w:szCs w:val="24"/>
              </w:rPr>
              <w:t xml:space="preserve"> </w:t>
            </w:r>
            <w:r w:rsidRPr="000F7E56">
              <w:rPr>
                <w:rFonts w:ascii="Calibri" w:hAnsi="Calibri" w:cs="Calibri"/>
                <w:sz w:val="24"/>
                <w:szCs w:val="24"/>
              </w:rPr>
              <w:t xml:space="preserve"> </w:t>
            </w:r>
          </w:p>
        </w:tc>
        <w:tc>
          <w:tcPr>
            <w:tcW w:w="4536" w:type="dxa"/>
          </w:tcPr>
          <w:p w14:paraId="43AD425E" w14:textId="77777777" w:rsidR="000F7E56" w:rsidRPr="000F7E56" w:rsidRDefault="000F7E56" w:rsidP="000F7E56">
            <w:pPr>
              <w:spacing w:after="120" w:line="360" w:lineRule="auto"/>
              <w:rPr>
                <w:rFonts w:ascii="Calibri" w:hAnsi="Calibri" w:cs="Calibri"/>
                <w:sz w:val="24"/>
                <w:szCs w:val="24"/>
              </w:rPr>
            </w:pPr>
            <w:r w:rsidRPr="000F7E56">
              <w:rPr>
                <w:rFonts w:ascii="Calibri" w:hAnsi="Calibri" w:cs="Calibri"/>
                <w:sz w:val="24"/>
                <w:szCs w:val="24"/>
              </w:rPr>
              <w:t>3 interviews</w:t>
            </w:r>
          </w:p>
        </w:tc>
      </w:tr>
      <w:tr w:rsidR="000F7E56" w:rsidRPr="000F7E56" w14:paraId="48193DA2" w14:textId="77777777" w:rsidTr="000F7E56">
        <w:tc>
          <w:tcPr>
            <w:tcW w:w="4253" w:type="dxa"/>
          </w:tcPr>
          <w:p w14:paraId="3DC845A0" w14:textId="77777777" w:rsidR="000F7E56" w:rsidRPr="000F7E56" w:rsidRDefault="000F7E56" w:rsidP="000F7E56">
            <w:pPr>
              <w:spacing w:after="120" w:line="360" w:lineRule="auto"/>
              <w:rPr>
                <w:rFonts w:ascii="Calibri" w:hAnsi="Calibri" w:cs="Calibri"/>
                <w:sz w:val="24"/>
                <w:szCs w:val="24"/>
              </w:rPr>
            </w:pPr>
            <w:r w:rsidRPr="000F7E56">
              <w:rPr>
                <w:rFonts w:ascii="Calibri" w:hAnsi="Calibri" w:cs="Calibri"/>
                <w:sz w:val="24"/>
                <w:szCs w:val="24"/>
              </w:rPr>
              <w:t>HCP: GP Practice Nurse Specialist (R</w:t>
            </w:r>
            <w:r w:rsidRPr="000F7E56">
              <w:t>esponsible for ACP)</w:t>
            </w:r>
          </w:p>
        </w:tc>
        <w:tc>
          <w:tcPr>
            <w:tcW w:w="4536" w:type="dxa"/>
          </w:tcPr>
          <w:p w14:paraId="4723EBC8" w14:textId="77777777" w:rsidR="000F7E56" w:rsidRPr="000F7E56" w:rsidRDefault="000F7E56" w:rsidP="000F7E56">
            <w:pPr>
              <w:spacing w:after="120" w:line="360" w:lineRule="auto"/>
              <w:rPr>
                <w:rFonts w:ascii="Calibri" w:hAnsi="Calibri" w:cs="Calibri"/>
                <w:sz w:val="24"/>
                <w:szCs w:val="24"/>
              </w:rPr>
            </w:pPr>
            <w:r w:rsidRPr="000F7E56">
              <w:rPr>
                <w:rFonts w:ascii="Calibri" w:hAnsi="Calibri" w:cs="Calibri"/>
                <w:sz w:val="24"/>
                <w:szCs w:val="24"/>
              </w:rPr>
              <w:t>1 interview</w:t>
            </w:r>
          </w:p>
        </w:tc>
      </w:tr>
    </w:tbl>
    <w:p w14:paraId="745F0EB4" w14:textId="10DFDE4F" w:rsidR="00672161" w:rsidRDefault="00672161" w:rsidP="00D74EFC">
      <w:pPr>
        <w:pStyle w:val="Caption"/>
        <w:jc w:val="left"/>
      </w:pPr>
      <w:bookmarkStart w:id="493" w:name="_Toc106701078"/>
      <w:r>
        <w:t>T</w:t>
      </w:r>
      <w:r w:rsidR="0087146C">
        <w:t>ABLE</w:t>
      </w:r>
      <w:r>
        <w:t xml:space="preserve"> </w:t>
      </w:r>
      <w:fldSimple w:instr=" SEQ Table \* ARABIC ">
        <w:r w:rsidR="00514EB4">
          <w:rPr>
            <w:noProof/>
          </w:rPr>
          <w:t>16</w:t>
        </w:r>
      </w:fldSimple>
      <w:r>
        <w:t xml:space="preserve"> - Mrs </w:t>
      </w:r>
      <w:proofErr w:type="spellStart"/>
      <w:r>
        <w:t>Curkovic</w:t>
      </w:r>
      <w:proofErr w:type="spellEnd"/>
      <w:r>
        <w:t xml:space="preserve"> Case Study Interviews</w:t>
      </w:r>
      <w:bookmarkEnd w:id="493"/>
    </w:p>
    <w:p w14:paraId="3C772EE0" w14:textId="550FA6FE" w:rsidR="000F7E56" w:rsidRPr="00377F16" w:rsidRDefault="000F7E56" w:rsidP="000F7E56">
      <w:pPr>
        <w:spacing w:after="120" w:line="360" w:lineRule="auto"/>
      </w:pPr>
      <w:r w:rsidRPr="00377F16">
        <w:rPr>
          <w:rFonts w:ascii="Calibri" w:hAnsi="Calibri" w:cs="Calibri"/>
          <w:i/>
        </w:rPr>
        <w:t>Background:</w:t>
      </w:r>
      <w:r w:rsidRPr="00377F16">
        <w:rPr>
          <w:rFonts w:ascii="Calibri" w:hAnsi="Calibri" w:cs="Calibri"/>
          <w:b/>
        </w:rPr>
        <w:t xml:space="preserve"> </w:t>
      </w:r>
      <w:r w:rsidRPr="00377F16">
        <w:t xml:space="preserve">Mrs </w:t>
      </w:r>
      <w:proofErr w:type="spellStart"/>
      <w:r w:rsidRPr="00377F16">
        <w:t>Curkovic</w:t>
      </w:r>
      <w:proofErr w:type="spellEnd"/>
      <w:r w:rsidRPr="00377F16">
        <w:t xml:space="preserve"> is </w:t>
      </w:r>
      <w:r w:rsidR="00377F16" w:rsidRPr="00377F16">
        <w:t>an</w:t>
      </w:r>
      <w:r w:rsidRPr="00377F16">
        <w:t xml:space="preserve"> elderly Serbian lady who has a diagnosis of cancer. She also lives with dementia and so her youngest daughter was the consultee for Mrs </w:t>
      </w:r>
      <w:proofErr w:type="spellStart"/>
      <w:r w:rsidRPr="00377F16">
        <w:t>Curkovic’s</w:t>
      </w:r>
      <w:proofErr w:type="spellEnd"/>
      <w:r w:rsidRPr="00377F16">
        <w:t xml:space="preserve"> participation in the study. </w:t>
      </w:r>
      <w:bookmarkStart w:id="494" w:name="_Hlk89343833"/>
      <w:r w:rsidRPr="00377F16">
        <w:t xml:space="preserve">Mrs </w:t>
      </w:r>
      <w:proofErr w:type="spellStart"/>
      <w:r w:rsidRPr="00377F16">
        <w:t>Curkovic</w:t>
      </w:r>
      <w:proofErr w:type="spellEnd"/>
      <w:r w:rsidRPr="00377F16">
        <w:t xml:space="preserve"> </w:t>
      </w:r>
      <w:bookmarkEnd w:id="494"/>
      <w:r w:rsidRPr="00377F16">
        <w:t xml:space="preserve">is Serbian, was born in Croatia (formerly Yugoslavia) and migrated to the UK with her husband.  Her husband died some years ago, rather suddenly. Her religion is Serbian Orthodox; Mrs </w:t>
      </w:r>
      <w:proofErr w:type="spellStart"/>
      <w:r w:rsidRPr="00377F16">
        <w:t>Curkovic</w:t>
      </w:r>
      <w:proofErr w:type="spellEnd"/>
      <w:r w:rsidRPr="00377F16">
        <w:t xml:space="preserve"> was able to speak English and had worked in several roles until retirement, but with the onset of dementia and less socialisation when she ceased working, she reverted back to her mother tongue.  Her daughters interpret for her in all situations; even staying in hospital with her to do this. </w:t>
      </w:r>
    </w:p>
    <w:p w14:paraId="434E2BEE" w14:textId="77777777" w:rsidR="000F7E56" w:rsidRPr="00377F16" w:rsidRDefault="000F7E56" w:rsidP="000F7E56">
      <w:pPr>
        <w:spacing w:after="120" w:line="360" w:lineRule="auto"/>
        <w:rPr>
          <w:rFonts w:cstheme="minorHAnsi"/>
        </w:rPr>
      </w:pPr>
      <w:r w:rsidRPr="00377F16">
        <w:rPr>
          <w:rFonts w:ascii="Calibri" w:hAnsi="Calibri" w:cs="Calibri"/>
          <w:i/>
        </w:rPr>
        <w:t>Living Arrangements:</w:t>
      </w:r>
      <w:r w:rsidRPr="00377F16">
        <w:rPr>
          <w:rFonts w:ascii="Calibri" w:hAnsi="Calibri" w:cs="Calibri"/>
          <w:b/>
        </w:rPr>
        <w:t xml:space="preserve"> </w:t>
      </w:r>
      <w:r w:rsidRPr="00377F16">
        <w:rPr>
          <w:rFonts w:ascii="Calibri" w:hAnsi="Calibri" w:cs="Calibri"/>
        </w:rPr>
        <w:t xml:space="preserve">Mrs </w:t>
      </w:r>
      <w:proofErr w:type="spellStart"/>
      <w:r w:rsidRPr="00377F16">
        <w:rPr>
          <w:rFonts w:ascii="Calibri" w:hAnsi="Calibri" w:cs="Calibri"/>
        </w:rPr>
        <w:t>Curkovic</w:t>
      </w:r>
      <w:proofErr w:type="spellEnd"/>
      <w:r w:rsidRPr="00377F16">
        <w:rPr>
          <w:rFonts w:cstheme="minorHAnsi"/>
        </w:rPr>
        <w:t xml:space="preserve"> is cared for by two British-born daughters. One of her daughters gave up work in January 2019 to care for Mrs </w:t>
      </w:r>
      <w:proofErr w:type="spellStart"/>
      <w:r w:rsidRPr="00377F16">
        <w:rPr>
          <w:rFonts w:cstheme="minorHAnsi"/>
        </w:rPr>
        <w:t>Curkovic</w:t>
      </w:r>
      <w:proofErr w:type="spellEnd"/>
      <w:r w:rsidRPr="00377F16">
        <w:rPr>
          <w:rFonts w:cstheme="minorHAnsi"/>
        </w:rPr>
        <w:t xml:space="preserve"> and the other reduced her working hours to share the care. Mrs </w:t>
      </w:r>
      <w:proofErr w:type="spellStart"/>
      <w:r w:rsidRPr="00377F16">
        <w:rPr>
          <w:rFonts w:cstheme="minorHAnsi"/>
        </w:rPr>
        <w:t>Curkovic</w:t>
      </w:r>
      <w:proofErr w:type="spellEnd"/>
      <w:r w:rsidRPr="00377F16">
        <w:rPr>
          <w:rFonts w:cstheme="minorHAnsi"/>
        </w:rPr>
        <w:t xml:space="preserve"> daughters see it very much part of their culture that they care for their mother and being placed in care elsewhere would be counter-cultural and the last thing their mother would want Mrs </w:t>
      </w:r>
      <w:proofErr w:type="spellStart"/>
      <w:r w:rsidRPr="00377F16">
        <w:t>Curkovic</w:t>
      </w:r>
      <w:proofErr w:type="spellEnd"/>
      <w:r w:rsidRPr="00377F16">
        <w:rPr>
          <w:rFonts w:cstheme="minorHAnsi"/>
        </w:rPr>
        <w:t xml:space="preserve"> is cared for at her own home and also at her youngest daughter’s home. This daughter also acts as a consultee for Mrs </w:t>
      </w:r>
      <w:proofErr w:type="spellStart"/>
      <w:r w:rsidRPr="00377F16">
        <w:t>Curkovic</w:t>
      </w:r>
      <w:proofErr w:type="spellEnd"/>
      <w:r w:rsidRPr="00377F16">
        <w:t>.</w:t>
      </w:r>
      <w:r w:rsidRPr="00377F16">
        <w:rPr>
          <w:rFonts w:cstheme="minorHAnsi"/>
        </w:rPr>
        <w:t xml:space="preserve">  </w:t>
      </w:r>
    </w:p>
    <w:p w14:paraId="28F81A29" w14:textId="64CF7A26" w:rsidR="000F7E56" w:rsidRPr="00377F16" w:rsidRDefault="000F7E56" w:rsidP="000F7E56">
      <w:pPr>
        <w:spacing w:after="120" w:line="360" w:lineRule="auto"/>
      </w:pPr>
      <w:r w:rsidRPr="00377F16">
        <w:rPr>
          <w:rFonts w:ascii="Calibri" w:hAnsi="Calibri" w:cs="Calibri"/>
          <w:i/>
        </w:rPr>
        <w:t>Understanding of EOLCP:</w:t>
      </w:r>
      <w:r w:rsidRPr="00377F16">
        <w:rPr>
          <w:rFonts w:ascii="Calibri" w:hAnsi="Calibri" w:cs="Calibri"/>
          <w:b/>
        </w:rPr>
        <w:t xml:space="preserve"> </w:t>
      </w:r>
      <w:r w:rsidRPr="00377F16">
        <w:rPr>
          <w:rFonts w:ascii="Calibri" w:hAnsi="Calibri" w:cs="Calibri"/>
        </w:rPr>
        <w:t xml:space="preserve">The </w:t>
      </w:r>
      <w:r w:rsidRPr="00377F16">
        <w:t xml:space="preserve">family have spoken repeatedly of home as their preferred place of care/dying. They acknowledge that things may deteriorate and that other care may become necessary though they are determined that will not be in hospital, due to previous poor experiences of care there. The daughters have now signed a DNACPR form – though they agonised over this, feeling they were signing their mum’s </w:t>
      </w:r>
      <w:r w:rsidR="00377F16">
        <w:t>‘</w:t>
      </w:r>
      <w:r w:rsidRPr="00377F16">
        <w:rPr>
          <w:i/>
        </w:rPr>
        <w:t>death warran</w:t>
      </w:r>
      <w:r w:rsidR="00377F16">
        <w:rPr>
          <w:i/>
        </w:rPr>
        <w:t>t’</w:t>
      </w:r>
      <w:r w:rsidRPr="00377F16">
        <w:t xml:space="preserve">. It is hard to know whether Mrs </w:t>
      </w:r>
      <w:proofErr w:type="spellStart"/>
      <w:r w:rsidRPr="00377F16">
        <w:t>Curkovic</w:t>
      </w:r>
      <w:proofErr w:type="spellEnd"/>
      <w:r w:rsidRPr="00377F16">
        <w:t xml:space="preserve"> understands EOLCP except as far as her daughters try to </w:t>
      </w:r>
      <w:r w:rsidRPr="00377F16">
        <w:lastRenderedPageBreak/>
        <w:t xml:space="preserve">ask their Mum’s opinions on matters like where she wishes to be cared for. It is not clear whether Mrs </w:t>
      </w:r>
      <w:proofErr w:type="spellStart"/>
      <w:r w:rsidRPr="00377F16">
        <w:t>Curkovic</w:t>
      </w:r>
      <w:proofErr w:type="spellEnd"/>
      <w:r w:rsidRPr="00377F16">
        <w:t xml:space="preserve"> would wish or be able to consider elements of her EOLC in order to plan these. Initially Mrs </w:t>
      </w:r>
      <w:proofErr w:type="spellStart"/>
      <w:r w:rsidRPr="00377F16">
        <w:t>Curkovic’s</w:t>
      </w:r>
      <w:proofErr w:type="spellEnd"/>
      <w:r w:rsidRPr="00377F16">
        <w:t xml:space="preserve"> daughters feared that signing a DNACPR form meant that no care would be delivered to their Mum in the event she deteriorated.  This was wrapped up with the emotional aspects they felt about ‘giving up’ on their Mum. After being given time and space, they felt able to embrace the notion of having a DNACPR instruction in place. </w:t>
      </w:r>
    </w:p>
    <w:p w14:paraId="7C9CA6AB" w14:textId="113F0606" w:rsidR="000F7E56" w:rsidRPr="00377F16" w:rsidRDefault="000F7E56" w:rsidP="000F7E56">
      <w:pPr>
        <w:spacing w:after="120" w:line="360" w:lineRule="auto"/>
      </w:pPr>
      <w:r w:rsidRPr="00377F16">
        <w:rPr>
          <w:rFonts w:ascii="Calibri" w:hAnsi="Calibri" w:cs="Calibri"/>
          <w:i/>
        </w:rPr>
        <w:t>Experience and Expectations of treatment:</w:t>
      </w:r>
      <w:r w:rsidRPr="00377F16">
        <w:rPr>
          <w:rFonts w:ascii="Calibri" w:hAnsi="Calibri" w:cs="Calibri"/>
        </w:rPr>
        <w:t xml:space="preserve"> </w:t>
      </w:r>
      <w:r w:rsidRPr="00377F16">
        <w:t xml:space="preserve">The family (and possibly Mrs </w:t>
      </w:r>
      <w:proofErr w:type="spellStart"/>
      <w:r w:rsidRPr="00377F16">
        <w:t>Curkovic</w:t>
      </w:r>
      <w:proofErr w:type="spellEnd"/>
      <w:r w:rsidRPr="00377F16">
        <w:t xml:space="preserve">) accept there will be no further, treatment for cancer except medication to manage symptoms. Mrs </w:t>
      </w:r>
      <w:proofErr w:type="spellStart"/>
      <w:r w:rsidRPr="00377F16">
        <w:t>Curkovic</w:t>
      </w:r>
      <w:proofErr w:type="spellEnd"/>
      <w:r w:rsidRPr="00377F16">
        <w:t xml:space="preserve"> is also seen in a primary care setting regarding dementia and her daughters speak very positively of care received from the GP/practice nurse. The family’s experience in an acute/hospital setting has however been a cause of upset (harsh explanation of her illness in a very public area; abrupt questioning about DNACPR status).  This has framed their future care expectations; which they hope it will be possible to deliver at home or in a hospice. </w:t>
      </w:r>
    </w:p>
    <w:p w14:paraId="20B2DB5E" w14:textId="7C231546" w:rsidR="000F7E56" w:rsidRPr="00377F16" w:rsidRDefault="000F7E56" w:rsidP="000F7E56">
      <w:pPr>
        <w:spacing w:after="120" w:line="360" w:lineRule="auto"/>
        <w:rPr>
          <w:rFonts w:ascii="Calibri" w:hAnsi="Calibri" w:cs="Calibri"/>
        </w:rPr>
      </w:pPr>
      <w:r w:rsidRPr="00377F16">
        <w:rPr>
          <w:rFonts w:ascii="Calibri" w:hAnsi="Calibri" w:cs="Calibri"/>
          <w:i/>
        </w:rPr>
        <w:t>Expectations for the future/goals/values:</w:t>
      </w:r>
      <w:r w:rsidRPr="00377F16">
        <w:rPr>
          <w:rFonts w:ascii="Calibri" w:hAnsi="Calibri" w:cs="Calibri"/>
          <w:b/>
        </w:rPr>
        <w:t xml:space="preserve"> </w:t>
      </w:r>
      <w:r w:rsidRPr="00377F16">
        <w:rPr>
          <w:rFonts w:ascii="Calibri" w:hAnsi="Calibri" w:cs="Calibri"/>
        </w:rPr>
        <w:t xml:space="preserve">Care at home for Mrs </w:t>
      </w:r>
      <w:proofErr w:type="spellStart"/>
      <w:r w:rsidRPr="00377F16">
        <w:rPr>
          <w:rFonts w:ascii="Calibri" w:hAnsi="Calibri" w:cs="Calibri"/>
        </w:rPr>
        <w:t>Curkovic</w:t>
      </w:r>
      <w:proofErr w:type="spellEnd"/>
      <w:r w:rsidRPr="00377F16">
        <w:t xml:space="preserve"> is desirable for as long as possible, with hospice a second-choice alternative; they hope to avoid hospital care indefinitely. This is partly related to poor previous experiences but it is also derived from their cultural outlook to care for Mrs </w:t>
      </w:r>
      <w:proofErr w:type="spellStart"/>
      <w:r w:rsidRPr="00377F16">
        <w:t>Curkovic</w:t>
      </w:r>
      <w:proofErr w:type="spellEnd"/>
      <w:r w:rsidRPr="00377F16">
        <w:t xml:space="preserve"> within the family. Mrs </w:t>
      </w:r>
      <w:proofErr w:type="spellStart"/>
      <w:r w:rsidRPr="00377F16">
        <w:t>Curkovic’s</w:t>
      </w:r>
      <w:proofErr w:type="spellEnd"/>
      <w:r w:rsidRPr="00377F16">
        <w:t xml:space="preserve"> daughter explains that as her mother has close family it is </w:t>
      </w:r>
      <w:r w:rsidR="00377F16">
        <w:t>‘</w:t>
      </w:r>
      <w:r w:rsidRPr="00377F16">
        <w:rPr>
          <w:i/>
        </w:rPr>
        <w:t>an alien concept</w:t>
      </w:r>
      <w:r w:rsidR="00377F16">
        <w:rPr>
          <w:i/>
        </w:rPr>
        <w:t>’</w:t>
      </w:r>
      <w:r w:rsidRPr="00377F16">
        <w:t xml:space="preserve"> to have outside carers to help, as culturally it is anticipated that if you have family, the family will look after you. The wider family agree wholeheartedly with this and support Mrs </w:t>
      </w:r>
      <w:proofErr w:type="spellStart"/>
      <w:r w:rsidRPr="00377F16">
        <w:t>Curkovic’s</w:t>
      </w:r>
      <w:proofErr w:type="spellEnd"/>
      <w:r w:rsidRPr="00377F16">
        <w:t xml:space="preserve"> daughters in taking care of their mother themselves. Mrs </w:t>
      </w:r>
      <w:proofErr w:type="spellStart"/>
      <w:r w:rsidRPr="00377F16">
        <w:t>Curkovic</w:t>
      </w:r>
      <w:proofErr w:type="spellEnd"/>
      <w:r w:rsidRPr="00377F16">
        <w:t xml:space="preserve"> daughters are keen to have all the medical input that is possible to keep Mrs </w:t>
      </w:r>
      <w:proofErr w:type="spellStart"/>
      <w:r w:rsidRPr="00377F16">
        <w:t>Curkovic</w:t>
      </w:r>
      <w:proofErr w:type="spellEnd"/>
      <w:r w:rsidRPr="00377F16">
        <w:t xml:space="preserve"> going for as long as possible and palliative care to keep her comfortable and pain-free in later stages.  They believe this is what Mrs </w:t>
      </w:r>
      <w:proofErr w:type="spellStart"/>
      <w:r w:rsidRPr="00377F16">
        <w:t>Curkovic</w:t>
      </w:r>
      <w:proofErr w:type="spellEnd"/>
      <w:r w:rsidRPr="00377F16">
        <w:t xml:space="preserve"> wants, though she doesn’t say this directly due to her living with dementia.  </w:t>
      </w:r>
    </w:p>
    <w:p w14:paraId="089678B2" w14:textId="23F0CE84" w:rsidR="000F7E56" w:rsidRPr="00377F16" w:rsidRDefault="000F7E56" w:rsidP="000F7E56">
      <w:pPr>
        <w:spacing w:after="120" w:line="360" w:lineRule="auto"/>
      </w:pPr>
      <w:r w:rsidRPr="00377F16">
        <w:rPr>
          <w:rFonts w:ascii="Calibri" w:hAnsi="Calibri" w:cs="Calibri"/>
          <w:i/>
        </w:rPr>
        <w:t>HCPs perspective:</w:t>
      </w:r>
      <w:r w:rsidRPr="00377F16">
        <w:rPr>
          <w:rFonts w:ascii="Calibri" w:hAnsi="Calibri" w:cs="Calibri"/>
          <w:b/>
        </w:rPr>
        <w:t xml:space="preserve"> </w:t>
      </w:r>
      <w:r w:rsidRPr="00377F16">
        <w:t xml:space="preserve">There were two key aspects to Mrs </w:t>
      </w:r>
      <w:proofErr w:type="spellStart"/>
      <w:r w:rsidRPr="00377F16">
        <w:t>Curkovic’s</w:t>
      </w:r>
      <w:proofErr w:type="spellEnd"/>
      <w:r w:rsidRPr="00377F16">
        <w:t xml:space="preserve"> HCP account of supporting this family.  First of all she oriented to the fact that she had built a good relationship with them by taking her time to get to know them and their family as well as of course knowing Mrs </w:t>
      </w:r>
      <w:proofErr w:type="spellStart"/>
      <w:r w:rsidRPr="00377F16">
        <w:t>Curkovic</w:t>
      </w:r>
      <w:proofErr w:type="spellEnd"/>
      <w:r w:rsidRPr="00377F16">
        <w:t xml:space="preserve">.  She felt that building that rapport was very important to be able to introduce and discuss other things – namely EOLCP. So for this HCP, knowing Mrs </w:t>
      </w:r>
      <w:proofErr w:type="spellStart"/>
      <w:r w:rsidRPr="00377F16">
        <w:t>Curkovic</w:t>
      </w:r>
      <w:proofErr w:type="spellEnd"/>
      <w:r w:rsidRPr="00377F16">
        <w:t xml:space="preserve"> was paramount and it paved the way for potentially tricky/sensitive conversations.  Mrs </w:t>
      </w:r>
      <w:proofErr w:type="spellStart"/>
      <w:r w:rsidRPr="00377F16">
        <w:t>Curkovic’s</w:t>
      </w:r>
      <w:proofErr w:type="spellEnd"/>
      <w:r w:rsidRPr="00377F16">
        <w:t xml:space="preserve"> HCP felt she needed to wait until the family were in the right space for this to be broached, giving them space to think it through and she felt that preparation work paid off. Secondly, Mrs </w:t>
      </w:r>
      <w:proofErr w:type="spellStart"/>
      <w:r w:rsidRPr="00377F16">
        <w:t>Curkovic’s</w:t>
      </w:r>
      <w:proofErr w:type="spellEnd"/>
      <w:r w:rsidRPr="00377F16">
        <w:t xml:space="preserve"> HCP expressed some concern about whether the patient’s voice had been fully heard.  Whilst she knew that Mrs </w:t>
      </w:r>
      <w:proofErr w:type="spellStart"/>
      <w:r w:rsidRPr="00377F16">
        <w:t>Curkovic’s</w:t>
      </w:r>
      <w:proofErr w:type="spellEnd"/>
      <w:r w:rsidRPr="00377F16">
        <w:t xml:space="preserve"> daughters had their </w:t>
      </w:r>
      <w:r w:rsidR="00377F16" w:rsidRPr="00377F16">
        <w:t>mothers’</w:t>
      </w:r>
      <w:r w:rsidRPr="00377F16">
        <w:t xml:space="preserve"> best interest at heart she expressed concern that as they always interpreted for her, HCPs could not be absolutely sure that that any messages or discussions were being passed on verbatim or whether they were being changed in translation.  Mrs </w:t>
      </w:r>
      <w:proofErr w:type="spellStart"/>
      <w:r w:rsidRPr="00377F16">
        <w:t>Curkovic’s</w:t>
      </w:r>
      <w:proofErr w:type="spellEnd"/>
      <w:r w:rsidRPr="00377F16">
        <w:t xml:space="preserve"> HCP described the daughters as </w:t>
      </w:r>
      <w:r w:rsidRPr="00377F16">
        <w:lastRenderedPageBreak/>
        <w:t xml:space="preserve">‘gatekeepers’ to what Mrs </w:t>
      </w:r>
      <w:proofErr w:type="spellStart"/>
      <w:r w:rsidRPr="00377F16">
        <w:t>Curkovic</w:t>
      </w:r>
      <w:proofErr w:type="spellEnd"/>
      <w:r w:rsidRPr="00377F16">
        <w:t xml:space="preserve"> was being told, and again whilst she had little doubt they felt they were doing the best for their Mum, HCPs could not be sure whether the patients voice was being heard.  This was quite tricky to navigate for Mrs </w:t>
      </w:r>
      <w:proofErr w:type="spellStart"/>
      <w:r w:rsidR="00377F16" w:rsidRPr="00377F16">
        <w:t>Curkovic’s</w:t>
      </w:r>
      <w:proofErr w:type="spellEnd"/>
      <w:r w:rsidR="00377F16" w:rsidRPr="00377F16">
        <w:t xml:space="preserve"> HCP</w:t>
      </w:r>
      <w:r w:rsidRPr="00377F16">
        <w:t>.</w:t>
      </w:r>
    </w:p>
    <w:p w14:paraId="0FA10C73" w14:textId="068DE01F" w:rsidR="000F7E56" w:rsidRDefault="000F7E56" w:rsidP="000F7E56">
      <w:pPr>
        <w:spacing w:after="120" w:line="360" w:lineRule="auto"/>
      </w:pPr>
    </w:p>
    <w:p w14:paraId="0BDBB059" w14:textId="77777777" w:rsidR="00377F16" w:rsidRPr="000F7E56" w:rsidRDefault="00377F16" w:rsidP="000F7E56">
      <w:pPr>
        <w:spacing w:after="120" w:line="360" w:lineRule="auto"/>
      </w:pPr>
    </w:p>
    <w:p w14:paraId="30674BB4" w14:textId="77777777" w:rsidR="000F7E56" w:rsidRPr="000F7E56" w:rsidRDefault="000F7E56" w:rsidP="000F7E56">
      <w:pPr>
        <w:spacing w:after="120" w:line="360" w:lineRule="auto"/>
        <w:rPr>
          <w:rFonts w:cstheme="minorHAnsi"/>
          <w:i/>
          <w:sz w:val="23"/>
          <w:szCs w:val="23"/>
        </w:rPr>
      </w:pPr>
      <w:r w:rsidRPr="000F7E56">
        <w:rPr>
          <w:rFonts w:eastAsia="Times New Roman" w:cstheme="minorHAnsi"/>
          <w:b/>
          <w:i/>
          <w:color w:val="222222"/>
          <w:sz w:val="23"/>
          <w:szCs w:val="23"/>
          <w:lang w:eastAsia="en-GB"/>
        </w:rPr>
        <w:t>Key Observations and Emerging Issues:</w:t>
      </w:r>
      <w:r w:rsidRPr="000F7E56">
        <w:rPr>
          <w:rFonts w:cstheme="minorHAnsi"/>
          <w:i/>
          <w:sz w:val="23"/>
          <w:szCs w:val="23"/>
        </w:rPr>
        <w:t xml:space="preserve"> </w:t>
      </w:r>
    </w:p>
    <w:p w14:paraId="05D00D83" w14:textId="77777777" w:rsidR="000F7E56" w:rsidRPr="00377F16" w:rsidRDefault="000F7E56" w:rsidP="000F7E56">
      <w:pPr>
        <w:spacing w:after="120" w:line="360" w:lineRule="auto"/>
        <w:rPr>
          <w:rFonts w:cstheme="minorHAnsi"/>
        </w:rPr>
      </w:pPr>
      <w:r w:rsidRPr="00377F16">
        <w:rPr>
          <w:rFonts w:cstheme="minorHAnsi"/>
          <w:i/>
        </w:rPr>
        <w:t>Case uses a consultee:</w:t>
      </w:r>
      <w:r w:rsidRPr="00377F16">
        <w:rPr>
          <w:rFonts w:cstheme="minorHAnsi"/>
        </w:rPr>
        <w:t xml:space="preserve"> We don’t hear from Mrs </w:t>
      </w:r>
      <w:proofErr w:type="spellStart"/>
      <w:r w:rsidRPr="00377F16">
        <w:rPr>
          <w:rFonts w:cstheme="minorHAnsi"/>
        </w:rPr>
        <w:t>Curkovic</w:t>
      </w:r>
      <w:proofErr w:type="spellEnd"/>
      <w:r w:rsidRPr="00377F16">
        <w:rPr>
          <w:rFonts w:cstheme="minorHAnsi"/>
        </w:rPr>
        <w:t xml:space="preserve"> directly. Family are only interpreters, which concerns HCPs as they can’t be sure they are hearing the patient’s voice.  </w:t>
      </w:r>
    </w:p>
    <w:p w14:paraId="19A31B41" w14:textId="77777777" w:rsidR="000F7E56" w:rsidRPr="00377F16" w:rsidRDefault="000F7E56" w:rsidP="000F7E56">
      <w:pPr>
        <w:spacing w:after="120" w:line="360" w:lineRule="auto"/>
        <w:rPr>
          <w:rFonts w:cstheme="minorHAnsi"/>
        </w:rPr>
      </w:pPr>
      <w:r w:rsidRPr="00377F16">
        <w:rPr>
          <w:rFonts w:cstheme="minorHAnsi"/>
          <w:i/>
        </w:rPr>
        <w:t>Patient Autonomy:</w:t>
      </w:r>
      <w:r w:rsidRPr="00377F16">
        <w:rPr>
          <w:rFonts w:cstheme="minorHAnsi"/>
        </w:rPr>
        <w:t xml:space="preserve"> Mrs </w:t>
      </w:r>
      <w:proofErr w:type="spellStart"/>
      <w:r w:rsidRPr="00377F16">
        <w:rPr>
          <w:rFonts w:cstheme="minorHAnsi"/>
        </w:rPr>
        <w:t>Curkovic</w:t>
      </w:r>
      <w:proofErr w:type="spellEnd"/>
      <w:r w:rsidRPr="00377F16">
        <w:rPr>
          <w:rFonts w:cstheme="minorHAnsi"/>
        </w:rPr>
        <w:t xml:space="preserve"> diagnosis is intentionally being kept from her; family believing it to be in her best interests. Concerns of HCPs that they are reaching their patient, produces some very uncomfortable situations for all concerned. </w:t>
      </w:r>
    </w:p>
    <w:p w14:paraId="21595D17" w14:textId="77777777" w:rsidR="000F7E56" w:rsidRPr="00377F16" w:rsidRDefault="000F7E56" w:rsidP="000F7E56">
      <w:pPr>
        <w:spacing w:after="120" w:line="360" w:lineRule="auto"/>
        <w:rPr>
          <w:rFonts w:cstheme="minorHAnsi"/>
        </w:rPr>
      </w:pPr>
      <w:r w:rsidRPr="00377F16">
        <w:rPr>
          <w:rFonts w:cstheme="minorHAnsi"/>
          <w:i/>
        </w:rPr>
        <w:t>Compromised Communication:</w:t>
      </w:r>
      <w:r w:rsidRPr="00377F16">
        <w:rPr>
          <w:rFonts w:cstheme="minorHAnsi"/>
        </w:rPr>
        <w:t xml:space="preserve"> Due to dementia and language barriers there are issues of </w:t>
      </w:r>
      <w:r w:rsidRPr="00377F16">
        <w:t xml:space="preserve">Mrs </w:t>
      </w:r>
      <w:proofErr w:type="spellStart"/>
      <w:r w:rsidRPr="00377F16">
        <w:t>Curkovic</w:t>
      </w:r>
      <w:proofErr w:type="spellEnd"/>
      <w:r w:rsidRPr="00377F16">
        <w:t xml:space="preserve"> daughters</w:t>
      </w:r>
      <w:r w:rsidRPr="00377F16">
        <w:rPr>
          <w:rFonts w:cstheme="minorHAnsi"/>
        </w:rPr>
        <w:t xml:space="preserve"> as interpreters and as ‘gatekeepers’.</w:t>
      </w:r>
    </w:p>
    <w:p w14:paraId="7C54F1FA" w14:textId="77777777" w:rsidR="000F7E56" w:rsidRPr="00377F16" w:rsidRDefault="000F7E56" w:rsidP="000F7E56">
      <w:pPr>
        <w:spacing w:after="120" w:line="360" w:lineRule="auto"/>
        <w:rPr>
          <w:rFonts w:cstheme="minorHAnsi"/>
        </w:rPr>
      </w:pPr>
      <w:r w:rsidRPr="00377F16">
        <w:rPr>
          <w:rFonts w:cstheme="minorHAnsi"/>
          <w:i/>
        </w:rPr>
        <w:t>Daughters as experts:</w:t>
      </w:r>
      <w:r w:rsidRPr="00377F16">
        <w:rPr>
          <w:rFonts w:cstheme="minorHAnsi"/>
          <w:b/>
        </w:rPr>
        <w:t xml:space="preserve"> </w:t>
      </w:r>
      <w:r w:rsidRPr="00377F16">
        <w:rPr>
          <w:rFonts w:cstheme="minorHAnsi"/>
        </w:rPr>
        <w:t xml:space="preserve">Fluctuating capacity impacts on  decision-making which is completed mainly by daughters. </w:t>
      </w:r>
      <w:r w:rsidRPr="00377F16">
        <w:t xml:space="preserve">Mrs </w:t>
      </w:r>
      <w:proofErr w:type="spellStart"/>
      <w:r w:rsidRPr="00377F16">
        <w:t>Curkovic</w:t>
      </w:r>
      <w:proofErr w:type="spellEnd"/>
      <w:r w:rsidRPr="00377F16">
        <w:t xml:space="preserve"> ‘s daughters claim to know their mother </w:t>
      </w:r>
      <w:r w:rsidRPr="00377F16">
        <w:rPr>
          <w:rFonts w:cstheme="minorHAnsi"/>
        </w:rPr>
        <w:t>completely and want the best for their Mum (even seeking older generation relatives for guidance) – still their opinions about what is best is brought into question.</w:t>
      </w:r>
    </w:p>
    <w:p w14:paraId="61D3ED9E" w14:textId="77777777" w:rsidR="000F7E56" w:rsidRPr="00377F16" w:rsidRDefault="000F7E56" w:rsidP="000F7E56">
      <w:pPr>
        <w:spacing w:after="120" w:line="360" w:lineRule="auto"/>
        <w:rPr>
          <w:rFonts w:cstheme="minorHAnsi"/>
        </w:rPr>
      </w:pPr>
      <w:r w:rsidRPr="00377F16">
        <w:rPr>
          <w:rFonts w:cstheme="minorHAnsi"/>
          <w:i/>
        </w:rPr>
        <w:t>Family takes care of own:</w:t>
      </w:r>
      <w:r w:rsidRPr="00377F16">
        <w:rPr>
          <w:rFonts w:cstheme="minorHAnsi"/>
        </w:rPr>
        <w:t xml:space="preserve"> This is what is culturally expected but can lead to carer burden.</w:t>
      </w:r>
    </w:p>
    <w:p w14:paraId="1A4FB286" w14:textId="77777777" w:rsidR="000F7E56" w:rsidRPr="00377F16" w:rsidRDefault="000F7E56" w:rsidP="000F7E56">
      <w:pPr>
        <w:spacing w:after="120" w:line="360" w:lineRule="auto"/>
        <w:rPr>
          <w:rFonts w:cstheme="minorHAnsi"/>
        </w:rPr>
      </w:pPr>
      <w:r w:rsidRPr="00377F16">
        <w:rPr>
          <w:rFonts w:cstheme="minorHAnsi"/>
          <w:i/>
        </w:rPr>
        <w:t>Examples of good practice from primary care HCPs:</w:t>
      </w:r>
      <w:r w:rsidRPr="00377F16">
        <w:rPr>
          <w:rFonts w:cstheme="minorHAnsi"/>
        </w:rPr>
        <w:t xml:space="preserve"> Based very much on principles of building relationship and knowing the patient.</w:t>
      </w:r>
    </w:p>
    <w:p w14:paraId="7E807646" w14:textId="77777777" w:rsidR="000F7E56" w:rsidRPr="00377F16" w:rsidRDefault="000F7E56" w:rsidP="000F7E56">
      <w:pPr>
        <w:spacing w:after="120" w:line="360" w:lineRule="auto"/>
        <w:rPr>
          <w:rFonts w:cstheme="minorHAnsi"/>
        </w:rPr>
      </w:pPr>
      <w:r w:rsidRPr="00377F16">
        <w:rPr>
          <w:rFonts w:cstheme="minorHAnsi"/>
          <w:i/>
        </w:rPr>
        <w:t>Examples of poor practice:</w:t>
      </w:r>
      <w:r w:rsidRPr="00377F16">
        <w:rPr>
          <w:rFonts w:cstheme="minorHAnsi"/>
          <w:b/>
        </w:rPr>
        <w:t xml:space="preserve"> </w:t>
      </w:r>
      <w:r w:rsidRPr="00377F16">
        <w:rPr>
          <w:rFonts w:cstheme="minorHAnsi"/>
        </w:rPr>
        <w:t xml:space="preserve">In hospital setting Mrs </w:t>
      </w:r>
      <w:proofErr w:type="spellStart"/>
      <w:r w:rsidRPr="00377F16">
        <w:rPr>
          <w:rFonts w:cstheme="minorHAnsi"/>
        </w:rPr>
        <w:t>Curkovic</w:t>
      </w:r>
      <w:proofErr w:type="spellEnd"/>
      <w:r w:rsidRPr="00377F16">
        <w:rPr>
          <w:rFonts w:cstheme="minorHAnsi"/>
        </w:rPr>
        <w:t xml:space="preserve"> daughters almost ‘hounded’ about DNACPR status; delivery of shocking unknown news in a very public place and way. </w:t>
      </w:r>
    </w:p>
    <w:p w14:paraId="21465318" w14:textId="77777777" w:rsidR="000F7E56" w:rsidRPr="00377F16" w:rsidRDefault="000F7E56" w:rsidP="000F7E56">
      <w:pPr>
        <w:spacing w:after="120" w:line="360" w:lineRule="auto"/>
        <w:rPr>
          <w:rFonts w:cstheme="minorHAnsi"/>
        </w:rPr>
      </w:pPr>
      <w:r w:rsidRPr="00377F16">
        <w:rPr>
          <w:rFonts w:cstheme="minorHAnsi"/>
          <w:i/>
        </w:rPr>
        <w:t>Cultural/Religious aspects:</w:t>
      </w:r>
      <w:r w:rsidRPr="00377F16">
        <w:rPr>
          <w:rFonts w:cstheme="minorHAnsi"/>
        </w:rPr>
        <w:t xml:space="preserve"> family follow cultural norms of taking care of family; see as a natural part of their culture;</w:t>
      </w:r>
      <w:r w:rsidRPr="00377F16">
        <w:t xml:space="preserve"> </w:t>
      </w:r>
      <w:r w:rsidRPr="00377F16">
        <w:rPr>
          <w:rFonts w:cstheme="minorHAnsi"/>
        </w:rPr>
        <w:t xml:space="preserve">Mrs </w:t>
      </w:r>
      <w:proofErr w:type="spellStart"/>
      <w:r w:rsidRPr="00377F16">
        <w:rPr>
          <w:rFonts w:cstheme="minorHAnsi"/>
        </w:rPr>
        <w:t>Curkovic</w:t>
      </w:r>
      <w:proofErr w:type="spellEnd"/>
      <w:r w:rsidRPr="00377F16">
        <w:rPr>
          <w:rFonts w:cstheme="minorHAnsi"/>
        </w:rPr>
        <w:t xml:space="preserve"> would anticipate this care and they are happy to provide it.  Certain observances of the Serbian Orthodox tradition are important to Mrs </w:t>
      </w:r>
      <w:proofErr w:type="spellStart"/>
      <w:r w:rsidRPr="00377F16">
        <w:rPr>
          <w:rFonts w:cstheme="minorHAnsi"/>
        </w:rPr>
        <w:t>Curkovic</w:t>
      </w:r>
      <w:proofErr w:type="spellEnd"/>
      <w:r w:rsidRPr="00377F16">
        <w:rPr>
          <w:rFonts w:cstheme="minorHAnsi"/>
        </w:rPr>
        <w:t xml:space="preserve"> end-of-lifecare/planning; family have a great deal of respect for previous/older generation’s ‘wisdom’ about what is right to do. They have sought advice from Mrs </w:t>
      </w:r>
      <w:proofErr w:type="spellStart"/>
      <w:r w:rsidRPr="00377F16">
        <w:rPr>
          <w:rFonts w:cstheme="minorHAnsi"/>
        </w:rPr>
        <w:t>Curkovic</w:t>
      </w:r>
      <w:proofErr w:type="spellEnd"/>
      <w:r w:rsidRPr="00377F16">
        <w:rPr>
          <w:rFonts w:cstheme="minorHAnsi"/>
        </w:rPr>
        <w:t xml:space="preserve"> relatives abroad to support/guide their decision-making in Mrs </w:t>
      </w:r>
      <w:proofErr w:type="spellStart"/>
      <w:r w:rsidRPr="00377F16">
        <w:rPr>
          <w:rFonts w:cstheme="minorHAnsi"/>
        </w:rPr>
        <w:t>Curkovic’s</w:t>
      </w:r>
      <w:proofErr w:type="spellEnd"/>
      <w:r w:rsidRPr="00377F16">
        <w:rPr>
          <w:rFonts w:cstheme="minorHAnsi"/>
        </w:rPr>
        <w:t xml:space="preserve"> best interests.</w:t>
      </w:r>
    </w:p>
    <w:p w14:paraId="21EE7658" w14:textId="2F0BD318" w:rsidR="000F7E56" w:rsidRDefault="000F7E56" w:rsidP="000F7E56">
      <w:pPr>
        <w:spacing w:after="120" w:line="360" w:lineRule="auto"/>
        <w:rPr>
          <w:rFonts w:cstheme="minorHAnsi"/>
        </w:rPr>
      </w:pPr>
      <w:r w:rsidRPr="00377F16">
        <w:rPr>
          <w:rFonts w:cstheme="minorHAnsi"/>
          <w:i/>
        </w:rPr>
        <w:t>Ethnicity specific Issues:</w:t>
      </w:r>
      <w:r w:rsidRPr="00377F16">
        <w:rPr>
          <w:rFonts w:cstheme="minorHAnsi"/>
        </w:rPr>
        <w:t xml:space="preserve"> Mrs </w:t>
      </w:r>
      <w:proofErr w:type="spellStart"/>
      <w:r w:rsidRPr="00377F16">
        <w:rPr>
          <w:rFonts w:cstheme="minorHAnsi"/>
        </w:rPr>
        <w:t>Curkovic’s</w:t>
      </w:r>
      <w:proofErr w:type="spellEnd"/>
      <w:r w:rsidRPr="00377F16">
        <w:rPr>
          <w:rFonts w:cstheme="minorHAnsi"/>
        </w:rPr>
        <w:t xml:space="preserve"> daughters have tended to keep a lot to themselves about their Mum’s illness and some of this is explained as being because in some </w:t>
      </w:r>
      <w:r w:rsidR="00377F16" w:rsidRPr="00377F16">
        <w:rPr>
          <w:rFonts w:cstheme="minorHAnsi"/>
        </w:rPr>
        <w:t>culture’s</w:t>
      </w:r>
      <w:r w:rsidRPr="00377F16">
        <w:rPr>
          <w:rFonts w:cstheme="minorHAnsi"/>
        </w:rPr>
        <w:t xml:space="preserve"> dementia/illness is frowned upon. This explains in part their wanting things to be kept private and why they do their own interpreting. Exposes </w:t>
      </w:r>
      <w:r w:rsidRPr="00377F16">
        <w:rPr>
          <w:rFonts w:cstheme="minorHAnsi"/>
        </w:rPr>
        <w:lastRenderedPageBreak/>
        <w:t xml:space="preserve">something of a tension – family interpreting is desirable for privacy but can possibly create a gatekeeping effect for HCPs to access patient voice. </w:t>
      </w:r>
    </w:p>
    <w:p w14:paraId="73AE18A8" w14:textId="77777777" w:rsidR="00377F16" w:rsidRPr="00377F16" w:rsidRDefault="00377F16" w:rsidP="000F7E56">
      <w:pPr>
        <w:spacing w:after="120" w:line="360" w:lineRule="auto"/>
        <w:rPr>
          <w:rFonts w:cstheme="minorHAnsi"/>
        </w:rPr>
      </w:pPr>
    </w:p>
    <w:p w14:paraId="543ED167" w14:textId="77777777" w:rsidR="000F7E56" w:rsidRPr="000F7E56" w:rsidRDefault="000F7E56" w:rsidP="000F7E56">
      <w:pPr>
        <w:spacing w:after="120" w:line="360" w:lineRule="auto"/>
      </w:pPr>
    </w:p>
    <w:p w14:paraId="08F4488B" w14:textId="77777777" w:rsidR="000F7E56" w:rsidRPr="000F7E56" w:rsidRDefault="000F7E56" w:rsidP="000F7E56">
      <w:pPr>
        <w:keepNext/>
        <w:keepLines/>
        <w:spacing w:after="120" w:line="360" w:lineRule="auto"/>
        <w:outlineLvl w:val="0"/>
        <w:rPr>
          <w:rFonts w:ascii="Calibri Light" w:eastAsia="SimSun" w:hAnsi="Calibri Light" w:cs="Times New Roman"/>
          <w:color w:val="2E74B5"/>
          <w:lang w:eastAsia="en-GB"/>
        </w:rPr>
      </w:pPr>
      <w:bookmarkStart w:id="495" w:name="_Toc106697881"/>
      <w:r w:rsidRPr="000F7E56">
        <w:rPr>
          <w:rFonts w:ascii="Calibri Light" w:eastAsia="SimSun" w:hAnsi="Calibri Light" w:cs="Times New Roman"/>
          <w:color w:val="2E74B5"/>
          <w:lang w:eastAsia="en-GB"/>
        </w:rPr>
        <w:t>Appendix 3 Fictionalised evidence-based narratives</w:t>
      </w:r>
      <w:bookmarkEnd w:id="495"/>
    </w:p>
    <w:p w14:paraId="1E8FB418" w14:textId="77777777" w:rsidR="000F7E56" w:rsidRPr="000F7E56" w:rsidRDefault="000F7E56" w:rsidP="000F7E56">
      <w:pPr>
        <w:widowControl w:val="0"/>
        <w:autoSpaceDE w:val="0"/>
        <w:autoSpaceDN w:val="0"/>
        <w:spacing w:after="120" w:line="360" w:lineRule="auto"/>
        <w:ind w:right="4615"/>
        <w:rPr>
          <w:rFonts w:ascii="Calibri" w:eastAsia="Arial" w:hAnsi="Calibri" w:cs="Calibri"/>
          <w:b/>
          <w:bCs/>
          <w:lang w:val="en-US" w:bidi="en-US"/>
        </w:rPr>
      </w:pPr>
      <w:r w:rsidRPr="000F7E56">
        <w:rPr>
          <w:rFonts w:ascii="Calibri" w:eastAsia="Arial" w:hAnsi="Calibri" w:cs="Calibri"/>
          <w:b/>
          <w:bCs/>
          <w:lang w:val="en-US" w:bidi="en-US"/>
        </w:rPr>
        <w:t>Hafsa</w:t>
      </w:r>
    </w:p>
    <w:p w14:paraId="09FCCE05" w14:textId="77777777" w:rsidR="000F7E56" w:rsidRPr="000F7E56" w:rsidRDefault="000F7E56" w:rsidP="000F7E56">
      <w:pPr>
        <w:widowControl w:val="0"/>
        <w:autoSpaceDE w:val="0"/>
        <w:autoSpaceDN w:val="0"/>
        <w:spacing w:after="120" w:line="360" w:lineRule="auto"/>
        <w:ind w:right="-53"/>
        <w:rPr>
          <w:rFonts w:ascii="Calibri" w:eastAsia="Arial" w:hAnsi="Calibri" w:cs="Calibri"/>
          <w:bCs/>
          <w:lang w:val="en-US" w:bidi="en-US"/>
        </w:rPr>
      </w:pPr>
      <w:r w:rsidRPr="000F7E56">
        <w:rPr>
          <w:rFonts w:ascii="Calibri" w:eastAsia="Arial" w:hAnsi="Calibri" w:cs="Calibri"/>
          <w:bCs/>
          <w:lang w:val="en-US" w:bidi="en-US"/>
        </w:rPr>
        <w:t>Hafsa is an elderly Indian Muslim woman who has had a stroke.  Her daughter has moved into her house to provide her care.</w:t>
      </w:r>
    </w:p>
    <w:p w14:paraId="42784C5D" w14:textId="77777777" w:rsidR="000F7E56" w:rsidRPr="00377F16" w:rsidRDefault="000F7E56" w:rsidP="000F7E56">
      <w:pPr>
        <w:widowControl w:val="0"/>
        <w:autoSpaceDE w:val="0"/>
        <w:autoSpaceDN w:val="0"/>
        <w:spacing w:after="120" w:line="360" w:lineRule="auto"/>
        <w:rPr>
          <w:rFonts w:ascii="Calibri" w:eastAsia="Arial" w:hAnsi="Calibri" w:cs="Calibri"/>
          <w:bCs/>
          <w:i/>
          <w:lang w:bidi="en-US"/>
        </w:rPr>
      </w:pPr>
      <w:r w:rsidRPr="00377F16">
        <w:rPr>
          <w:rFonts w:ascii="Calibri" w:eastAsia="Arial" w:hAnsi="Calibri" w:cs="Calibri"/>
          <w:i/>
          <w:lang w:val="en-US" w:bidi="en-US"/>
        </w:rPr>
        <w:t xml:space="preserve">Key themes: </w:t>
      </w:r>
      <w:r w:rsidRPr="00377F16">
        <w:rPr>
          <w:rFonts w:ascii="Calibri" w:eastAsia="Arial" w:hAnsi="Calibri" w:cs="Calibri"/>
          <w:bCs/>
          <w:i/>
          <w:lang w:bidi="en-US"/>
        </w:rPr>
        <w:t>Autonomy and decision-making complexities of family culture. Knowing the patient. Communication.</w:t>
      </w:r>
    </w:p>
    <w:p w14:paraId="1C166E9E" w14:textId="77777777" w:rsidR="000F7E56" w:rsidRPr="000F7E56" w:rsidRDefault="000F7E56" w:rsidP="000F7E56">
      <w:pPr>
        <w:widowControl w:val="0"/>
        <w:autoSpaceDE w:val="0"/>
        <w:autoSpaceDN w:val="0"/>
        <w:spacing w:after="120" w:line="360" w:lineRule="auto"/>
        <w:ind w:right="142"/>
        <w:rPr>
          <w:rFonts w:ascii="Calibri" w:eastAsia="Arial" w:hAnsi="Calibri" w:cs="Calibri"/>
          <w:lang w:val="en-US" w:bidi="en-US"/>
        </w:rPr>
      </w:pPr>
      <w:r w:rsidRPr="000F7E56">
        <w:rPr>
          <w:rFonts w:ascii="Calibri" w:eastAsia="Arial" w:hAnsi="Calibri" w:cs="Calibri"/>
          <w:lang w:val="en-US" w:bidi="en-US"/>
        </w:rPr>
        <w:t>“The photograph has arrived of my cousin’s baby daughter, in a pretty pink frame too, ready to be put on the wall with the others. It’s what Doctor Lakhani talked to me about on her first visit; before anything else. Who all these people were, my very large family, from near and far. I could see my son was becoming annoyed, even then, wondering why she was spending time concerning herself with these photographs when there were far more important things to discuss.</w:t>
      </w:r>
    </w:p>
    <w:p w14:paraId="239E6D48" w14:textId="77777777" w:rsidR="000F7E56" w:rsidRPr="000F7E56" w:rsidRDefault="000F7E56" w:rsidP="000F7E56">
      <w:pPr>
        <w:widowControl w:val="0"/>
        <w:autoSpaceDE w:val="0"/>
        <w:autoSpaceDN w:val="0"/>
        <w:spacing w:after="120" w:line="360" w:lineRule="auto"/>
        <w:ind w:right="142"/>
        <w:rPr>
          <w:rFonts w:ascii="Calibri" w:eastAsia="Arial" w:hAnsi="Calibri" w:cs="Calibri"/>
          <w:lang w:val="en-US" w:bidi="en-US"/>
        </w:rPr>
      </w:pPr>
      <w:r w:rsidRPr="000F7E56">
        <w:rPr>
          <w:rFonts w:ascii="Calibri" w:eastAsia="Arial" w:hAnsi="Calibri" w:cs="Calibri"/>
          <w:lang w:val="en-US" w:bidi="en-US"/>
        </w:rPr>
        <w:t>She’ll be here later today, and it’s always nice to see her, even though I can’t talk to her anymore since the stroke. I miss it. All those conversations over several months. It was always so interesting; not what you’d expect from a doctor. She reminds me of myself a little when I was that age, although she’s far cleverer and kinder than I could ever have hoped to be. And she’s the last new friend I will make; although I’m not stupid, I know that I’m just one of her many patients. But I enjoy her company and she’s in my house so if I want to call her a friend then I can.</w:t>
      </w:r>
    </w:p>
    <w:p w14:paraId="0FD31A62" w14:textId="77777777" w:rsidR="000F7E56" w:rsidRPr="000F7E56" w:rsidRDefault="000F7E56" w:rsidP="000F7E56">
      <w:pPr>
        <w:widowControl w:val="0"/>
        <w:autoSpaceDE w:val="0"/>
        <w:autoSpaceDN w:val="0"/>
        <w:spacing w:after="120" w:line="360" w:lineRule="auto"/>
        <w:ind w:right="260"/>
        <w:rPr>
          <w:rFonts w:ascii="Calibri" w:eastAsia="Arial" w:hAnsi="Calibri" w:cs="Calibri"/>
          <w:lang w:val="en-US" w:bidi="en-US"/>
        </w:rPr>
      </w:pPr>
      <w:r w:rsidRPr="000F7E56">
        <w:rPr>
          <w:rFonts w:ascii="Calibri" w:eastAsia="Arial" w:hAnsi="Calibri" w:cs="Calibri"/>
          <w:lang w:val="en-US" w:bidi="en-US"/>
        </w:rPr>
        <w:t xml:space="preserve">I’m not afraid of what’s coming. I know that I’m very ill. The last two years have been spent with the doctors and surgeons prodding and poking but I’ve had a good life and now my son and daughter look after me which is all that a mother could want. When I came back from the hospital the room was newly painted with a vase of roses on the bedside table. It was strange at first, sleeping in the bed which had been moved so that now I look towards Mecca, though it’s not so easy to see the </w:t>
      </w:r>
      <w:proofErr w:type="spellStart"/>
      <w:r w:rsidRPr="000F7E56">
        <w:rPr>
          <w:rFonts w:ascii="Calibri" w:eastAsia="Arial" w:hAnsi="Calibri" w:cs="Calibri"/>
          <w:lang w:val="en-US" w:bidi="en-US"/>
        </w:rPr>
        <w:t>neighbour’s</w:t>
      </w:r>
      <w:proofErr w:type="spellEnd"/>
      <w:r w:rsidRPr="000F7E56">
        <w:rPr>
          <w:rFonts w:ascii="Calibri" w:eastAsia="Arial" w:hAnsi="Calibri" w:cs="Calibri"/>
          <w:lang w:val="en-US" w:bidi="en-US"/>
        </w:rPr>
        <w:t xml:space="preserve"> cherry tree which will soon come into blossom.</w:t>
      </w:r>
    </w:p>
    <w:p w14:paraId="30A7D00F" w14:textId="77777777" w:rsidR="000F7E56" w:rsidRPr="000F7E56" w:rsidRDefault="000F7E56" w:rsidP="000F7E56">
      <w:pPr>
        <w:widowControl w:val="0"/>
        <w:autoSpaceDE w:val="0"/>
        <w:autoSpaceDN w:val="0"/>
        <w:spacing w:after="120" w:line="360" w:lineRule="auto"/>
        <w:ind w:right="455"/>
        <w:rPr>
          <w:rFonts w:ascii="Calibri" w:eastAsia="Arial" w:hAnsi="Calibri" w:cs="Calibri"/>
          <w:lang w:val="en-US" w:bidi="en-US"/>
        </w:rPr>
      </w:pPr>
      <w:r w:rsidRPr="000F7E56">
        <w:rPr>
          <w:rFonts w:ascii="Calibri" w:eastAsia="Arial" w:hAnsi="Calibri" w:cs="Calibri"/>
          <w:lang w:val="en-US" w:bidi="en-US"/>
        </w:rPr>
        <w:t xml:space="preserve">My daughter stays here and cares for me and my son comes every day to help me perform my ablutions and recite </w:t>
      </w:r>
      <w:proofErr w:type="spellStart"/>
      <w:r w:rsidRPr="000F7E56">
        <w:rPr>
          <w:rFonts w:ascii="Calibri" w:eastAsia="Arial" w:hAnsi="Calibri" w:cs="Calibri"/>
          <w:lang w:val="en-US" w:bidi="en-US"/>
        </w:rPr>
        <w:t>Ya</w:t>
      </w:r>
      <w:proofErr w:type="spellEnd"/>
      <w:r w:rsidRPr="000F7E56">
        <w:rPr>
          <w:rFonts w:ascii="Calibri" w:eastAsia="Arial" w:hAnsi="Calibri" w:cs="Calibri"/>
          <w:lang w:val="en-US" w:bidi="en-US"/>
        </w:rPr>
        <w:t xml:space="preserve"> Seen Surah to me, now that I cannot speak the words of Shahadah, nor even mumble La </w:t>
      </w:r>
      <w:proofErr w:type="spellStart"/>
      <w:r w:rsidRPr="000F7E56">
        <w:rPr>
          <w:rFonts w:ascii="Calibri" w:eastAsia="Arial" w:hAnsi="Calibri" w:cs="Calibri"/>
          <w:lang w:val="en-US" w:bidi="en-US"/>
        </w:rPr>
        <w:t>ilaha</w:t>
      </w:r>
      <w:proofErr w:type="spellEnd"/>
      <w:r w:rsidRPr="000F7E56">
        <w:rPr>
          <w:rFonts w:ascii="Calibri" w:eastAsia="Arial" w:hAnsi="Calibri" w:cs="Calibri"/>
          <w:lang w:val="en-US" w:bidi="en-US"/>
        </w:rPr>
        <w:t xml:space="preserve"> </w:t>
      </w:r>
      <w:proofErr w:type="spellStart"/>
      <w:r w:rsidRPr="000F7E56">
        <w:rPr>
          <w:rFonts w:ascii="Calibri" w:eastAsia="Arial" w:hAnsi="Calibri" w:cs="Calibri"/>
          <w:lang w:val="en-US" w:bidi="en-US"/>
        </w:rPr>
        <w:t>illal-lah</w:t>
      </w:r>
      <w:proofErr w:type="spellEnd"/>
      <w:r w:rsidRPr="000F7E56">
        <w:rPr>
          <w:rFonts w:ascii="Calibri" w:eastAsia="Arial" w:hAnsi="Calibri" w:cs="Calibri"/>
          <w:lang w:val="en-US" w:bidi="en-US"/>
        </w:rPr>
        <w:t>.</w:t>
      </w:r>
    </w:p>
    <w:p w14:paraId="30E59A9B" w14:textId="77777777" w:rsidR="000F7E56" w:rsidRPr="000F7E56" w:rsidRDefault="000F7E56" w:rsidP="000F7E56">
      <w:pPr>
        <w:widowControl w:val="0"/>
        <w:autoSpaceDE w:val="0"/>
        <w:autoSpaceDN w:val="0"/>
        <w:spacing w:after="120" w:line="360" w:lineRule="auto"/>
        <w:ind w:right="260"/>
        <w:rPr>
          <w:rFonts w:ascii="Calibri" w:eastAsia="Arial" w:hAnsi="Calibri" w:cs="Calibri"/>
          <w:lang w:val="en-US" w:bidi="en-US"/>
        </w:rPr>
      </w:pPr>
      <w:r w:rsidRPr="000F7E56">
        <w:rPr>
          <w:rFonts w:ascii="Calibri" w:eastAsia="Arial" w:hAnsi="Calibri" w:cs="Calibri"/>
          <w:lang w:val="en-US" w:bidi="en-US"/>
        </w:rPr>
        <w:t xml:space="preserve">My son is such a devout young man. When Doctor Lakhani said that we might want to consider some help </w:t>
      </w:r>
      <w:r w:rsidRPr="000F7E56">
        <w:rPr>
          <w:rFonts w:ascii="Calibri" w:eastAsia="Arial" w:hAnsi="Calibri" w:cs="Calibri"/>
          <w:lang w:val="en-US" w:bidi="en-US"/>
        </w:rPr>
        <w:lastRenderedPageBreak/>
        <w:t xml:space="preserve">with home care if things became difficult, I could see he wasn’t pleased; although he is very polite and would never say what he thought until she left. That Allah will turn his face from those who do not care for their dying parents; that </w:t>
      </w:r>
      <w:proofErr w:type="spellStart"/>
      <w:r w:rsidRPr="000F7E56">
        <w:rPr>
          <w:rFonts w:ascii="Calibri" w:eastAsia="Arial" w:hAnsi="Calibri" w:cs="Calibri"/>
          <w:lang w:val="en-US" w:bidi="en-US"/>
        </w:rPr>
        <w:t>carers</w:t>
      </w:r>
      <w:proofErr w:type="spellEnd"/>
      <w:r w:rsidRPr="000F7E56">
        <w:rPr>
          <w:rFonts w:ascii="Calibri" w:eastAsia="Arial" w:hAnsi="Calibri" w:cs="Calibri"/>
          <w:lang w:val="en-US" w:bidi="en-US"/>
        </w:rPr>
        <w:t xml:space="preserve"> could not fit their schedule around prayers. That there are so many little things that he and his sister do every day that need to be learnt. How to cut up my food so that I can swallow it easily. How to move me gently into my wheelchair for my </w:t>
      </w:r>
      <w:proofErr w:type="spellStart"/>
      <w:r w:rsidRPr="000F7E56">
        <w:rPr>
          <w:rFonts w:ascii="Calibri" w:eastAsia="Arial" w:hAnsi="Calibri" w:cs="Calibri"/>
          <w:lang w:val="en-US" w:bidi="en-US"/>
        </w:rPr>
        <w:t>favourite</w:t>
      </w:r>
      <w:proofErr w:type="spellEnd"/>
      <w:r w:rsidRPr="000F7E56">
        <w:rPr>
          <w:rFonts w:ascii="Calibri" w:eastAsia="Arial" w:hAnsi="Calibri" w:cs="Calibri"/>
          <w:lang w:val="en-US" w:bidi="en-US"/>
        </w:rPr>
        <w:t xml:space="preserve"> walk around the park. The </w:t>
      </w:r>
      <w:proofErr w:type="spellStart"/>
      <w:r w:rsidRPr="000F7E56">
        <w:rPr>
          <w:rFonts w:ascii="Calibri" w:eastAsia="Arial" w:hAnsi="Calibri" w:cs="Calibri"/>
          <w:lang w:val="en-US" w:bidi="en-US"/>
        </w:rPr>
        <w:t>jewellery</w:t>
      </w:r>
      <w:proofErr w:type="spellEnd"/>
      <w:r w:rsidRPr="000F7E56">
        <w:rPr>
          <w:rFonts w:ascii="Calibri" w:eastAsia="Arial" w:hAnsi="Calibri" w:cs="Calibri"/>
          <w:lang w:val="en-US" w:bidi="en-US"/>
        </w:rPr>
        <w:t xml:space="preserve"> I like to wear on certain days.</w:t>
      </w:r>
    </w:p>
    <w:p w14:paraId="7368E6E6" w14:textId="77777777" w:rsidR="000F7E56" w:rsidRPr="000F7E56" w:rsidRDefault="000F7E56" w:rsidP="000F7E56">
      <w:pPr>
        <w:widowControl w:val="0"/>
        <w:autoSpaceDE w:val="0"/>
        <w:autoSpaceDN w:val="0"/>
        <w:spacing w:after="120" w:line="360" w:lineRule="auto"/>
        <w:rPr>
          <w:rFonts w:ascii="Calibri" w:eastAsia="Arial" w:hAnsi="Calibri" w:cs="Calibri"/>
          <w:lang w:val="en-US" w:bidi="en-US"/>
        </w:rPr>
      </w:pPr>
      <w:r w:rsidRPr="000F7E56">
        <w:rPr>
          <w:rFonts w:ascii="Calibri" w:eastAsia="Arial" w:hAnsi="Calibri" w:cs="Calibri"/>
          <w:lang w:val="en-US" w:bidi="en-US"/>
        </w:rPr>
        <w:t xml:space="preserve">I told them that the Doctor is a good woman who is thinking of what is best for all of us and that in this case perhaps having a </w:t>
      </w:r>
      <w:proofErr w:type="spellStart"/>
      <w:r w:rsidRPr="000F7E56">
        <w:rPr>
          <w:rFonts w:ascii="Calibri" w:eastAsia="Arial" w:hAnsi="Calibri" w:cs="Calibri"/>
          <w:lang w:val="en-US" w:bidi="en-US"/>
        </w:rPr>
        <w:t>carer</w:t>
      </w:r>
      <w:proofErr w:type="spellEnd"/>
      <w:r w:rsidRPr="000F7E56">
        <w:rPr>
          <w:rFonts w:ascii="Calibri" w:eastAsia="Arial" w:hAnsi="Calibri" w:cs="Calibri"/>
          <w:lang w:val="en-US" w:bidi="en-US"/>
        </w:rPr>
        <w:t xml:space="preserve"> come to visit might be acceptable. Especially with my daughter looking so tired. But none have come, and I have to accept that it’s up to my children now to decide how things should be. And not being able to talk means it’s easier if I just accept everything that they do.</w:t>
      </w:r>
    </w:p>
    <w:p w14:paraId="1A6F0768" w14:textId="77777777" w:rsidR="000F7E56" w:rsidRPr="000F7E56" w:rsidRDefault="000F7E56" w:rsidP="000F7E56">
      <w:pPr>
        <w:widowControl w:val="0"/>
        <w:autoSpaceDE w:val="0"/>
        <w:autoSpaceDN w:val="0"/>
        <w:spacing w:after="120" w:line="360" w:lineRule="auto"/>
        <w:ind w:right="260"/>
        <w:rPr>
          <w:rFonts w:ascii="Calibri" w:eastAsia="Arial" w:hAnsi="Calibri" w:cs="Calibri"/>
          <w:lang w:val="en-US" w:bidi="en-US"/>
        </w:rPr>
      </w:pPr>
      <w:r w:rsidRPr="000F7E56">
        <w:rPr>
          <w:rFonts w:ascii="Calibri" w:eastAsia="Arial" w:hAnsi="Calibri" w:cs="Calibri"/>
          <w:lang w:val="en-US" w:bidi="en-US"/>
        </w:rPr>
        <w:t>I think they might be seeking guidance though because during the last visit Doctor Lakhani suggested bringing medicines to the house in case things became very difficult. And later the Imam came round, and my son closed the door so that I couldn’t hear what they were talking about.</w:t>
      </w:r>
    </w:p>
    <w:p w14:paraId="307BF261" w14:textId="77777777" w:rsidR="000F7E56" w:rsidRPr="000F7E56" w:rsidRDefault="000F7E56" w:rsidP="000F7E56">
      <w:pPr>
        <w:widowControl w:val="0"/>
        <w:autoSpaceDE w:val="0"/>
        <w:autoSpaceDN w:val="0"/>
        <w:spacing w:after="120" w:line="360" w:lineRule="auto"/>
        <w:ind w:right="183"/>
        <w:rPr>
          <w:rFonts w:ascii="Calibri" w:eastAsia="Arial" w:hAnsi="Calibri" w:cs="Calibri"/>
          <w:lang w:val="en-US" w:bidi="en-US"/>
        </w:rPr>
      </w:pPr>
      <w:r w:rsidRPr="000F7E56">
        <w:rPr>
          <w:rFonts w:ascii="Calibri" w:eastAsia="Arial" w:hAnsi="Calibri" w:cs="Calibri"/>
          <w:lang w:val="en-US" w:bidi="en-US"/>
        </w:rPr>
        <w:t>Sometimes I would like to be alone with the Doctor even if I can’t tell her the things that I want to. I can sense her trying to hear the words that are in my mind but not inside my mouth. Looking right into my eyes which is where we do most of our talking now. But my son is always here, standing by the window, watching carefully. She talks to him too of course, when there are things that she says we all need to discuss as a family. And then he always just nods</w:t>
      </w:r>
      <w:r w:rsidRPr="000F7E56">
        <w:rPr>
          <w:rFonts w:ascii="Calibri" w:eastAsia="Arial" w:hAnsi="Calibri" w:cs="Calibri"/>
          <w:spacing w:val="-11"/>
          <w:lang w:val="en-US" w:bidi="en-US"/>
        </w:rPr>
        <w:t xml:space="preserve"> </w:t>
      </w:r>
      <w:r w:rsidRPr="000F7E56">
        <w:rPr>
          <w:rFonts w:ascii="Calibri" w:eastAsia="Arial" w:hAnsi="Calibri" w:cs="Calibri"/>
          <w:lang w:val="en-US" w:bidi="en-US"/>
        </w:rPr>
        <w:t>quietly.</w:t>
      </w:r>
    </w:p>
    <w:p w14:paraId="1E0E45A9" w14:textId="524CA93D" w:rsidR="000F7E56" w:rsidRDefault="000F7E56" w:rsidP="000F7E56">
      <w:pPr>
        <w:widowControl w:val="0"/>
        <w:autoSpaceDE w:val="0"/>
        <w:autoSpaceDN w:val="0"/>
        <w:spacing w:after="120" w:line="360" w:lineRule="auto"/>
        <w:ind w:right="442"/>
        <w:rPr>
          <w:rFonts w:ascii="Calibri" w:eastAsia="Arial" w:hAnsi="Calibri" w:cs="Calibri"/>
          <w:lang w:val="en-US" w:bidi="en-US"/>
        </w:rPr>
      </w:pPr>
      <w:r w:rsidRPr="000F7E56">
        <w:rPr>
          <w:rFonts w:ascii="Calibri" w:eastAsia="Arial" w:hAnsi="Calibri" w:cs="Calibri"/>
          <w:lang w:val="en-US" w:bidi="en-US"/>
        </w:rPr>
        <w:t>I wish my children knew that I feel blessed by having such a woman help me through these final days. I think I’d like a photograph of her on the wall too. I could just about fit her in. Or at least know that one day my son will thank her for all that she’s done. What she</w:t>
      </w:r>
      <w:r w:rsidRPr="000F7E56">
        <w:rPr>
          <w:rFonts w:ascii="Calibri" w:eastAsia="Arial" w:hAnsi="Calibri" w:cs="Calibri"/>
          <w:spacing w:val="-16"/>
          <w:lang w:val="en-US" w:bidi="en-US"/>
        </w:rPr>
        <w:t xml:space="preserve"> </w:t>
      </w:r>
      <w:r w:rsidRPr="000F7E56">
        <w:rPr>
          <w:rFonts w:ascii="Calibri" w:eastAsia="Arial" w:hAnsi="Calibri" w:cs="Calibri"/>
          <w:lang w:val="en-US" w:bidi="en-US"/>
        </w:rPr>
        <w:t>did</w:t>
      </w:r>
      <w:r w:rsidR="00377F16">
        <w:rPr>
          <w:rFonts w:ascii="Calibri" w:eastAsia="Arial" w:hAnsi="Calibri" w:cs="Calibri"/>
          <w:lang w:val="en-US" w:bidi="en-US"/>
        </w:rPr>
        <w:t>.”</w:t>
      </w:r>
    </w:p>
    <w:p w14:paraId="6D1421C7" w14:textId="77777777" w:rsidR="00377F16" w:rsidRPr="000F7E56" w:rsidRDefault="00377F16" w:rsidP="000F7E56">
      <w:pPr>
        <w:widowControl w:val="0"/>
        <w:autoSpaceDE w:val="0"/>
        <w:autoSpaceDN w:val="0"/>
        <w:spacing w:after="120" w:line="360" w:lineRule="auto"/>
        <w:ind w:right="442"/>
        <w:rPr>
          <w:rFonts w:ascii="Calibri" w:eastAsia="Arial" w:hAnsi="Calibri" w:cs="Calibri"/>
          <w:lang w:val="en-US" w:bidi="en-US"/>
        </w:rPr>
      </w:pPr>
    </w:p>
    <w:p w14:paraId="249336BE" w14:textId="77777777" w:rsidR="000F7E56" w:rsidRPr="000F7E56" w:rsidRDefault="000F7E56" w:rsidP="000F7E56">
      <w:pPr>
        <w:widowControl w:val="0"/>
        <w:autoSpaceDE w:val="0"/>
        <w:autoSpaceDN w:val="0"/>
        <w:spacing w:after="120" w:line="360" w:lineRule="auto"/>
        <w:ind w:right="4633"/>
        <w:rPr>
          <w:rFonts w:ascii="Calibri" w:eastAsia="Arial" w:hAnsi="Calibri" w:cs="Calibri"/>
          <w:b/>
          <w:bCs/>
          <w:lang w:val="en-US" w:bidi="en-US"/>
        </w:rPr>
      </w:pPr>
      <w:r w:rsidRPr="000F7E56">
        <w:rPr>
          <w:rFonts w:ascii="Calibri" w:eastAsia="Arial" w:hAnsi="Calibri" w:cs="Calibri"/>
          <w:b/>
          <w:bCs/>
          <w:lang w:val="en-US" w:bidi="en-US"/>
        </w:rPr>
        <w:t>Dave</w:t>
      </w:r>
    </w:p>
    <w:p w14:paraId="3EA7E267" w14:textId="77777777" w:rsidR="000F7E56" w:rsidRPr="000F7E56" w:rsidRDefault="000F7E56" w:rsidP="000F7E56">
      <w:pPr>
        <w:widowControl w:val="0"/>
        <w:autoSpaceDE w:val="0"/>
        <w:autoSpaceDN w:val="0"/>
        <w:spacing w:after="120" w:line="360" w:lineRule="auto"/>
        <w:ind w:right="69"/>
        <w:rPr>
          <w:rFonts w:ascii="Calibri" w:eastAsia="Arial" w:hAnsi="Calibri" w:cs="Calibri"/>
          <w:bCs/>
          <w:lang w:val="en-US" w:bidi="en-US"/>
        </w:rPr>
      </w:pPr>
      <w:r w:rsidRPr="000F7E56">
        <w:rPr>
          <w:rFonts w:ascii="Calibri" w:eastAsia="Arial" w:hAnsi="Calibri" w:cs="Calibri"/>
          <w:bCs/>
          <w:lang w:val="en-US" w:bidi="en-US"/>
        </w:rPr>
        <w:t>Dave is an African Caribbean man who attends a community cancer support group.  His wife believes in dietary approaches to cure his cancer.</w:t>
      </w:r>
    </w:p>
    <w:p w14:paraId="49A558EB" w14:textId="77777777" w:rsidR="000F7E56" w:rsidRPr="00377F16" w:rsidRDefault="000F7E56" w:rsidP="000F7E56">
      <w:pPr>
        <w:widowControl w:val="0"/>
        <w:autoSpaceDE w:val="0"/>
        <w:autoSpaceDN w:val="0"/>
        <w:spacing w:after="120" w:line="360" w:lineRule="auto"/>
        <w:rPr>
          <w:rFonts w:ascii="Calibri" w:eastAsia="Arial" w:hAnsi="Calibri" w:cs="Calibri"/>
          <w:i/>
          <w:lang w:val="en-US" w:bidi="en-US"/>
        </w:rPr>
      </w:pPr>
      <w:r w:rsidRPr="00377F16">
        <w:rPr>
          <w:rFonts w:ascii="Calibri" w:eastAsia="Arial" w:hAnsi="Calibri" w:cs="Calibri"/>
          <w:i/>
          <w:lang w:val="en-US" w:bidi="en-US"/>
        </w:rPr>
        <w:t xml:space="preserve">Key themes: </w:t>
      </w:r>
      <w:r w:rsidRPr="00377F16">
        <w:rPr>
          <w:rFonts w:ascii="Calibri" w:eastAsia="Arial" w:hAnsi="Calibri" w:cs="Calibri"/>
          <w:bCs/>
          <w:i/>
          <w:lang w:bidi="en-US"/>
        </w:rPr>
        <w:t>Lack of trust and misunderstandings</w:t>
      </w:r>
    </w:p>
    <w:p w14:paraId="6750FE7E" w14:textId="5DFEE8FF" w:rsidR="000F7E56" w:rsidRPr="000F7E56" w:rsidRDefault="000F7E56" w:rsidP="000F7E56">
      <w:pPr>
        <w:widowControl w:val="0"/>
        <w:autoSpaceDE w:val="0"/>
        <w:autoSpaceDN w:val="0"/>
        <w:spacing w:after="120" w:line="360" w:lineRule="auto"/>
        <w:ind w:right="191"/>
        <w:rPr>
          <w:rFonts w:ascii="Calibri" w:eastAsia="Arial" w:hAnsi="Calibri" w:cs="Calibri"/>
          <w:lang w:val="en-US" w:bidi="en-US"/>
        </w:rPr>
      </w:pPr>
      <w:r w:rsidRPr="000F7E56">
        <w:rPr>
          <w:rFonts w:ascii="Calibri" w:eastAsia="Arial" w:hAnsi="Calibri" w:cs="Calibri"/>
          <w:lang w:val="en-US" w:bidi="en-US"/>
        </w:rPr>
        <w:t xml:space="preserve"> </w:t>
      </w:r>
      <w:r w:rsidR="00377F16">
        <w:rPr>
          <w:rFonts w:ascii="Calibri" w:eastAsia="Arial" w:hAnsi="Calibri" w:cs="Calibri"/>
          <w:lang w:val="en-US" w:bidi="en-US"/>
        </w:rPr>
        <w:t>“</w:t>
      </w:r>
      <w:r w:rsidRPr="000F7E56">
        <w:rPr>
          <w:rFonts w:ascii="Calibri" w:eastAsia="Arial" w:hAnsi="Calibri" w:cs="Calibri"/>
          <w:lang w:val="en-US" w:bidi="en-US"/>
        </w:rPr>
        <w:t xml:space="preserve">I’ve having everything. As much as I can eat. I deserve it after all this fennel tea and tasteless veg my wife’s been putting down in front of me.   And I need to get something good out of this trip to the hospital. I know the Doctor is going to try and twist my arm but I’m no fool. And when my old mate </w:t>
      </w:r>
      <w:proofErr w:type="spellStart"/>
      <w:r w:rsidRPr="000F7E56">
        <w:rPr>
          <w:rFonts w:ascii="Calibri" w:eastAsia="Arial" w:hAnsi="Calibri" w:cs="Calibri"/>
          <w:lang w:val="en-US" w:bidi="en-US"/>
        </w:rPr>
        <w:t>Biant</w:t>
      </w:r>
      <w:proofErr w:type="spellEnd"/>
      <w:r w:rsidRPr="000F7E56">
        <w:rPr>
          <w:rFonts w:ascii="Calibri" w:eastAsia="Arial" w:hAnsi="Calibri" w:cs="Calibri"/>
          <w:lang w:val="en-US" w:bidi="en-US"/>
        </w:rPr>
        <w:t xml:space="preserve"> and I stop off for my secret little treat on the way home, I will toast my fortitude with a bloody great</w:t>
      </w:r>
      <w:r w:rsidRPr="000F7E56">
        <w:rPr>
          <w:rFonts w:ascii="Calibri" w:eastAsia="Arial" w:hAnsi="Calibri" w:cs="Calibri"/>
          <w:spacing w:val="-4"/>
          <w:lang w:val="en-US" w:bidi="en-US"/>
        </w:rPr>
        <w:t xml:space="preserve"> </w:t>
      </w:r>
      <w:r w:rsidRPr="000F7E56">
        <w:rPr>
          <w:rFonts w:ascii="Calibri" w:eastAsia="Arial" w:hAnsi="Calibri" w:cs="Calibri"/>
          <w:lang w:val="en-US" w:bidi="en-US"/>
        </w:rPr>
        <w:t>milkshake.</w:t>
      </w:r>
    </w:p>
    <w:p w14:paraId="294020C9" w14:textId="77777777" w:rsidR="000F7E56" w:rsidRPr="000F7E56" w:rsidRDefault="000F7E56" w:rsidP="000F7E56">
      <w:pPr>
        <w:widowControl w:val="0"/>
        <w:autoSpaceDE w:val="0"/>
        <w:autoSpaceDN w:val="0"/>
        <w:spacing w:after="120" w:line="360" w:lineRule="auto"/>
        <w:ind w:right="104"/>
        <w:rPr>
          <w:rFonts w:ascii="Calibri" w:eastAsia="Arial" w:hAnsi="Calibri" w:cs="Calibri"/>
          <w:lang w:val="en-US" w:bidi="en-US"/>
        </w:rPr>
      </w:pPr>
      <w:r w:rsidRPr="000F7E56">
        <w:rPr>
          <w:rFonts w:ascii="Calibri" w:eastAsia="Arial" w:hAnsi="Calibri" w:cs="Calibri"/>
          <w:lang w:val="en-US" w:bidi="en-US"/>
        </w:rPr>
        <w:t xml:space="preserve">‘You need to think about what you want to happen over the next few months Dave; so we can put the </w:t>
      </w:r>
      <w:r w:rsidRPr="000F7E56">
        <w:rPr>
          <w:rFonts w:ascii="Calibri" w:eastAsia="Arial" w:hAnsi="Calibri" w:cs="Calibri"/>
          <w:lang w:val="en-US" w:bidi="en-US"/>
        </w:rPr>
        <w:lastRenderedPageBreak/>
        <w:t>proper plans in place’.  That’s what they told me he’s going to say, down at the dominoes group, where they’re all going through the same thing as me. And that I need to be prepared.  Well I am. ‘That’s right Doctor; now that the chemo’s not working you want me to sign on the dotted line so that I don’t hang around too long. Well I’m not signing</w:t>
      </w:r>
      <w:r w:rsidRPr="000F7E56">
        <w:rPr>
          <w:rFonts w:ascii="Calibri" w:eastAsia="Arial" w:hAnsi="Calibri" w:cs="Calibri"/>
          <w:spacing w:val="-12"/>
          <w:lang w:val="en-US" w:bidi="en-US"/>
        </w:rPr>
        <w:t xml:space="preserve"> </w:t>
      </w:r>
      <w:r w:rsidRPr="000F7E56">
        <w:rPr>
          <w:rFonts w:ascii="Calibri" w:eastAsia="Arial" w:hAnsi="Calibri" w:cs="Calibri"/>
          <w:lang w:val="en-US" w:bidi="en-US"/>
        </w:rPr>
        <w:t>anything’.</w:t>
      </w:r>
    </w:p>
    <w:p w14:paraId="1C367FE9" w14:textId="77777777" w:rsidR="000F7E56" w:rsidRPr="000F7E56" w:rsidRDefault="000F7E56" w:rsidP="000F7E56">
      <w:pPr>
        <w:widowControl w:val="0"/>
        <w:autoSpaceDE w:val="0"/>
        <w:autoSpaceDN w:val="0"/>
        <w:spacing w:after="120" w:line="360" w:lineRule="auto"/>
        <w:ind w:right="191"/>
        <w:rPr>
          <w:rFonts w:ascii="Calibri" w:eastAsia="Arial" w:hAnsi="Calibri" w:cs="Calibri"/>
          <w:lang w:val="en-US" w:bidi="en-US"/>
        </w:rPr>
      </w:pPr>
      <w:r w:rsidRPr="000F7E56">
        <w:rPr>
          <w:rFonts w:ascii="Calibri" w:eastAsia="Arial" w:hAnsi="Calibri" w:cs="Calibri"/>
          <w:lang w:val="en-US" w:bidi="en-US"/>
        </w:rPr>
        <w:t xml:space="preserve">They’re a good bunch; been helpful too. If </w:t>
      </w:r>
      <w:proofErr w:type="spellStart"/>
      <w:r w:rsidRPr="000F7E56">
        <w:rPr>
          <w:rFonts w:ascii="Calibri" w:eastAsia="Arial" w:hAnsi="Calibri" w:cs="Calibri"/>
          <w:lang w:val="en-US" w:bidi="en-US"/>
        </w:rPr>
        <w:t>Biant</w:t>
      </w:r>
      <w:proofErr w:type="spellEnd"/>
      <w:r w:rsidRPr="000F7E56">
        <w:rPr>
          <w:rFonts w:ascii="Calibri" w:eastAsia="Arial" w:hAnsi="Calibri" w:cs="Calibri"/>
          <w:lang w:val="en-US" w:bidi="en-US"/>
        </w:rPr>
        <w:t xml:space="preserve"> had told me what it really was when he first took me, I would never have walked through that door. And now I’m glad that he did. Who would have thought it would take prostate cancer to get me playing dominoes, like my old man. It’s getting harder though, to be honest. This bloody pain. But what you going to do?</w:t>
      </w:r>
    </w:p>
    <w:p w14:paraId="71D5CCA8" w14:textId="77777777" w:rsidR="000F7E56" w:rsidRPr="000F7E56" w:rsidRDefault="000F7E56" w:rsidP="000F7E56">
      <w:pPr>
        <w:widowControl w:val="0"/>
        <w:autoSpaceDE w:val="0"/>
        <w:autoSpaceDN w:val="0"/>
        <w:spacing w:after="120" w:line="360" w:lineRule="auto"/>
        <w:ind w:right="191"/>
        <w:rPr>
          <w:rFonts w:ascii="Calibri" w:eastAsia="Arial" w:hAnsi="Calibri" w:cs="Calibri"/>
          <w:lang w:val="en-US" w:bidi="en-US"/>
        </w:rPr>
      </w:pPr>
      <w:r w:rsidRPr="000F7E56">
        <w:rPr>
          <w:rFonts w:ascii="Calibri" w:eastAsia="Arial" w:hAnsi="Calibri" w:cs="Calibri"/>
          <w:lang w:val="en-US" w:bidi="en-US"/>
        </w:rPr>
        <w:t>Dad died of cancer, his father too. He was buried in his back yard in Portmore and I was lifted up, four years old, and passed over the coffin while they said my name so that he wouldn’t come back and haunt me. It was like the whole world came to visit for days afterwards, all dressed up with food and drink and music.</w:t>
      </w:r>
    </w:p>
    <w:p w14:paraId="32194005" w14:textId="77777777" w:rsidR="000F7E56" w:rsidRPr="000F7E56" w:rsidRDefault="000F7E56" w:rsidP="000F7E56">
      <w:pPr>
        <w:widowControl w:val="0"/>
        <w:autoSpaceDE w:val="0"/>
        <w:autoSpaceDN w:val="0"/>
        <w:spacing w:after="120" w:line="360" w:lineRule="auto"/>
        <w:ind w:right="190"/>
        <w:rPr>
          <w:rFonts w:ascii="Calibri" w:eastAsia="Arial" w:hAnsi="Calibri" w:cs="Calibri"/>
          <w:lang w:val="en-US" w:bidi="en-US"/>
        </w:rPr>
      </w:pPr>
      <w:r w:rsidRPr="000F7E56">
        <w:rPr>
          <w:rFonts w:ascii="Calibri" w:eastAsia="Arial" w:hAnsi="Calibri" w:cs="Calibri"/>
          <w:lang w:val="en-US" w:bidi="en-US"/>
        </w:rPr>
        <w:t>My dad always said that like so many things in England, death is hidden away. Made me promise that his funeral would be a thing of joy. ‘The people here son, they don’t know how to die and when they do the way they are so quickly dispensed with and forgotten should be a warning of the way that they will treat us. So never forget, we have to stand up for our rights, every single day’.</w:t>
      </w:r>
    </w:p>
    <w:p w14:paraId="0DB9C461" w14:textId="77777777" w:rsidR="000F7E56" w:rsidRPr="000F7E56" w:rsidRDefault="000F7E56" w:rsidP="000F7E56">
      <w:pPr>
        <w:widowControl w:val="0"/>
        <w:autoSpaceDE w:val="0"/>
        <w:autoSpaceDN w:val="0"/>
        <w:spacing w:after="120" w:line="360" w:lineRule="auto"/>
        <w:ind w:right="129"/>
        <w:rPr>
          <w:rFonts w:ascii="Calibri" w:eastAsia="Arial" w:hAnsi="Calibri" w:cs="Calibri"/>
          <w:lang w:val="en-US" w:bidi="en-US"/>
        </w:rPr>
      </w:pPr>
      <w:r w:rsidRPr="000F7E56">
        <w:rPr>
          <w:rFonts w:ascii="Calibri" w:eastAsia="Arial" w:hAnsi="Calibri" w:cs="Calibri"/>
          <w:lang w:val="en-US" w:bidi="en-US"/>
        </w:rPr>
        <w:t xml:space="preserve">And he was right. As soon as the treatment stopped working, they just washed their hands of me. And now of course, when things are properly on the downward slope, they have to appear to make an effort. But I know what’s really going on. My cousin came out of hospital last month with some kind of dressing all over her hands and arms and they couldn’t even find something that was the same </w:t>
      </w:r>
      <w:proofErr w:type="spellStart"/>
      <w:r w:rsidRPr="000F7E56">
        <w:rPr>
          <w:rFonts w:ascii="Calibri" w:eastAsia="Arial" w:hAnsi="Calibri" w:cs="Calibri"/>
          <w:lang w:val="en-US" w:bidi="en-US"/>
        </w:rPr>
        <w:t>colour</w:t>
      </w:r>
      <w:proofErr w:type="spellEnd"/>
      <w:r w:rsidRPr="000F7E56">
        <w:rPr>
          <w:rFonts w:ascii="Calibri" w:eastAsia="Arial" w:hAnsi="Calibri" w:cs="Calibri"/>
          <w:lang w:val="en-US" w:bidi="en-US"/>
        </w:rPr>
        <w:t xml:space="preserve"> as her skin.</w:t>
      </w:r>
    </w:p>
    <w:p w14:paraId="2AAF786F" w14:textId="77777777" w:rsidR="000F7E56" w:rsidRPr="000F7E56" w:rsidRDefault="000F7E56" w:rsidP="000F7E56">
      <w:pPr>
        <w:widowControl w:val="0"/>
        <w:autoSpaceDE w:val="0"/>
        <w:autoSpaceDN w:val="0"/>
        <w:spacing w:after="120" w:line="360" w:lineRule="auto"/>
        <w:rPr>
          <w:rFonts w:ascii="Calibri" w:eastAsia="Arial" w:hAnsi="Calibri" w:cs="Calibri"/>
          <w:lang w:val="en-US" w:bidi="en-US"/>
        </w:rPr>
        <w:sectPr w:rsidR="000F7E56" w:rsidRPr="000F7E56" w:rsidSect="000F7E56">
          <w:pgSz w:w="11910" w:h="16840"/>
          <w:pgMar w:top="1418" w:right="1040" w:bottom="1560" w:left="1020" w:header="720" w:footer="720" w:gutter="0"/>
          <w:cols w:space="720"/>
        </w:sectPr>
      </w:pPr>
    </w:p>
    <w:p w14:paraId="28AC00D5" w14:textId="6FA2E3AA" w:rsidR="000F7E56" w:rsidRPr="000F7E56" w:rsidRDefault="000F7E56" w:rsidP="000F7E56">
      <w:pPr>
        <w:widowControl w:val="0"/>
        <w:autoSpaceDE w:val="0"/>
        <w:autoSpaceDN w:val="0"/>
        <w:spacing w:after="120" w:line="360" w:lineRule="auto"/>
        <w:ind w:right="218"/>
        <w:rPr>
          <w:rFonts w:ascii="Calibri" w:eastAsia="Arial" w:hAnsi="Calibri" w:cs="Calibri"/>
          <w:lang w:val="en-US" w:bidi="en-US"/>
        </w:rPr>
      </w:pPr>
      <w:r w:rsidRPr="000F7E56">
        <w:rPr>
          <w:rFonts w:ascii="Calibri" w:eastAsia="Arial" w:hAnsi="Calibri" w:cs="Calibri"/>
          <w:lang w:val="en-US" w:bidi="en-US"/>
        </w:rPr>
        <w:t xml:space="preserve">And </w:t>
      </w:r>
      <w:r w:rsidR="00223FE3" w:rsidRPr="000F7E56">
        <w:rPr>
          <w:rFonts w:ascii="Calibri" w:eastAsia="Arial" w:hAnsi="Calibri" w:cs="Calibri"/>
          <w:lang w:val="en-US" w:bidi="en-US"/>
        </w:rPr>
        <w:t>of course,</w:t>
      </w:r>
      <w:r w:rsidRPr="000F7E56">
        <w:rPr>
          <w:rFonts w:ascii="Calibri" w:eastAsia="Arial" w:hAnsi="Calibri" w:cs="Calibri"/>
          <w:lang w:val="en-US" w:bidi="en-US"/>
        </w:rPr>
        <w:t xml:space="preserve"> I’ve been thinking about it. Of what I want to happen. And </w:t>
      </w:r>
      <w:proofErr w:type="spellStart"/>
      <w:r w:rsidRPr="000F7E56">
        <w:rPr>
          <w:rFonts w:ascii="Calibri" w:eastAsia="Arial" w:hAnsi="Calibri" w:cs="Calibri"/>
          <w:lang w:val="en-US" w:bidi="en-US"/>
        </w:rPr>
        <w:t>Biant</w:t>
      </w:r>
      <w:proofErr w:type="spellEnd"/>
      <w:r w:rsidRPr="000F7E56">
        <w:rPr>
          <w:rFonts w:ascii="Calibri" w:eastAsia="Arial" w:hAnsi="Calibri" w:cs="Calibri"/>
          <w:lang w:val="en-US" w:bidi="en-US"/>
        </w:rPr>
        <w:t xml:space="preserve"> knows. He’s the one I’ve told it all too. A cardboard coffin for starters. These funerals cost a fortune and I need to make sure my wife has something left after it all.</w:t>
      </w:r>
    </w:p>
    <w:p w14:paraId="69A8C24B" w14:textId="77777777" w:rsidR="000F7E56" w:rsidRPr="000F7E56" w:rsidRDefault="000F7E56" w:rsidP="000F7E56">
      <w:pPr>
        <w:widowControl w:val="0"/>
        <w:autoSpaceDE w:val="0"/>
        <w:autoSpaceDN w:val="0"/>
        <w:spacing w:after="120" w:line="360" w:lineRule="auto"/>
        <w:ind w:right="145"/>
        <w:rPr>
          <w:rFonts w:ascii="Calibri" w:eastAsia="Arial" w:hAnsi="Calibri" w:cs="Calibri"/>
          <w:lang w:val="en-US" w:bidi="en-US"/>
        </w:rPr>
      </w:pPr>
      <w:r w:rsidRPr="000F7E56">
        <w:rPr>
          <w:rFonts w:ascii="Calibri" w:eastAsia="Arial" w:hAnsi="Calibri" w:cs="Calibri"/>
          <w:lang w:val="en-US" w:bidi="en-US"/>
        </w:rPr>
        <w:t>Maybe I should have asked her to come with me. She’s obviously worried and wants to know why I have to see the Doctor today, but I’ve told her it’s nothing important, just some forms I’ve been asked to sign. And I don’t want her there, getting upset and confusing everything.  It’s simple.  I just need to stand my ground; tell him I know that things aren’t good; that we all step off the boat at some point; but they’re not going to get rid of me that</w:t>
      </w:r>
      <w:r w:rsidRPr="000F7E56">
        <w:rPr>
          <w:rFonts w:ascii="Calibri" w:eastAsia="Arial" w:hAnsi="Calibri" w:cs="Calibri"/>
          <w:spacing w:val="-9"/>
          <w:lang w:val="en-US" w:bidi="en-US"/>
        </w:rPr>
        <w:t xml:space="preserve"> </w:t>
      </w:r>
      <w:r w:rsidRPr="000F7E56">
        <w:rPr>
          <w:rFonts w:ascii="Calibri" w:eastAsia="Arial" w:hAnsi="Calibri" w:cs="Calibri"/>
          <w:lang w:val="en-US" w:bidi="en-US"/>
        </w:rPr>
        <w:t>easily.</w:t>
      </w:r>
    </w:p>
    <w:p w14:paraId="0A32AC10" w14:textId="77777777" w:rsidR="000F7E56" w:rsidRPr="000F7E56" w:rsidRDefault="000F7E56" w:rsidP="000F7E56">
      <w:pPr>
        <w:widowControl w:val="0"/>
        <w:autoSpaceDE w:val="0"/>
        <w:autoSpaceDN w:val="0"/>
        <w:spacing w:after="120" w:line="360" w:lineRule="auto"/>
        <w:ind w:right="142"/>
        <w:rPr>
          <w:rFonts w:ascii="Calibri" w:eastAsia="Arial" w:hAnsi="Calibri" w:cs="Calibri"/>
          <w:lang w:val="en-US" w:bidi="en-US"/>
        </w:rPr>
      </w:pPr>
      <w:r w:rsidRPr="000F7E56">
        <w:rPr>
          <w:rFonts w:ascii="Calibri" w:eastAsia="Arial" w:hAnsi="Calibri" w:cs="Calibri"/>
          <w:lang w:val="en-US" w:bidi="en-US"/>
        </w:rPr>
        <w:t xml:space="preserve">And if she was there they would talk her into things, just like her sister does, with all this diet mumbo jumbo. I’ve told them both that my taste buds are shot, that everyone who has ever eaten my wife’s mutton and dumplings always ends up sneaking back round the kitchen table the first chance they get. That I need to have food in front of me that looks delicious, that reminds me of what it was like to enjoy eating. But there’s no listening. ‘If the doctors can’t cure you with all their mighty science and technology Dave then my sister is </w:t>
      </w:r>
      <w:r w:rsidRPr="000F7E56">
        <w:rPr>
          <w:rFonts w:ascii="Calibri" w:eastAsia="Arial" w:hAnsi="Calibri" w:cs="Calibri"/>
          <w:lang w:val="en-US" w:bidi="en-US"/>
        </w:rPr>
        <w:lastRenderedPageBreak/>
        <w:t>right, and it’s up to us to take charge and do what needs to be done’.</w:t>
      </w:r>
    </w:p>
    <w:p w14:paraId="54FF9C1B" w14:textId="77777777" w:rsidR="000F7E56" w:rsidRPr="000F7E56" w:rsidRDefault="000F7E56" w:rsidP="000F7E56">
      <w:pPr>
        <w:widowControl w:val="0"/>
        <w:autoSpaceDE w:val="0"/>
        <w:autoSpaceDN w:val="0"/>
        <w:spacing w:after="120" w:line="360" w:lineRule="auto"/>
        <w:ind w:right="191"/>
        <w:rPr>
          <w:rFonts w:ascii="Calibri" w:eastAsia="Arial" w:hAnsi="Calibri" w:cs="Calibri"/>
          <w:lang w:val="en-US" w:bidi="en-US"/>
        </w:rPr>
      </w:pPr>
      <w:r w:rsidRPr="000F7E56">
        <w:rPr>
          <w:rFonts w:ascii="Calibri" w:eastAsia="Arial" w:hAnsi="Calibri" w:cs="Calibri"/>
          <w:lang w:val="en-US" w:bidi="en-US"/>
        </w:rPr>
        <w:t xml:space="preserve">I keep quiet about it. On </w:t>
      </w:r>
      <w:proofErr w:type="spellStart"/>
      <w:r w:rsidRPr="000F7E56">
        <w:rPr>
          <w:rFonts w:ascii="Calibri" w:eastAsia="Arial" w:hAnsi="Calibri" w:cs="Calibri"/>
          <w:lang w:val="en-US" w:bidi="en-US"/>
        </w:rPr>
        <w:t>Biant’s</w:t>
      </w:r>
      <w:proofErr w:type="spellEnd"/>
      <w:r w:rsidRPr="000F7E56">
        <w:rPr>
          <w:rFonts w:ascii="Calibri" w:eastAsia="Arial" w:hAnsi="Calibri" w:cs="Calibri"/>
          <w:lang w:val="en-US" w:bidi="en-US"/>
        </w:rPr>
        <w:t xml:space="preserve"> advice. ‘If there’s one person you need to keep sweet at a time like this mate, it’s your missus’. So I thank my sister in law for praying so hard for me, agree that it is all in God’s hands now, and nod my head to whatever my wife</w:t>
      </w:r>
      <w:r w:rsidRPr="000F7E56">
        <w:rPr>
          <w:rFonts w:ascii="Calibri" w:eastAsia="Arial" w:hAnsi="Calibri" w:cs="Calibri"/>
          <w:spacing w:val="-13"/>
          <w:lang w:val="en-US" w:bidi="en-US"/>
        </w:rPr>
        <w:t xml:space="preserve"> </w:t>
      </w:r>
      <w:r w:rsidRPr="000F7E56">
        <w:rPr>
          <w:rFonts w:ascii="Calibri" w:eastAsia="Arial" w:hAnsi="Calibri" w:cs="Calibri"/>
          <w:lang w:val="en-US" w:bidi="en-US"/>
        </w:rPr>
        <w:t>suggests.</w:t>
      </w:r>
    </w:p>
    <w:p w14:paraId="4AF60A07" w14:textId="724C8E51" w:rsidR="000F7E56" w:rsidRDefault="000F7E56" w:rsidP="00223FE3">
      <w:pPr>
        <w:widowControl w:val="0"/>
        <w:autoSpaceDE w:val="0"/>
        <w:autoSpaceDN w:val="0"/>
        <w:spacing w:after="120" w:line="360" w:lineRule="auto"/>
        <w:ind w:right="104"/>
        <w:rPr>
          <w:rFonts w:ascii="Calibri" w:eastAsia="Arial" w:hAnsi="Calibri" w:cs="Calibri"/>
          <w:lang w:val="en-US" w:bidi="en-US"/>
        </w:rPr>
      </w:pPr>
      <w:r w:rsidRPr="000F7E56">
        <w:rPr>
          <w:rFonts w:ascii="Calibri" w:eastAsia="Arial" w:hAnsi="Calibri" w:cs="Calibri"/>
          <w:lang w:val="en-US" w:bidi="en-US"/>
        </w:rPr>
        <w:t xml:space="preserve">She can come next time; because they’ll keep trying to talk me into what they want me to do to make things easier for them. That’s for certain. But not today. No chance. Today is for me and </w:t>
      </w:r>
      <w:proofErr w:type="spellStart"/>
      <w:r w:rsidRPr="000F7E56">
        <w:rPr>
          <w:rFonts w:ascii="Calibri" w:eastAsia="Arial" w:hAnsi="Calibri" w:cs="Calibri"/>
          <w:lang w:val="en-US" w:bidi="en-US"/>
        </w:rPr>
        <w:t>Biant</w:t>
      </w:r>
      <w:proofErr w:type="spellEnd"/>
      <w:r w:rsidRPr="000F7E56">
        <w:rPr>
          <w:rFonts w:ascii="Calibri" w:eastAsia="Arial" w:hAnsi="Calibri" w:cs="Calibri"/>
          <w:lang w:val="en-US" w:bidi="en-US"/>
        </w:rPr>
        <w:t xml:space="preserve"> to put the world to rights over some proper food; if he gets his car to start. Ah! I nearly forgot, the mints. Just so my loving wife doesn’t get a sniff of what we’ve been up to. You see! I think of everything. Nobody gets the better of me.”</w:t>
      </w:r>
    </w:p>
    <w:p w14:paraId="7DFCB68D" w14:textId="77777777" w:rsidR="00223FE3" w:rsidRPr="000F7E56" w:rsidRDefault="00223FE3" w:rsidP="00223FE3">
      <w:pPr>
        <w:widowControl w:val="0"/>
        <w:autoSpaceDE w:val="0"/>
        <w:autoSpaceDN w:val="0"/>
        <w:spacing w:after="120" w:line="360" w:lineRule="auto"/>
        <w:ind w:right="104"/>
        <w:rPr>
          <w:rFonts w:ascii="Calibri" w:eastAsia="Arial" w:hAnsi="Calibri" w:cs="Calibri"/>
          <w:lang w:val="en-US" w:bidi="en-US"/>
        </w:rPr>
      </w:pPr>
    </w:p>
    <w:p w14:paraId="5BEB787F" w14:textId="77777777" w:rsidR="000F7E56" w:rsidRPr="000F7E56" w:rsidRDefault="000F7E56" w:rsidP="000F7E56">
      <w:pPr>
        <w:widowControl w:val="0"/>
        <w:autoSpaceDE w:val="0"/>
        <w:autoSpaceDN w:val="0"/>
        <w:spacing w:after="120" w:line="360" w:lineRule="auto"/>
        <w:ind w:right="4388"/>
        <w:rPr>
          <w:rFonts w:ascii="Calibri" w:eastAsia="Arial" w:hAnsi="Calibri" w:cs="Calibri"/>
          <w:b/>
          <w:bCs/>
          <w:lang w:val="en-US" w:bidi="en-US"/>
        </w:rPr>
      </w:pPr>
      <w:proofErr w:type="spellStart"/>
      <w:r w:rsidRPr="000F7E56">
        <w:rPr>
          <w:rFonts w:ascii="Calibri" w:eastAsia="Arial" w:hAnsi="Calibri" w:cs="Calibri"/>
          <w:b/>
          <w:bCs/>
          <w:lang w:val="en-US" w:bidi="en-US"/>
        </w:rPr>
        <w:t>Balwinder</w:t>
      </w:r>
      <w:proofErr w:type="spellEnd"/>
    </w:p>
    <w:p w14:paraId="737A84B0" w14:textId="77777777" w:rsidR="000F7E56" w:rsidRPr="000F7E56" w:rsidRDefault="000F7E56" w:rsidP="000F7E56">
      <w:pPr>
        <w:widowControl w:val="0"/>
        <w:autoSpaceDE w:val="0"/>
        <w:autoSpaceDN w:val="0"/>
        <w:spacing w:after="120" w:line="360" w:lineRule="auto"/>
        <w:ind w:right="-53"/>
        <w:rPr>
          <w:rFonts w:ascii="Calibri" w:eastAsia="Arial" w:hAnsi="Calibri" w:cs="Calibri"/>
          <w:bCs/>
          <w:lang w:val="en-US" w:bidi="en-US"/>
        </w:rPr>
      </w:pPr>
      <w:proofErr w:type="spellStart"/>
      <w:r w:rsidRPr="000F7E56">
        <w:rPr>
          <w:rFonts w:ascii="Calibri" w:eastAsia="Arial" w:hAnsi="Calibri" w:cs="Calibri"/>
          <w:bCs/>
          <w:lang w:val="en-US" w:bidi="en-US"/>
        </w:rPr>
        <w:t>Balwinder</w:t>
      </w:r>
      <w:proofErr w:type="spellEnd"/>
      <w:r w:rsidRPr="000F7E56">
        <w:rPr>
          <w:rFonts w:ascii="Calibri" w:eastAsia="Arial" w:hAnsi="Calibri" w:cs="Calibri"/>
          <w:bCs/>
          <w:lang w:val="en-US" w:bidi="en-US"/>
        </w:rPr>
        <w:t xml:space="preserve"> and her sister Gurpreet care for their mother who is currently in hospital.  They are preparing for the Sikh New Year, Vaisakhi </w:t>
      </w:r>
    </w:p>
    <w:p w14:paraId="3E414B00" w14:textId="1A615D9A" w:rsidR="000F7E56" w:rsidRPr="00223FE3" w:rsidRDefault="000F7E56" w:rsidP="000F7E56">
      <w:pPr>
        <w:widowControl w:val="0"/>
        <w:autoSpaceDE w:val="0"/>
        <w:autoSpaceDN w:val="0"/>
        <w:spacing w:after="120" w:line="360" w:lineRule="auto"/>
        <w:rPr>
          <w:rFonts w:ascii="Calibri" w:eastAsia="Arial" w:hAnsi="Calibri" w:cs="Calibri"/>
          <w:bCs/>
          <w:i/>
          <w:lang w:bidi="en-US"/>
        </w:rPr>
      </w:pPr>
      <w:r w:rsidRPr="00223FE3">
        <w:rPr>
          <w:rFonts w:ascii="Calibri" w:eastAsia="Arial" w:hAnsi="Calibri" w:cs="Calibri"/>
          <w:i/>
          <w:lang w:val="en-US" w:bidi="en-US"/>
        </w:rPr>
        <w:t xml:space="preserve">Key themes: </w:t>
      </w:r>
      <w:r w:rsidRPr="00223FE3">
        <w:rPr>
          <w:rFonts w:ascii="Calibri" w:eastAsia="Arial" w:hAnsi="Calibri" w:cs="Calibri"/>
          <w:bCs/>
          <w:i/>
          <w:lang w:bidi="en-US"/>
        </w:rPr>
        <w:t>Carers duty and burdens. Language/communication barriers. What’s going on below the surface.</w:t>
      </w:r>
    </w:p>
    <w:p w14:paraId="69E70A9A" w14:textId="28F96801" w:rsidR="000F7E56" w:rsidRPr="000F7E56" w:rsidRDefault="000F7E56" w:rsidP="000F7E56">
      <w:pPr>
        <w:widowControl w:val="0"/>
        <w:autoSpaceDE w:val="0"/>
        <w:autoSpaceDN w:val="0"/>
        <w:spacing w:after="120" w:line="360" w:lineRule="auto"/>
        <w:ind w:right="301"/>
        <w:rPr>
          <w:rFonts w:ascii="Calibri" w:eastAsia="Arial" w:hAnsi="Calibri" w:cs="Calibri"/>
          <w:lang w:val="en-US" w:bidi="en-US"/>
        </w:rPr>
      </w:pPr>
      <w:r w:rsidRPr="000F7E56">
        <w:rPr>
          <w:rFonts w:ascii="Calibri" w:eastAsia="Arial" w:hAnsi="Calibri" w:cs="Calibri"/>
          <w:lang w:val="en-US" w:bidi="en-US"/>
        </w:rPr>
        <w:t xml:space="preserve">“We’re going to need a catering trolley from the hospital to take in all this food that Gurpreet’s making. I’ve told her it’ll be too much, but she won’t listen. ‘The food there is terrible </w:t>
      </w:r>
      <w:proofErr w:type="spellStart"/>
      <w:r w:rsidRPr="000F7E56">
        <w:rPr>
          <w:rFonts w:ascii="Calibri" w:eastAsia="Arial" w:hAnsi="Calibri" w:cs="Calibri"/>
          <w:lang w:val="en-US" w:bidi="en-US"/>
        </w:rPr>
        <w:t>Balwinder</w:t>
      </w:r>
      <w:proofErr w:type="spellEnd"/>
      <w:r w:rsidRPr="000F7E56">
        <w:rPr>
          <w:rFonts w:ascii="Calibri" w:eastAsia="Arial" w:hAnsi="Calibri" w:cs="Calibri"/>
          <w:lang w:val="en-US" w:bidi="en-US"/>
        </w:rPr>
        <w:t xml:space="preserve">; we must keep her strength up’. And </w:t>
      </w:r>
      <w:r w:rsidR="00CD1A3C" w:rsidRPr="000F7E56">
        <w:rPr>
          <w:rFonts w:ascii="Calibri" w:eastAsia="Arial" w:hAnsi="Calibri" w:cs="Calibri"/>
          <w:lang w:val="en-US" w:bidi="en-US"/>
        </w:rPr>
        <w:t>of course,</w:t>
      </w:r>
      <w:r w:rsidRPr="000F7E56">
        <w:rPr>
          <w:rFonts w:ascii="Calibri" w:eastAsia="Arial" w:hAnsi="Calibri" w:cs="Calibri"/>
          <w:lang w:val="en-US" w:bidi="en-US"/>
        </w:rPr>
        <w:t xml:space="preserve"> she wants everything to be perfect tomorrow. ‘It’s probably our last Vaisakhi together.</w:t>
      </w:r>
    </w:p>
    <w:p w14:paraId="5F8E9A59" w14:textId="77777777" w:rsidR="000F7E56" w:rsidRPr="000F7E56" w:rsidRDefault="000F7E56" w:rsidP="000F7E56">
      <w:pPr>
        <w:widowControl w:val="0"/>
        <w:autoSpaceDE w:val="0"/>
        <w:autoSpaceDN w:val="0"/>
        <w:spacing w:after="120" w:line="360" w:lineRule="auto"/>
        <w:ind w:right="114"/>
        <w:rPr>
          <w:rFonts w:ascii="Calibri" w:eastAsia="Arial" w:hAnsi="Calibri" w:cs="Calibri"/>
          <w:lang w:val="en-US" w:bidi="en-US"/>
        </w:rPr>
      </w:pPr>
      <w:r w:rsidRPr="000F7E56">
        <w:rPr>
          <w:rFonts w:ascii="Calibri" w:eastAsia="Arial" w:hAnsi="Calibri" w:cs="Calibri"/>
          <w:lang w:val="en-US" w:bidi="en-US"/>
        </w:rPr>
        <w:t>Ajeet arrives tonight from Berlin, with his wife; which will delight Mum who tells us over and over that we’re not to worry him; that our brother is a very busy man, and that the women can look after things on their own thank you very much. I should be looking forward to it, all of us being together, but I’ve hardly slept all week. Why is it me, the youngest, that’s been put in this position?</w:t>
      </w:r>
    </w:p>
    <w:p w14:paraId="7CC43174" w14:textId="77777777" w:rsidR="000F7E56" w:rsidRPr="000F7E56" w:rsidRDefault="000F7E56" w:rsidP="000F7E56">
      <w:pPr>
        <w:widowControl w:val="0"/>
        <w:autoSpaceDE w:val="0"/>
        <w:autoSpaceDN w:val="0"/>
        <w:spacing w:after="120" w:line="360" w:lineRule="auto"/>
        <w:ind w:right="114"/>
        <w:rPr>
          <w:rFonts w:ascii="Calibri" w:eastAsia="Arial" w:hAnsi="Calibri" w:cs="Calibri"/>
          <w:lang w:val="en-US" w:bidi="en-US"/>
        </w:rPr>
      </w:pPr>
      <w:r w:rsidRPr="000F7E56">
        <w:rPr>
          <w:rFonts w:ascii="Calibri" w:eastAsia="Arial" w:hAnsi="Calibri" w:cs="Calibri"/>
          <w:lang w:val="en-US" w:bidi="en-US"/>
        </w:rPr>
        <w:t xml:space="preserve">The hospital said they’d provide someone to help Mum understand what the doctor was saying, but no-one ever seemed to be there for her when it was really needed. And now she’s decided that she only wants her children to tell her what the Doctor has said. That she doesn’t want strangers that might turn up every now and again being told things about her that she doesn’t want anybody else to know. And I’m the one that’s ended up having to translate everything for Mum, to try and make sense of all this medical information, while Gurpreet buries herself in her chapattis and </w:t>
      </w:r>
      <w:proofErr w:type="spellStart"/>
      <w:r w:rsidRPr="000F7E56">
        <w:rPr>
          <w:rFonts w:ascii="Calibri" w:eastAsia="Arial" w:hAnsi="Calibri" w:cs="Calibri"/>
          <w:lang w:val="en-US" w:bidi="en-US"/>
        </w:rPr>
        <w:t>saagwaala</w:t>
      </w:r>
      <w:proofErr w:type="spellEnd"/>
      <w:r w:rsidRPr="000F7E56">
        <w:rPr>
          <w:rFonts w:ascii="Calibri" w:eastAsia="Arial" w:hAnsi="Calibri" w:cs="Calibri"/>
          <w:lang w:val="en-US" w:bidi="en-US"/>
        </w:rPr>
        <w:t>.</w:t>
      </w:r>
    </w:p>
    <w:p w14:paraId="0DAA2947" w14:textId="77777777" w:rsidR="000F7E56" w:rsidRPr="000F7E56" w:rsidRDefault="000F7E56" w:rsidP="000F7E56">
      <w:pPr>
        <w:widowControl w:val="0"/>
        <w:autoSpaceDE w:val="0"/>
        <w:autoSpaceDN w:val="0"/>
        <w:spacing w:after="120" w:line="360" w:lineRule="auto"/>
        <w:ind w:right="202"/>
        <w:rPr>
          <w:rFonts w:ascii="Calibri" w:eastAsia="Arial" w:hAnsi="Calibri" w:cs="Calibri"/>
          <w:lang w:val="en-US" w:bidi="en-US"/>
        </w:rPr>
      </w:pPr>
      <w:r w:rsidRPr="000F7E56">
        <w:rPr>
          <w:rFonts w:ascii="Calibri" w:eastAsia="Arial" w:hAnsi="Calibri" w:cs="Calibri"/>
          <w:lang w:val="en-US" w:bidi="en-US"/>
        </w:rPr>
        <w:t xml:space="preserve">And she’s in worse shape than we thought. Four days ago, a doctor told me we should make a decision about something called a DNACPR order. And quickly. I’ve written it down very carefully. Do Not Attempt Cardio-Pulmonary Resuscitation. I should have said something to Gurpreet straight away, and rung Ajeet as soon as I got home. But I was just so shocked.  And then I thought I should wait until after </w:t>
      </w:r>
      <w:proofErr w:type="spellStart"/>
      <w:r w:rsidRPr="000F7E56">
        <w:rPr>
          <w:rFonts w:ascii="Calibri" w:eastAsia="Arial" w:hAnsi="Calibri" w:cs="Calibri"/>
          <w:lang w:val="en-US" w:bidi="en-US"/>
        </w:rPr>
        <w:t>Vaishaki</w:t>
      </w:r>
      <w:proofErr w:type="spellEnd"/>
      <w:r w:rsidRPr="000F7E56">
        <w:rPr>
          <w:rFonts w:ascii="Calibri" w:eastAsia="Arial" w:hAnsi="Calibri" w:cs="Calibri"/>
          <w:lang w:val="en-US" w:bidi="en-US"/>
        </w:rPr>
        <w:t xml:space="preserve"> to tell them. I don’t know why, I was flustered, I didn’t know the right thing to do. And to make it worse I’ve lied to </w:t>
      </w:r>
      <w:r w:rsidRPr="000F7E56">
        <w:rPr>
          <w:rFonts w:ascii="Calibri" w:eastAsia="Arial" w:hAnsi="Calibri" w:cs="Calibri"/>
          <w:lang w:val="en-US" w:bidi="en-US"/>
        </w:rPr>
        <w:lastRenderedPageBreak/>
        <w:t>the doctors; telling them that I’ve explained everything, and that Mum understood and wanted to talk about it when we were all together.  And we would tell them our decision then, straight away.  Which of course I don’t want us to do. Not tomorrow. Not</w:t>
      </w:r>
      <w:r w:rsidRPr="000F7E56">
        <w:rPr>
          <w:rFonts w:ascii="Calibri" w:eastAsia="Arial" w:hAnsi="Calibri" w:cs="Calibri"/>
          <w:spacing w:val="-1"/>
          <w:lang w:val="en-US" w:bidi="en-US"/>
        </w:rPr>
        <w:t xml:space="preserve"> </w:t>
      </w:r>
      <w:r w:rsidRPr="000F7E56">
        <w:rPr>
          <w:rFonts w:ascii="Calibri" w:eastAsia="Arial" w:hAnsi="Calibri" w:cs="Calibri"/>
          <w:lang w:val="en-US" w:bidi="en-US"/>
        </w:rPr>
        <w:t>ever.</w:t>
      </w:r>
    </w:p>
    <w:p w14:paraId="5BCDEF90" w14:textId="2D40B868" w:rsidR="000F7E56" w:rsidRPr="000F7E56" w:rsidRDefault="000F7E56" w:rsidP="000F7E56">
      <w:pPr>
        <w:widowControl w:val="0"/>
        <w:autoSpaceDE w:val="0"/>
        <w:autoSpaceDN w:val="0"/>
        <w:spacing w:after="120" w:line="360" w:lineRule="auto"/>
        <w:ind w:right="136"/>
        <w:rPr>
          <w:rFonts w:ascii="Calibri" w:eastAsia="Arial" w:hAnsi="Calibri" w:cs="Calibri"/>
          <w:lang w:val="en-US" w:bidi="en-US"/>
        </w:rPr>
      </w:pPr>
      <w:r w:rsidRPr="000F7E56">
        <w:rPr>
          <w:rFonts w:ascii="Calibri" w:eastAsia="Arial" w:hAnsi="Calibri" w:cs="Calibri"/>
          <w:lang w:val="en-US" w:bidi="en-US"/>
        </w:rPr>
        <w:t>Why has nobody ever mentioned this thing before? About having to sign my Mum’s death warrant. Why has our family doctor never mentioned anything about this, about these decisions? Always telling us not to worry, everything is in good hands. No help at all which is no surprise really; we’ve been stuck with him ever since he became Dad’s badminton partner and of course Mum wouldn’t think of having anyone else once Dad died. But why has nobody else stepped up? Why has nobody warned me about this?</w:t>
      </w:r>
    </w:p>
    <w:p w14:paraId="066C5BAE" w14:textId="77777777" w:rsidR="000F7E56" w:rsidRPr="000F7E56" w:rsidRDefault="000F7E56" w:rsidP="000F7E56">
      <w:pPr>
        <w:widowControl w:val="0"/>
        <w:autoSpaceDE w:val="0"/>
        <w:autoSpaceDN w:val="0"/>
        <w:spacing w:after="120" w:line="360" w:lineRule="auto"/>
        <w:ind w:right="136"/>
        <w:rPr>
          <w:rFonts w:ascii="Calibri" w:eastAsia="Arial" w:hAnsi="Calibri" w:cs="Calibri"/>
          <w:lang w:val="en-US" w:bidi="en-US"/>
        </w:rPr>
      </w:pPr>
      <w:r w:rsidRPr="000F7E56">
        <w:rPr>
          <w:rFonts w:ascii="Calibri" w:eastAsia="Arial" w:hAnsi="Calibri" w:cs="Calibri"/>
          <w:lang w:val="en-US" w:bidi="en-US"/>
        </w:rPr>
        <w:t>Gurpreet and Ajeet still think we might be able to bring Mum home, to this house. Maybe I did too until now. But it’s not suitable; anyone can see that. My brother is bound to start throwing his weight around; he’s never had a good word to say about the hospital since Mum was offered a halal dinner and is always asking if there are still male nurses helping her. But she keeps telling me that everyone is so nice to her, that everyone is so helpful. That we shouldn’t worry so much.</w:t>
      </w:r>
    </w:p>
    <w:p w14:paraId="0605D910" w14:textId="77777777" w:rsidR="000F7E56" w:rsidRPr="000F7E56" w:rsidRDefault="000F7E56" w:rsidP="000F7E56">
      <w:pPr>
        <w:widowControl w:val="0"/>
        <w:autoSpaceDE w:val="0"/>
        <w:autoSpaceDN w:val="0"/>
        <w:spacing w:after="120" w:line="360" w:lineRule="auto"/>
        <w:ind w:right="136"/>
        <w:rPr>
          <w:rFonts w:ascii="Calibri" w:eastAsia="Arial" w:hAnsi="Calibri" w:cs="Calibri"/>
          <w:lang w:val="en-US" w:bidi="en-US"/>
        </w:rPr>
      </w:pPr>
      <w:r w:rsidRPr="000F7E56">
        <w:rPr>
          <w:rFonts w:ascii="Calibri" w:eastAsia="Arial" w:hAnsi="Calibri" w:cs="Calibri"/>
          <w:lang w:val="en-US" w:bidi="en-US"/>
        </w:rPr>
        <w:t>But now I have to talk to her about this other thing; so of course, I’m worried.</w:t>
      </w:r>
    </w:p>
    <w:p w14:paraId="2964ECCB" w14:textId="77777777" w:rsidR="000F7E56" w:rsidRPr="000F7E56" w:rsidRDefault="000F7E56" w:rsidP="000F7E56">
      <w:pPr>
        <w:widowControl w:val="0"/>
        <w:autoSpaceDE w:val="0"/>
        <w:autoSpaceDN w:val="0"/>
        <w:spacing w:after="120" w:line="360" w:lineRule="auto"/>
        <w:ind w:right="136"/>
        <w:rPr>
          <w:rFonts w:ascii="Calibri" w:eastAsia="Arial" w:hAnsi="Calibri" w:cs="Calibri"/>
          <w:lang w:val="en-US" w:bidi="en-US"/>
        </w:rPr>
      </w:pPr>
      <w:r w:rsidRPr="000F7E56">
        <w:rPr>
          <w:rFonts w:ascii="Calibri" w:eastAsia="Arial" w:hAnsi="Calibri" w:cs="Calibri"/>
          <w:lang w:val="en-US" w:bidi="en-US"/>
        </w:rPr>
        <w:t>Hopefully, the doctors won’t have mentioned anything about it to her. Hopefully, they’ll understand that tomorrow is the Sikh New Year, and they’ll have the sense not to talk to us about this horrible decision. So I just need to put it out of my mind for now, let Gurpreet take the lead for once, and do as she says. Try and embrace the day.</w:t>
      </w:r>
    </w:p>
    <w:p w14:paraId="1FDCE125" w14:textId="77777777" w:rsidR="000F7E56" w:rsidRPr="000F7E56" w:rsidRDefault="000F7E56" w:rsidP="000F7E56">
      <w:pPr>
        <w:widowControl w:val="0"/>
        <w:autoSpaceDE w:val="0"/>
        <w:autoSpaceDN w:val="0"/>
        <w:spacing w:after="120" w:line="360" w:lineRule="auto"/>
        <w:ind w:right="136"/>
        <w:rPr>
          <w:rFonts w:ascii="Calibri" w:eastAsia="Arial" w:hAnsi="Calibri" w:cs="Calibri"/>
          <w:lang w:val="en-US" w:bidi="en-US"/>
        </w:rPr>
      </w:pPr>
      <w:r w:rsidRPr="000F7E56">
        <w:rPr>
          <w:rFonts w:ascii="Calibri" w:eastAsia="Arial" w:hAnsi="Calibri" w:cs="Calibri"/>
          <w:lang w:val="en-US" w:bidi="en-US"/>
        </w:rPr>
        <w:t xml:space="preserve">I’ll tell Gurpreet and Ajeet afterwards. We’ll come back here, and I’ll tell them that however much Mum may have rallied for </w:t>
      </w:r>
      <w:proofErr w:type="spellStart"/>
      <w:r w:rsidRPr="000F7E56">
        <w:rPr>
          <w:rFonts w:ascii="Calibri" w:eastAsia="Arial" w:hAnsi="Calibri" w:cs="Calibri"/>
          <w:lang w:val="en-US" w:bidi="en-US"/>
        </w:rPr>
        <w:t>Vaishaki</w:t>
      </w:r>
      <w:proofErr w:type="spellEnd"/>
      <w:r w:rsidRPr="000F7E56">
        <w:rPr>
          <w:rFonts w:ascii="Calibri" w:eastAsia="Arial" w:hAnsi="Calibri" w:cs="Calibri"/>
          <w:lang w:val="en-US" w:bidi="en-US"/>
        </w:rPr>
        <w:t>, and I pray she will, that she won’t be coming home. That she is dying, and we have decisions to make, and we must sit by her bed and ask her about this order before Ajeet goes back to Germany. And that he should probably stay here for the time being.</w:t>
      </w:r>
    </w:p>
    <w:p w14:paraId="77B60129" w14:textId="77777777" w:rsidR="000F7E56" w:rsidRDefault="000F7E56" w:rsidP="000F7E56">
      <w:pPr>
        <w:widowControl w:val="0"/>
        <w:autoSpaceDE w:val="0"/>
        <w:autoSpaceDN w:val="0"/>
        <w:spacing w:after="120" w:line="360" w:lineRule="auto"/>
        <w:ind w:right="136"/>
        <w:rPr>
          <w:rFonts w:ascii="Calibri" w:eastAsia="Arial" w:hAnsi="Calibri" w:cs="Calibri"/>
          <w:lang w:val="en-US" w:bidi="en-US"/>
        </w:rPr>
      </w:pPr>
      <w:r w:rsidRPr="000F7E56">
        <w:rPr>
          <w:rFonts w:ascii="Calibri" w:eastAsia="Arial" w:hAnsi="Calibri" w:cs="Calibri"/>
          <w:lang w:val="en-US" w:bidi="en-US"/>
        </w:rPr>
        <w:t xml:space="preserve">Yes. That is what is going to happen. And tonight I am going to sleep. And tomorrow I am going to dress up as brightly as possible and maybe sing a </w:t>
      </w:r>
      <w:proofErr w:type="spellStart"/>
      <w:r w:rsidRPr="000F7E56">
        <w:rPr>
          <w:rFonts w:ascii="Calibri" w:eastAsia="Arial" w:hAnsi="Calibri" w:cs="Calibri"/>
          <w:lang w:val="en-US" w:bidi="en-US"/>
        </w:rPr>
        <w:t>Shabad</w:t>
      </w:r>
      <w:proofErr w:type="spellEnd"/>
      <w:r w:rsidRPr="000F7E56">
        <w:rPr>
          <w:rFonts w:ascii="Calibri" w:eastAsia="Arial" w:hAnsi="Calibri" w:cs="Calibri"/>
          <w:lang w:val="en-US" w:bidi="en-US"/>
        </w:rPr>
        <w:t>. And when we look at the piles of food that are left, I will help to share it out to everyone, just like we always do at this time of year. That’s it. It must be shared out. All of it.”</w:t>
      </w:r>
    </w:p>
    <w:p w14:paraId="6719AD62" w14:textId="77777777" w:rsidR="000F7E56" w:rsidRPr="000F7E56" w:rsidRDefault="000F7E56" w:rsidP="000F7E56">
      <w:pPr>
        <w:widowControl w:val="0"/>
        <w:autoSpaceDE w:val="0"/>
        <w:autoSpaceDN w:val="0"/>
        <w:spacing w:after="120" w:line="360" w:lineRule="auto"/>
        <w:ind w:right="136"/>
        <w:rPr>
          <w:rFonts w:ascii="Calibri" w:eastAsia="Arial" w:hAnsi="Calibri" w:cs="Calibri"/>
          <w:lang w:val="en-US" w:bidi="en-US"/>
        </w:rPr>
      </w:pPr>
    </w:p>
    <w:p w14:paraId="5F1D6A62" w14:textId="77777777" w:rsidR="000F7E56" w:rsidRPr="000F7E56" w:rsidRDefault="000F7E56" w:rsidP="000F7E56">
      <w:pPr>
        <w:widowControl w:val="0"/>
        <w:autoSpaceDE w:val="0"/>
        <w:autoSpaceDN w:val="0"/>
        <w:spacing w:after="120" w:line="360" w:lineRule="auto"/>
        <w:ind w:right="136"/>
        <w:rPr>
          <w:rFonts w:ascii="Calibri" w:eastAsia="Arial" w:hAnsi="Calibri" w:cs="Calibri"/>
          <w:b/>
          <w:bCs/>
          <w:lang w:val="en-US" w:bidi="en-US"/>
        </w:rPr>
      </w:pPr>
      <w:proofErr w:type="spellStart"/>
      <w:r w:rsidRPr="000F7E56">
        <w:rPr>
          <w:rFonts w:ascii="Calibri" w:eastAsia="Arial" w:hAnsi="Calibri" w:cs="Calibri"/>
          <w:b/>
          <w:bCs/>
          <w:lang w:val="en-US" w:bidi="en-US"/>
        </w:rPr>
        <w:t>Krushan</w:t>
      </w:r>
      <w:proofErr w:type="spellEnd"/>
    </w:p>
    <w:p w14:paraId="06870D05" w14:textId="77777777" w:rsidR="000F7E56" w:rsidRPr="000F7E56" w:rsidRDefault="000F7E56" w:rsidP="000F7E56">
      <w:pPr>
        <w:widowControl w:val="0"/>
        <w:autoSpaceDE w:val="0"/>
        <w:autoSpaceDN w:val="0"/>
        <w:spacing w:after="120" w:line="360" w:lineRule="auto"/>
        <w:ind w:right="136"/>
        <w:rPr>
          <w:rFonts w:ascii="Calibri" w:eastAsia="Arial" w:hAnsi="Calibri" w:cs="Calibri"/>
          <w:bCs/>
          <w:lang w:val="en-US" w:bidi="en-US"/>
        </w:rPr>
      </w:pPr>
      <w:proofErr w:type="spellStart"/>
      <w:r w:rsidRPr="000F7E56">
        <w:rPr>
          <w:rFonts w:ascii="Calibri" w:eastAsia="Arial" w:hAnsi="Calibri" w:cs="Calibri"/>
          <w:bCs/>
          <w:lang w:val="en-US" w:bidi="en-US"/>
        </w:rPr>
        <w:t>Krushan</w:t>
      </w:r>
      <w:proofErr w:type="spellEnd"/>
      <w:r w:rsidRPr="000F7E56">
        <w:rPr>
          <w:rFonts w:ascii="Calibri" w:eastAsia="Arial" w:hAnsi="Calibri" w:cs="Calibri"/>
          <w:bCs/>
          <w:lang w:val="en-US" w:bidi="en-US"/>
        </w:rPr>
        <w:t xml:space="preserve">, a middle aged British Asian Hindu, is largely bedbound and cared for at home by his wife </w:t>
      </w:r>
      <w:proofErr w:type="spellStart"/>
      <w:r w:rsidRPr="000F7E56">
        <w:rPr>
          <w:rFonts w:ascii="Calibri" w:eastAsia="Arial" w:hAnsi="Calibri" w:cs="Calibri"/>
          <w:lang w:val="en-US" w:bidi="en-US"/>
        </w:rPr>
        <w:t>Dhanashree</w:t>
      </w:r>
      <w:proofErr w:type="spellEnd"/>
      <w:r w:rsidRPr="000F7E56">
        <w:rPr>
          <w:rFonts w:ascii="Calibri" w:eastAsia="Arial" w:hAnsi="Calibri" w:cs="Calibri"/>
          <w:lang w:val="en-US" w:bidi="en-US"/>
        </w:rPr>
        <w:t>.  He is awaiting a visit from his older brother Abhijeet.</w:t>
      </w:r>
    </w:p>
    <w:p w14:paraId="060B1D03" w14:textId="77777777" w:rsidR="000F7E56" w:rsidRPr="00377F16" w:rsidRDefault="000F7E56" w:rsidP="000F7E56">
      <w:pPr>
        <w:widowControl w:val="0"/>
        <w:autoSpaceDE w:val="0"/>
        <w:autoSpaceDN w:val="0"/>
        <w:spacing w:after="120" w:line="360" w:lineRule="auto"/>
        <w:ind w:right="136"/>
        <w:rPr>
          <w:rFonts w:ascii="Calibri" w:eastAsia="Arial" w:hAnsi="Calibri" w:cs="Calibri"/>
          <w:bCs/>
          <w:i/>
          <w:lang w:bidi="en-US"/>
        </w:rPr>
      </w:pPr>
      <w:r w:rsidRPr="00377F16">
        <w:rPr>
          <w:rFonts w:ascii="Calibri" w:eastAsia="Arial" w:hAnsi="Calibri" w:cs="Calibri"/>
          <w:i/>
          <w:lang w:val="en-US" w:bidi="en-US"/>
        </w:rPr>
        <w:t>Key themes:</w:t>
      </w:r>
      <w:r w:rsidRPr="00377F16">
        <w:rPr>
          <w:rFonts w:ascii="Calibri" w:eastAsia="Arial" w:hAnsi="Calibri" w:cs="Calibri"/>
          <w:bCs/>
          <w:i/>
          <w:lang w:bidi="en-US"/>
        </w:rPr>
        <w:t xml:space="preserve"> Pressures of community/family judgement</w:t>
      </w:r>
    </w:p>
    <w:p w14:paraId="7364A54C" w14:textId="77777777" w:rsidR="000F7E56" w:rsidRPr="000F7E56" w:rsidRDefault="000F7E56" w:rsidP="000F7E56">
      <w:pPr>
        <w:widowControl w:val="0"/>
        <w:autoSpaceDE w:val="0"/>
        <w:autoSpaceDN w:val="0"/>
        <w:spacing w:after="120" w:line="360" w:lineRule="auto"/>
        <w:ind w:right="136"/>
        <w:rPr>
          <w:rFonts w:ascii="Calibri" w:eastAsia="Arial" w:hAnsi="Calibri" w:cs="Calibri"/>
          <w:lang w:val="en-US" w:bidi="en-US"/>
        </w:rPr>
      </w:pPr>
      <w:r w:rsidRPr="000F7E56">
        <w:rPr>
          <w:rFonts w:ascii="Calibri" w:eastAsia="Arial" w:hAnsi="Calibri" w:cs="Calibri"/>
          <w:lang w:val="en-US" w:bidi="en-US"/>
        </w:rPr>
        <w:lastRenderedPageBreak/>
        <w:t>“Abhijeet is coming so the house is spotless; my pillows have been plumped and our snacks are plentiful. You would think he was the one we should all be worried about.</w:t>
      </w:r>
    </w:p>
    <w:p w14:paraId="77265110" w14:textId="77777777" w:rsidR="000F7E56" w:rsidRPr="000F7E56" w:rsidRDefault="000F7E56" w:rsidP="000F7E56">
      <w:pPr>
        <w:widowControl w:val="0"/>
        <w:autoSpaceDE w:val="0"/>
        <w:autoSpaceDN w:val="0"/>
        <w:spacing w:after="120" w:line="360" w:lineRule="auto"/>
        <w:ind w:right="136"/>
        <w:rPr>
          <w:rFonts w:ascii="Calibri" w:eastAsia="Arial" w:hAnsi="Calibri" w:cs="Calibri"/>
          <w:lang w:val="en-US" w:bidi="en-US"/>
        </w:rPr>
      </w:pPr>
      <w:r w:rsidRPr="000F7E56">
        <w:rPr>
          <w:rFonts w:ascii="Calibri" w:eastAsia="Arial" w:hAnsi="Calibri" w:cs="Calibri"/>
          <w:lang w:val="en-US" w:bidi="en-US"/>
        </w:rPr>
        <w:t>He’s not been here since our son’s wedding. Where the numbers of guests were less than he expected. ‘And the invitations, brother, if you don’t mind me saying, perhaps a little shabby’. Not since the changes have been made to the house which have helped me move around more easily. It’s impressive, how much help is available if you know how to get it. I just wish I’d known earlier, that there was someone who had told me all of this. Everything has somehow seemed like a challenge, where life can only be made easier if you put the work in first.</w:t>
      </w:r>
    </w:p>
    <w:p w14:paraId="1400C7C7" w14:textId="77777777" w:rsidR="000F7E56" w:rsidRPr="000F7E56" w:rsidRDefault="000F7E56" w:rsidP="000F7E56">
      <w:pPr>
        <w:widowControl w:val="0"/>
        <w:autoSpaceDE w:val="0"/>
        <w:autoSpaceDN w:val="0"/>
        <w:spacing w:after="120" w:line="360" w:lineRule="auto"/>
        <w:ind w:right="136"/>
        <w:rPr>
          <w:rFonts w:ascii="Calibri" w:eastAsia="Arial" w:hAnsi="Calibri" w:cs="Calibri"/>
          <w:lang w:val="en-US" w:bidi="en-US"/>
        </w:rPr>
      </w:pPr>
      <w:r w:rsidRPr="000F7E56">
        <w:rPr>
          <w:rFonts w:ascii="Calibri" w:eastAsia="Arial" w:hAnsi="Calibri" w:cs="Calibri"/>
          <w:lang w:val="en-US" w:bidi="en-US"/>
        </w:rPr>
        <w:t xml:space="preserve">I think my brother will be surprised when he sees me. I should have been more honest about how things are. Maybe </w:t>
      </w:r>
      <w:bookmarkStart w:id="496" w:name="_Hlk89238836"/>
      <w:proofErr w:type="spellStart"/>
      <w:r w:rsidRPr="000F7E56">
        <w:rPr>
          <w:rFonts w:ascii="Calibri" w:eastAsia="Arial" w:hAnsi="Calibri" w:cs="Calibri"/>
          <w:lang w:val="en-US" w:bidi="en-US"/>
        </w:rPr>
        <w:t>Dhanashree</w:t>
      </w:r>
      <w:bookmarkEnd w:id="496"/>
      <w:proofErr w:type="spellEnd"/>
      <w:r w:rsidRPr="000F7E56">
        <w:rPr>
          <w:rFonts w:ascii="Calibri" w:eastAsia="Arial" w:hAnsi="Calibri" w:cs="Calibri"/>
          <w:lang w:val="en-US" w:bidi="en-US"/>
        </w:rPr>
        <w:t xml:space="preserve"> has told Padma the truth, our wives have always got on well together, but it’s not easy to admit what’s happening to me. The pain comes in waves, I want everything to end, and then it washes away and I think all will be well. Even though the endless stream of visitors, all very sympathetic, is a sign that nobody thinks I will last too long.</w:t>
      </w:r>
    </w:p>
    <w:p w14:paraId="7CFCE598" w14:textId="77777777" w:rsidR="000F7E56" w:rsidRPr="000F7E56" w:rsidRDefault="000F7E56" w:rsidP="000F7E56">
      <w:pPr>
        <w:widowControl w:val="0"/>
        <w:autoSpaceDE w:val="0"/>
        <w:autoSpaceDN w:val="0"/>
        <w:spacing w:after="120" w:line="360" w:lineRule="auto"/>
        <w:ind w:right="136"/>
        <w:rPr>
          <w:rFonts w:ascii="Calibri" w:eastAsia="Arial" w:hAnsi="Calibri" w:cs="Calibri"/>
          <w:lang w:val="en-US" w:bidi="en-US"/>
        </w:rPr>
      </w:pPr>
      <w:r w:rsidRPr="000F7E56">
        <w:rPr>
          <w:rFonts w:ascii="Calibri" w:eastAsia="Arial" w:hAnsi="Calibri" w:cs="Calibri"/>
          <w:lang w:val="en-US" w:bidi="en-US"/>
        </w:rPr>
        <w:t xml:space="preserve">I know that </w:t>
      </w:r>
      <w:proofErr w:type="spellStart"/>
      <w:r w:rsidRPr="000F7E56">
        <w:rPr>
          <w:rFonts w:ascii="Calibri" w:eastAsia="Arial" w:hAnsi="Calibri" w:cs="Calibri"/>
          <w:lang w:val="en-US" w:bidi="en-US"/>
        </w:rPr>
        <w:t>Dhanashree</w:t>
      </w:r>
      <w:proofErr w:type="spellEnd"/>
      <w:r w:rsidRPr="000F7E56">
        <w:rPr>
          <w:rFonts w:ascii="Calibri" w:eastAsia="Arial" w:hAnsi="Calibri" w:cs="Calibri"/>
          <w:lang w:val="en-US" w:bidi="en-US"/>
        </w:rPr>
        <w:t xml:space="preserve"> has asked that nobody come today, including my </w:t>
      </w:r>
      <w:proofErr w:type="spellStart"/>
      <w:r w:rsidRPr="000F7E56">
        <w:rPr>
          <w:rFonts w:ascii="Calibri" w:eastAsia="Arial" w:hAnsi="Calibri" w:cs="Calibri"/>
          <w:lang w:val="en-US" w:bidi="en-US"/>
        </w:rPr>
        <w:t>carers</w:t>
      </w:r>
      <w:proofErr w:type="spellEnd"/>
      <w:r w:rsidRPr="000F7E56">
        <w:rPr>
          <w:rFonts w:ascii="Calibri" w:eastAsia="Arial" w:hAnsi="Calibri" w:cs="Calibri"/>
          <w:lang w:val="en-US" w:bidi="en-US"/>
        </w:rPr>
        <w:t xml:space="preserve">. I heard her whispering to them as they left last night. It’s not easy for her. She gets upset about some of the things that are said by the </w:t>
      </w:r>
      <w:proofErr w:type="spellStart"/>
      <w:r w:rsidRPr="000F7E56">
        <w:rPr>
          <w:rFonts w:ascii="Calibri" w:eastAsia="Arial" w:hAnsi="Calibri" w:cs="Calibri"/>
          <w:lang w:val="en-US" w:bidi="en-US"/>
        </w:rPr>
        <w:t>neighbours</w:t>
      </w:r>
      <w:proofErr w:type="spellEnd"/>
      <w:r w:rsidRPr="000F7E56">
        <w:rPr>
          <w:rFonts w:ascii="Calibri" w:eastAsia="Arial" w:hAnsi="Calibri" w:cs="Calibri"/>
          <w:lang w:val="en-US" w:bidi="en-US"/>
        </w:rPr>
        <w:t xml:space="preserve"> and at the temple. About my children not doing all that should be done by the children of sick fathers. About all of the help that we’re getting. When the ramp was put in half the street seemed to come out to watch. And I know my dear wife doesn’t want her brother in law to see </w:t>
      </w:r>
      <w:proofErr w:type="spellStart"/>
      <w:r w:rsidRPr="000F7E56">
        <w:rPr>
          <w:rFonts w:ascii="Calibri" w:eastAsia="Arial" w:hAnsi="Calibri" w:cs="Calibri"/>
          <w:lang w:val="en-US" w:bidi="en-US"/>
        </w:rPr>
        <w:t>carers</w:t>
      </w:r>
      <w:proofErr w:type="spellEnd"/>
      <w:r w:rsidRPr="000F7E56">
        <w:rPr>
          <w:rFonts w:ascii="Calibri" w:eastAsia="Arial" w:hAnsi="Calibri" w:cs="Calibri"/>
          <w:lang w:val="en-US" w:bidi="en-US"/>
        </w:rPr>
        <w:t xml:space="preserve"> here in our house.</w:t>
      </w:r>
    </w:p>
    <w:p w14:paraId="0D01034A" w14:textId="77777777" w:rsidR="000F7E56" w:rsidRPr="000F7E56" w:rsidRDefault="000F7E56" w:rsidP="000F7E56">
      <w:pPr>
        <w:widowControl w:val="0"/>
        <w:autoSpaceDE w:val="0"/>
        <w:autoSpaceDN w:val="0"/>
        <w:spacing w:after="120" w:line="360" w:lineRule="auto"/>
        <w:ind w:right="136"/>
        <w:rPr>
          <w:rFonts w:ascii="Calibri" w:eastAsia="Arial" w:hAnsi="Calibri" w:cs="Calibri"/>
          <w:lang w:val="en-US" w:bidi="en-US"/>
        </w:rPr>
      </w:pPr>
      <w:r w:rsidRPr="000F7E56">
        <w:rPr>
          <w:rFonts w:ascii="Calibri" w:eastAsia="Arial" w:hAnsi="Calibri" w:cs="Calibri"/>
          <w:lang w:val="en-US" w:bidi="en-US"/>
        </w:rPr>
        <w:t>I tell her that there are always those looking to pass judgement, from whatever community you’re from. That after spending months getting flustered trying to keep track of all the different appointments and the endless telephone conversations, always looking for a pen to write down this appointment and that appointment, and this doctor and that doctor, she deserves some assistance now that I’m settled at home. And she does look less tired. Even with all the guests.</w:t>
      </w:r>
    </w:p>
    <w:p w14:paraId="7AE7E627" w14:textId="77777777" w:rsidR="000F7E56" w:rsidRPr="000F7E56" w:rsidRDefault="000F7E56" w:rsidP="000F7E56">
      <w:pPr>
        <w:widowControl w:val="0"/>
        <w:autoSpaceDE w:val="0"/>
        <w:autoSpaceDN w:val="0"/>
        <w:spacing w:after="120" w:line="360" w:lineRule="auto"/>
        <w:ind w:right="136"/>
        <w:rPr>
          <w:rFonts w:ascii="Calibri" w:eastAsia="Arial" w:hAnsi="Calibri" w:cs="Calibri"/>
          <w:lang w:val="en-US" w:bidi="en-US"/>
        </w:rPr>
      </w:pPr>
      <w:r w:rsidRPr="000F7E56">
        <w:rPr>
          <w:rFonts w:ascii="Calibri" w:eastAsia="Arial" w:hAnsi="Calibri" w:cs="Calibri"/>
          <w:lang w:val="en-US" w:bidi="en-US"/>
        </w:rPr>
        <w:t xml:space="preserve">But still she insists that we shouldn’t tell Abhijeet. That he will say – as he will – that this is something that the family must take care of. ‘Don’t you understand brother that if your energies and forces are out of balance then you need to address this rather than lying down and accepting their death warrant. How can these people do what is required so that you can attend the temple with peace of mind? Do they understand </w:t>
      </w:r>
      <w:proofErr w:type="spellStart"/>
      <w:r w:rsidRPr="000F7E56">
        <w:rPr>
          <w:rFonts w:ascii="Calibri" w:eastAsia="Arial" w:hAnsi="Calibri" w:cs="Calibri"/>
          <w:lang w:val="en-US" w:bidi="en-US"/>
        </w:rPr>
        <w:t>Ayuverdic</w:t>
      </w:r>
      <w:proofErr w:type="spellEnd"/>
      <w:r w:rsidRPr="000F7E56">
        <w:rPr>
          <w:rFonts w:ascii="Calibri" w:eastAsia="Arial" w:hAnsi="Calibri" w:cs="Calibri"/>
          <w:lang w:val="en-US" w:bidi="en-US"/>
        </w:rPr>
        <w:t xml:space="preserve"> medicine? Are they providing you with it?’ He</w:t>
      </w:r>
    </w:p>
    <w:p w14:paraId="2D754FD1" w14:textId="77777777" w:rsidR="000F7E56" w:rsidRPr="000F7E56" w:rsidRDefault="000F7E56" w:rsidP="000F7E56">
      <w:pPr>
        <w:widowControl w:val="0"/>
        <w:autoSpaceDE w:val="0"/>
        <w:autoSpaceDN w:val="0"/>
        <w:spacing w:after="120" w:line="360" w:lineRule="auto"/>
        <w:ind w:right="136"/>
        <w:rPr>
          <w:rFonts w:ascii="Calibri" w:eastAsia="Arial" w:hAnsi="Calibri" w:cs="Calibri"/>
          <w:lang w:val="en-US" w:bidi="en-US"/>
        </w:rPr>
      </w:pPr>
      <w:r w:rsidRPr="000F7E56">
        <w:rPr>
          <w:rFonts w:ascii="Calibri" w:eastAsia="Arial" w:hAnsi="Calibri" w:cs="Calibri"/>
          <w:lang w:val="en-US" w:bidi="en-US"/>
        </w:rPr>
        <w:t>will remind us how it reflects on the family. That it will soon be time to find our daughter Garima a husband. That people talk.</w:t>
      </w:r>
    </w:p>
    <w:p w14:paraId="0883E344" w14:textId="41AABC63" w:rsidR="000F7E56" w:rsidRPr="000F7E56" w:rsidRDefault="000F7E56" w:rsidP="000F7E56">
      <w:pPr>
        <w:widowControl w:val="0"/>
        <w:autoSpaceDE w:val="0"/>
        <w:autoSpaceDN w:val="0"/>
        <w:spacing w:after="120" w:line="360" w:lineRule="auto"/>
        <w:ind w:right="136"/>
        <w:rPr>
          <w:rFonts w:ascii="Calibri" w:eastAsia="Arial" w:hAnsi="Calibri" w:cs="Calibri"/>
          <w:lang w:val="en-US" w:bidi="en-US"/>
        </w:rPr>
      </w:pPr>
      <w:r w:rsidRPr="000F7E56">
        <w:rPr>
          <w:rFonts w:ascii="Calibri" w:eastAsia="Arial" w:hAnsi="Calibri" w:cs="Calibri"/>
          <w:lang w:val="en-US" w:bidi="en-US"/>
        </w:rPr>
        <w:t xml:space="preserve">It angers me that </w:t>
      </w:r>
      <w:proofErr w:type="spellStart"/>
      <w:r w:rsidRPr="000F7E56">
        <w:rPr>
          <w:rFonts w:ascii="Calibri" w:eastAsia="Arial" w:hAnsi="Calibri" w:cs="Calibri"/>
          <w:lang w:val="en-US" w:bidi="en-US"/>
        </w:rPr>
        <w:t>Dhanashree</w:t>
      </w:r>
      <w:proofErr w:type="spellEnd"/>
      <w:r w:rsidRPr="000F7E56">
        <w:rPr>
          <w:rFonts w:ascii="Calibri" w:eastAsia="Arial" w:hAnsi="Calibri" w:cs="Calibri"/>
          <w:lang w:val="en-US" w:bidi="en-US"/>
        </w:rPr>
        <w:t xml:space="preserve"> is worried about his judgement. Maybe it’s because he is older. Maybe it’s because he is the successful one and somehow that means we must listen to him, like I have always had to listen to him. </w:t>
      </w:r>
      <w:r w:rsidR="00377F16" w:rsidRPr="000F7E56">
        <w:rPr>
          <w:rFonts w:ascii="Calibri" w:eastAsia="Arial" w:hAnsi="Calibri" w:cs="Calibri"/>
          <w:lang w:val="en-US" w:bidi="en-US"/>
        </w:rPr>
        <w:t>Of course,</w:t>
      </w:r>
      <w:r w:rsidRPr="000F7E56">
        <w:rPr>
          <w:rFonts w:ascii="Calibri" w:eastAsia="Arial" w:hAnsi="Calibri" w:cs="Calibri"/>
          <w:lang w:val="en-US" w:bidi="en-US"/>
        </w:rPr>
        <w:t xml:space="preserve"> now that he’s in Mumbai making piles of money, he will pass his judgements about </w:t>
      </w:r>
      <w:r w:rsidRPr="000F7E56">
        <w:rPr>
          <w:rFonts w:ascii="Calibri" w:eastAsia="Arial" w:hAnsi="Calibri" w:cs="Calibri"/>
          <w:lang w:val="en-US" w:bidi="en-US"/>
        </w:rPr>
        <w:lastRenderedPageBreak/>
        <w:t xml:space="preserve">the way things should be with even greater certainty. Even though it is my daughter who is the Kathak dancer and my son who plays the sarangi alongside her; whilst his kids are as </w:t>
      </w:r>
      <w:proofErr w:type="spellStart"/>
      <w:r w:rsidRPr="000F7E56">
        <w:rPr>
          <w:rFonts w:ascii="Calibri" w:eastAsia="Arial" w:hAnsi="Calibri" w:cs="Calibri"/>
          <w:lang w:val="en-US" w:bidi="en-US"/>
        </w:rPr>
        <w:t>westernised</w:t>
      </w:r>
      <w:proofErr w:type="spellEnd"/>
      <w:r w:rsidRPr="000F7E56">
        <w:rPr>
          <w:rFonts w:ascii="Calibri" w:eastAsia="Arial" w:hAnsi="Calibri" w:cs="Calibri"/>
          <w:lang w:val="en-US" w:bidi="en-US"/>
        </w:rPr>
        <w:t xml:space="preserve"> as they come.</w:t>
      </w:r>
    </w:p>
    <w:p w14:paraId="46B24F1E" w14:textId="77777777" w:rsidR="000F7E56" w:rsidRPr="000F7E56" w:rsidRDefault="000F7E56" w:rsidP="000F7E56">
      <w:pPr>
        <w:widowControl w:val="0"/>
        <w:autoSpaceDE w:val="0"/>
        <w:autoSpaceDN w:val="0"/>
        <w:spacing w:after="120" w:line="360" w:lineRule="auto"/>
        <w:ind w:right="136"/>
        <w:rPr>
          <w:rFonts w:ascii="Calibri" w:eastAsia="Arial" w:hAnsi="Calibri" w:cs="Calibri"/>
          <w:lang w:val="en-US" w:bidi="en-US"/>
        </w:rPr>
      </w:pPr>
      <w:r w:rsidRPr="000F7E56">
        <w:rPr>
          <w:rFonts w:ascii="Calibri" w:eastAsia="Arial" w:hAnsi="Calibri" w:cs="Calibri"/>
          <w:lang w:val="en-US" w:bidi="en-US"/>
        </w:rPr>
        <w:t xml:space="preserve">And why should I spend my last </w:t>
      </w:r>
      <w:proofErr w:type="spellStart"/>
      <w:r w:rsidRPr="000F7E56">
        <w:rPr>
          <w:rFonts w:ascii="Calibri" w:eastAsia="Arial" w:hAnsi="Calibri" w:cs="Calibri"/>
          <w:lang w:val="en-US" w:bidi="en-US"/>
        </w:rPr>
        <w:t>months</w:t>
      </w:r>
      <w:proofErr w:type="spellEnd"/>
      <w:r w:rsidRPr="000F7E56">
        <w:rPr>
          <w:rFonts w:ascii="Calibri" w:eastAsia="Arial" w:hAnsi="Calibri" w:cs="Calibri"/>
          <w:lang w:val="en-US" w:bidi="en-US"/>
        </w:rPr>
        <w:t xml:space="preserve"> watching my son and my daughter giving up their lives for me? I want to see them thrive. I want to imagine them doing well when I have gone.</w:t>
      </w:r>
    </w:p>
    <w:p w14:paraId="4191FA34" w14:textId="77777777" w:rsidR="000F7E56" w:rsidRPr="000F7E56" w:rsidRDefault="000F7E56" w:rsidP="000F7E56">
      <w:pPr>
        <w:widowControl w:val="0"/>
        <w:autoSpaceDE w:val="0"/>
        <w:autoSpaceDN w:val="0"/>
        <w:spacing w:after="120" w:line="360" w:lineRule="auto"/>
        <w:ind w:right="136"/>
        <w:rPr>
          <w:rFonts w:ascii="Calibri" w:eastAsia="Arial" w:hAnsi="Calibri" w:cs="Calibri"/>
          <w:lang w:val="en-US" w:bidi="en-US"/>
        </w:rPr>
      </w:pPr>
      <w:r w:rsidRPr="000F7E56">
        <w:rPr>
          <w:rFonts w:ascii="Calibri" w:eastAsia="Arial" w:hAnsi="Calibri" w:cs="Calibri"/>
          <w:lang w:val="en-US" w:bidi="en-US"/>
        </w:rPr>
        <w:t xml:space="preserve">With Garima there are moments, when I can see her trying to ask what she should do, what I want to happen if … when … I am reaching the end of the road. But she’s young, and it’s not right that she should have to confront such things, even though </w:t>
      </w:r>
      <w:proofErr w:type="spellStart"/>
      <w:r w:rsidRPr="000F7E56">
        <w:rPr>
          <w:rFonts w:ascii="Calibri" w:eastAsia="Arial" w:hAnsi="Calibri" w:cs="Calibri"/>
          <w:lang w:val="en-US" w:bidi="en-US"/>
        </w:rPr>
        <w:t>Dhanashree</w:t>
      </w:r>
      <w:proofErr w:type="spellEnd"/>
      <w:r w:rsidRPr="000F7E56">
        <w:rPr>
          <w:rFonts w:ascii="Calibri" w:eastAsia="Arial" w:hAnsi="Calibri" w:cs="Calibri"/>
          <w:lang w:val="en-US" w:bidi="en-US"/>
        </w:rPr>
        <w:t xml:space="preserve"> will never ask such questions. So it’s down to me to get these things all straight; although I’m not quite sure how.</w:t>
      </w:r>
    </w:p>
    <w:p w14:paraId="18388199" w14:textId="77777777" w:rsidR="000F7E56" w:rsidRPr="000F7E56" w:rsidRDefault="000F7E56" w:rsidP="000F7E56">
      <w:pPr>
        <w:widowControl w:val="0"/>
        <w:autoSpaceDE w:val="0"/>
        <w:autoSpaceDN w:val="0"/>
        <w:spacing w:after="120" w:line="360" w:lineRule="auto"/>
        <w:ind w:right="136"/>
        <w:rPr>
          <w:rFonts w:ascii="Calibri" w:eastAsia="Arial" w:hAnsi="Calibri" w:cs="Calibri"/>
          <w:lang w:val="en-US" w:bidi="en-US"/>
        </w:rPr>
      </w:pPr>
      <w:r w:rsidRPr="000F7E56">
        <w:rPr>
          <w:rFonts w:ascii="Calibri" w:eastAsia="Arial" w:hAnsi="Calibri" w:cs="Calibri"/>
          <w:lang w:val="en-US" w:bidi="en-US"/>
        </w:rPr>
        <w:t>Perhaps Abhijeet will surprise me. Maybe he won’t tell me about a friend in Mumbai who only had a week to live but is now playing in the slips for his local cricket team through sheer force of will.</w:t>
      </w:r>
    </w:p>
    <w:p w14:paraId="4AD082DA" w14:textId="77777777" w:rsidR="000F7E56" w:rsidRPr="000F7E56" w:rsidRDefault="000F7E56" w:rsidP="000F7E56">
      <w:pPr>
        <w:widowControl w:val="0"/>
        <w:autoSpaceDE w:val="0"/>
        <w:autoSpaceDN w:val="0"/>
        <w:spacing w:after="120" w:line="360" w:lineRule="auto"/>
        <w:ind w:right="136"/>
        <w:rPr>
          <w:rFonts w:ascii="Calibri" w:eastAsia="Arial" w:hAnsi="Calibri" w:cs="Calibri"/>
          <w:lang w:val="en-US" w:bidi="en-US"/>
        </w:rPr>
      </w:pPr>
      <w:r w:rsidRPr="000F7E56">
        <w:rPr>
          <w:rFonts w:ascii="Calibri" w:eastAsia="Arial" w:hAnsi="Calibri" w:cs="Calibri"/>
          <w:lang w:val="en-US" w:bidi="en-US"/>
        </w:rPr>
        <w:t xml:space="preserve">Maybe if my </w:t>
      </w:r>
      <w:proofErr w:type="spellStart"/>
      <w:r w:rsidRPr="000F7E56">
        <w:rPr>
          <w:rFonts w:ascii="Calibri" w:eastAsia="Arial" w:hAnsi="Calibri" w:cs="Calibri"/>
          <w:lang w:val="en-US" w:bidi="en-US"/>
        </w:rPr>
        <w:t>carers</w:t>
      </w:r>
      <w:proofErr w:type="spellEnd"/>
      <w:r w:rsidRPr="000F7E56">
        <w:rPr>
          <w:rFonts w:ascii="Calibri" w:eastAsia="Arial" w:hAnsi="Calibri" w:cs="Calibri"/>
          <w:lang w:val="en-US" w:bidi="en-US"/>
        </w:rPr>
        <w:t xml:space="preserve"> did come, he would embrace them and thank them for the work they were doing, the care they are giving.</w:t>
      </w:r>
    </w:p>
    <w:p w14:paraId="3C38CED8" w14:textId="62F44C9C" w:rsidR="000F7E56" w:rsidRDefault="000F7E56" w:rsidP="000F7E56">
      <w:pPr>
        <w:widowControl w:val="0"/>
        <w:autoSpaceDE w:val="0"/>
        <w:autoSpaceDN w:val="0"/>
        <w:spacing w:after="120" w:line="360" w:lineRule="auto"/>
        <w:ind w:right="136"/>
        <w:rPr>
          <w:rFonts w:ascii="Calibri" w:eastAsia="Arial" w:hAnsi="Calibri" w:cs="Calibri"/>
          <w:lang w:val="en-US" w:bidi="en-US"/>
        </w:rPr>
      </w:pPr>
      <w:r w:rsidRPr="000F7E56">
        <w:rPr>
          <w:rFonts w:ascii="Calibri" w:eastAsia="Arial" w:hAnsi="Calibri" w:cs="Calibri"/>
          <w:lang w:val="en-US" w:bidi="en-US"/>
        </w:rPr>
        <w:t>Maybe he will come to the hospice with me when I go there next week for the first time. I think that is what I really want right now. For him to come with me. For my brother to be there with me.”</w:t>
      </w:r>
    </w:p>
    <w:p w14:paraId="512BF395" w14:textId="77777777" w:rsidR="00223FE3" w:rsidRPr="000F7E56" w:rsidRDefault="00223FE3" w:rsidP="000F7E56">
      <w:pPr>
        <w:widowControl w:val="0"/>
        <w:autoSpaceDE w:val="0"/>
        <w:autoSpaceDN w:val="0"/>
        <w:spacing w:after="120" w:line="360" w:lineRule="auto"/>
        <w:ind w:right="136"/>
        <w:rPr>
          <w:rFonts w:ascii="Calibri" w:eastAsia="Arial" w:hAnsi="Calibri" w:cs="Calibri"/>
          <w:lang w:val="en-US" w:bidi="en-US"/>
        </w:rPr>
      </w:pPr>
    </w:p>
    <w:p w14:paraId="6A6412A7" w14:textId="77777777" w:rsidR="000F7E56" w:rsidRPr="000F7E56" w:rsidRDefault="000F7E56" w:rsidP="000F7E56">
      <w:pPr>
        <w:widowControl w:val="0"/>
        <w:autoSpaceDE w:val="0"/>
        <w:autoSpaceDN w:val="0"/>
        <w:spacing w:after="120" w:line="360" w:lineRule="auto"/>
        <w:ind w:right="136"/>
        <w:rPr>
          <w:rFonts w:ascii="Calibri" w:eastAsia="Arial" w:hAnsi="Calibri" w:cs="Calibri"/>
          <w:b/>
          <w:bCs/>
          <w:lang w:val="en-US" w:bidi="en-US"/>
        </w:rPr>
      </w:pPr>
      <w:proofErr w:type="spellStart"/>
      <w:r w:rsidRPr="000F7E56">
        <w:rPr>
          <w:rFonts w:ascii="Calibri" w:eastAsia="Arial" w:hAnsi="Calibri" w:cs="Calibri"/>
          <w:b/>
          <w:bCs/>
          <w:lang w:val="en-US" w:bidi="en-US"/>
        </w:rPr>
        <w:t>Lanfen</w:t>
      </w:r>
      <w:proofErr w:type="spellEnd"/>
    </w:p>
    <w:p w14:paraId="1C2C76DF" w14:textId="77777777" w:rsidR="000F7E56" w:rsidRPr="00377F16" w:rsidRDefault="000F7E56" w:rsidP="000F7E56">
      <w:pPr>
        <w:widowControl w:val="0"/>
        <w:autoSpaceDE w:val="0"/>
        <w:autoSpaceDN w:val="0"/>
        <w:spacing w:after="120" w:line="360" w:lineRule="auto"/>
        <w:ind w:right="136"/>
        <w:rPr>
          <w:rFonts w:ascii="Calibri" w:eastAsia="Arial" w:hAnsi="Calibri" w:cs="Calibri"/>
          <w:i/>
          <w:lang w:val="en-US" w:bidi="en-US"/>
        </w:rPr>
      </w:pPr>
      <w:proofErr w:type="spellStart"/>
      <w:r w:rsidRPr="000F7E56">
        <w:rPr>
          <w:rFonts w:ascii="Calibri" w:eastAsia="Arial" w:hAnsi="Calibri" w:cs="Calibri"/>
          <w:lang w:val="en-US" w:bidi="en-US"/>
        </w:rPr>
        <w:t>Lanfen</w:t>
      </w:r>
      <w:proofErr w:type="spellEnd"/>
      <w:r w:rsidRPr="000F7E56">
        <w:rPr>
          <w:rFonts w:ascii="Calibri" w:eastAsia="Arial" w:hAnsi="Calibri" w:cs="Calibri"/>
          <w:lang w:val="en-US" w:bidi="en-US"/>
        </w:rPr>
        <w:t xml:space="preserve"> is a Chinese musician who is at a Hospice Day Centre where she has unexpectedly made friends with Jim.</w:t>
      </w:r>
    </w:p>
    <w:p w14:paraId="70D9198F" w14:textId="77777777" w:rsidR="000F7E56" w:rsidRPr="00377F16" w:rsidRDefault="000F7E56" w:rsidP="000F7E56">
      <w:pPr>
        <w:widowControl w:val="0"/>
        <w:autoSpaceDE w:val="0"/>
        <w:autoSpaceDN w:val="0"/>
        <w:spacing w:after="120" w:line="360" w:lineRule="auto"/>
        <w:ind w:right="136"/>
        <w:rPr>
          <w:rFonts w:ascii="Calibri" w:eastAsia="Arial" w:hAnsi="Calibri" w:cs="Calibri"/>
          <w:bCs/>
          <w:i/>
          <w:lang w:val="en-US" w:bidi="en-US"/>
        </w:rPr>
      </w:pPr>
      <w:r w:rsidRPr="00377F16">
        <w:rPr>
          <w:rFonts w:ascii="Calibri" w:eastAsia="Arial" w:hAnsi="Calibri" w:cs="Calibri"/>
          <w:i/>
          <w:lang w:val="en-US" w:bidi="en-US"/>
        </w:rPr>
        <w:t xml:space="preserve">Key themes: </w:t>
      </w:r>
      <w:r w:rsidRPr="00377F16">
        <w:rPr>
          <w:rFonts w:ascii="Calibri" w:eastAsia="Arial" w:hAnsi="Calibri" w:cs="Calibri"/>
          <w:bCs/>
          <w:i/>
          <w:lang w:val="en-US" w:bidi="en-US"/>
        </w:rPr>
        <w:t>Being seen/known: Don’t make assumptions about heritage and actions/preferences</w:t>
      </w:r>
    </w:p>
    <w:p w14:paraId="53B666E7" w14:textId="77777777" w:rsidR="000F7E56" w:rsidRPr="000F7E56" w:rsidRDefault="000F7E56" w:rsidP="000F7E56">
      <w:pPr>
        <w:widowControl w:val="0"/>
        <w:autoSpaceDE w:val="0"/>
        <w:autoSpaceDN w:val="0"/>
        <w:spacing w:after="120" w:line="360" w:lineRule="auto"/>
        <w:ind w:right="136"/>
        <w:rPr>
          <w:rFonts w:ascii="Calibri" w:eastAsia="Arial" w:hAnsi="Calibri" w:cs="Calibri"/>
          <w:lang w:val="en-US" w:bidi="en-US"/>
        </w:rPr>
      </w:pPr>
      <w:r w:rsidRPr="000F7E56">
        <w:rPr>
          <w:rFonts w:ascii="Calibri" w:eastAsia="Arial" w:hAnsi="Calibri" w:cs="Calibri"/>
          <w:lang w:val="en-US" w:bidi="en-US"/>
        </w:rPr>
        <w:t xml:space="preserve">“I know what Jim is going to say when I see him. ‘Have you been playing </w:t>
      </w:r>
      <w:proofErr w:type="spellStart"/>
      <w:r w:rsidRPr="000F7E56">
        <w:rPr>
          <w:rFonts w:ascii="Calibri" w:eastAsia="Arial" w:hAnsi="Calibri" w:cs="Calibri"/>
          <w:lang w:val="en-US" w:bidi="en-US"/>
        </w:rPr>
        <w:t>Lanfen</w:t>
      </w:r>
      <w:proofErr w:type="spellEnd"/>
      <w:r w:rsidRPr="000F7E56">
        <w:rPr>
          <w:rFonts w:ascii="Calibri" w:eastAsia="Arial" w:hAnsi="Calibri" w:cs="Calibri"/>
          <w:lang w:val="en-US" w:bidi="en-US"/>
        </w:rPr>
        <w:t>? You know that if we don’t keep playing, we may as well give up the ghost’.</w:t>
      </w:r>
    </w:p>
    <w:p w14:paraId="179691C0" w14:textId="77777777" w:rsidR="000F7E56" w:rsidRPr="000F7E56" w:rsidRDefault="000F7E56" w:rsidP="000F7E56">
      <w:pPr>
        <w:widowControl w:val="0"/>
        <w:autoSpaceDE w:val="0"/>
        <w:autoSpaceDN w:val="0"/>
        <w:spacing w:after="120" w:line="360" w:lineRule="auto"/>
        <w:ind w:right="136"/>
        <w:rPr>
          <w:rFonts w:ascii="Calibri" w:eastAsia="Arial" w:hAnsi="Calibri" w:cs="Calibri"/>
          <w:lang w:val="en-US" w:bidi="en-US"/>
        </w:rPr>
      </w:pPr>
      <w:r w:rsidRPr="000F7E56">
        <w:rPr>
          <w:rFonts w:ascii="Calibri" w:eastAsia="Arial" w:hAnsi="Calibri" w:cs="Calibri"/>
          <w:lang w:val="en-US" w:bidi="en-US"/>
        </w:rPr>
        <w:t xml:space="preserve">We have promised each other that we will do a duet at the hospice. But we still haven’t done it and Jim is not looking too good. I was telling him that he needed to get better so we could start </w:t>
      </w:r>
      <w:proofErr w:type="spellStart"/>
      <w:r w:rsidRPr="000F7E56">
        <w:rPr>
          <w:rFonts w:ascii="Calibri" w:eastAsia="Arial" w:hAnsi="Calibri" w:cs="Calibri"/>
          <w:lang w:val="en-US" w:bidi="en-US"/>
        </w:rPr>
        <w:t>practising</w:t>
      </w:r>
      <w:proofErr w:type="spellEnd"/>
      <w:r w:rsidRPr="000F7E56">
        <w:rPr>
          <w:rFonts w:ascii="Calibri" w:eastAsia="Arial" w:hAnsi="Calibri" w:cs="Calibri"/>
          <w:lang w:val="en-US" w:bidi="en-US"/>
        </w:rPr>
        <w:t xml:space="preserve"> but I’ve stopped doing that.</w:t>
      </w:r>
    </w:p>
    <w:p w14:paraId="06622076" w14:textId="77777777" w:rsidR="000F7E56" w:rsidRPr="000F7E56" w:rsidRDefault="000F7E56" w:rsidP="000F7E56">
      <w:pPr>
        <w:widowControl w:val="0"/>
        <w:autoSpaceDE w:val="0"/>
        <w:autoSpaceDN w:val="0"/>
        <w:spacing w:after="120" w:line="360" w:lineRule="auto"/>
        <w:ind w:right="136"/>
        <w:rPr>
          <w:rFonts w:ascii="Calibri" w:eastAsia="Arial" w:hAnsi="Calibri" w:cs="Calibri"/>
          <w:lang w:val="en-US" w:bidi="en-US"/>
        </w:rPr>
      </w:pPr>
      <w:r w:rsidRPr="000F7E56">
        <w:rPr>
          <w:rFonts w:ascii="Calibri" w:eastAsia="Arial" w:hAnsi="Calibri" w:cs="Calibri"/>
          <w:lang w:val="en-US" w:bidi="en-US"/>
        </w:rPr>
        <w:t>I thought I was too young to go there. That I didn’t want to be sitting with the kinds of people that found themselves trapped in a place like that. That there wouldn’t be anybody there like me to talk to. That just because you’re alone it doesn’t mean you’re lonely.</w:t>
      </w:r>
    </w:p>
    <w:p w14:paraId="7D83FAB2" w14:textId="77777777" w:rsidR="000F7E56" w:rsidRPr="000F7E56" w:rsidRDefault="000F7E56" w:rsidP="000F7E56">
      <w:pPr>
        <w:widowControl w:val="0"/>
        <w:autoSpaceDE w:val="0"/>
        <w:autoSpaceDN w:val="0"/>
        <w:spacing w:after="120" w:line="360" w:lineRule="auto"/>
        <w:ind w:right="136"/>
        <w:rPr>
          <w:rFonts w:ascii="Calibri" w:eastAsia="Arial" w:hAnsi="Calibri" w:cs="Calibri"/>
          <w:lang w:val="en-US" w:bidi="en-US"/>
        </w:rPr>
      </w:pPr>
      <w:r w:rsidRPr="000F7E56">
        <w:rPr>
          <w:rFonts w:ascii="Calibri" w:eastAsia="Arial" w:hAnsi="Calibri" w:cs="Calibri"/>
          <w:lang w:val="en-US" w:bidi="en-US"/>
        </w:rPr>
        <w:t>But if you don’t have any children at a time like this, or anyone at home to keep an eye on things, then they worry. So I did. Just so I could say ‘yes Doctor I tried it, but I’m not sure I’ll go back’.</w:t>
      </w:r>
    </w:p>
    <w:p w14:paraId="4B3588D5" w14:textId="77777777" w:rsidR="000F7E56" w:rsidRPr="000F7E56" w:rsidRDefault="000F7E56" w:rsidP="000F7E56">
      <w:pPr>
        <w:widowControl w:val="0"/>
        <w:autoSpaceDE w:val="0"/>
        <w:autoSpaceDN w:val="0"/>
        <w:spacing w:after="120" w:line="360" w:lineRule="auto"/>
        <w:ind w:right="136"/>
        <w:rPr>
          <w:rFonts w:ascii="Calibri" w:eastAsia="Arial" w:hAnsi="Calibri" w:cs="Calibri"/>
          <w:lang w:val="en-US" w:bidi="en-US"/>
        </w:rPr>
      </w:pPr>
      <w:r w:rsidRPr="000F7E56">
        <w:rPr>
          <w:rFonts w:ascii="Calibri" w:eastAsia="Arial" w:hAnsi="Calibri" w:cs="Calibri"/>
          <w:lang w:val="en-US" w:bidi="en-US"/>
        </w:rPr>
        <w:t xml:space="preserve">And within half an hour I met Jim and we found out we were both musicians and we hit it off. And I did go </w:t>
      </w:r>
      <w:r w:rsidRPr="000F7E56">
        <w:rPr>
          <w:rFonts w:ascii="Calibri" w:eastAsia="Arial" w:hAnsi="Calibri" w:cs="Calibri"/>
          <w:lang w:val="en-US" w:bidi="en-US"/>
        </w:rPr>
        <w:lastRenderedPageBreak/>
        <w:t>back.</w:t>
      </w:r>
    </w:p>
    <w:p w14:paraId="5FCF2B1E" w14:textId="77777777" w:rsidR="000F7E56" w:rsidRPr="000F7E56" w:rsidRDefault="000F7E56" w:rsidP="000F7E56">
      <w:pPr>
        <w:widowControl w:val="0"/>
        <w:autoSpaceDE w:val="0"/>
        <w:autoSpaceDN w:val="0"/>
        <w:spacing w:after="120" w:line="360" w:lineRule="auto"/>
        <w:ind w:right="136"/>
        <w:rPr>
          <w:rFonts w:ascii="Calibri" w:eastAsia="Arial" w:hAnsi="Calibri" w:cs="Calibri"/>
          <w:lang w:val="en-US" w:bidi="en-US"/>
        </w:rPr>
      </w:pPr>
      <w:r w:rsidRPr="000F7E56">
        <w:rPr>
          <w:rFonts w:ascii="Calibri" w:eastAsia="Arial" w:hAnsi="Calibri" w:cs="Calibri"/>
          <w:lang w:val="en-US" w:bidi="en-US"/>
        </w:rPr>
        <w:t>There was a week or two when he didn’t show up. I was more worried about him than I’ve ever been about myself. I played the erhu a lot then. And although I didn’t really enjoy it when he wasn’t there, I had to keep going to make sure he would come back. And he did. He looked terrible. We all do.</w:t>
      </w:r>
    </w:p>
    <w:p w14:paraId="29B612A3" w14:textId="77777777" w:rsidR="000F7E56" w:rsidRPr="000F7E56" w:rsidRDefault="000F7E56" w:rsidP="000F7E56">
      <w:pPr>
        <w:widowControl w:val="0"/>
        <w:autoSpaceDE w:val="0"/>
        <w:autoSpaceDN w:val="0"/>
        <w:spacing w:after="120" w:line="360" w:lineRule="auto"/>
        <w:ind w:right="136"/>
        <w:rPr>
          <w:rFonts w:ascii="Calibri" w:eastAsia="Arial" w:hAnsi="Calibri" w:cs="Calibri"/>
          <w:lang w:val="en-US" w:bidi="en-US"/>
        </w:rPr>
      </w:pPr>
      <w:r w:rsidRPr="000F7E56">
        <w:rPr>
          <w:rFonts w:ascii="Calibri" w:eastAsia="Arial" w:hAnsi="Calibri" w:cs="Calibri"/>
          <w:lang w:val="en-US" w:bidi="en-US"/>
        </w:rPr>
        <w:t>I’ve told my doctor I don’t want to know what they think is going to happen to me. I don’t trust them anyway. My sister died two weeks after an operation she was told would add years to her life.</w:t>
      </w:r>
    </w:p>
    <w:p w14:paraId="48F5D0E7" w14:textId="77777777" w:rsidR="000F7E56" w:rsidRPr="000F7E56" w:rsidRDefault="000F7E56" w:rsidP="000F7E56">
      <w:pPr>
        <w:widowControl w:val="0"/>
        <w:autoSpaceDE w:val="0"/>
        <w:autoSpaceDN w:val="0"/>
        <w:spacing w:after="120" w:line="360" w:lineRule="auto"/>
        <w:ind w:right="136"/>
        <w:rPr>
          <w:rFonts w:ascii="Calibri" w:eastAsia="Arial" w:hAnsi="Calibri" w:cs="Calibri"/>
          <w:lang w:val="en-US" w:bidi="en-US"/>
        </w:rPr>
      </w:pPr>
      <w:r w:rsidRPr="000F7E56">
        <w:rPr>
          <w:rFonts w:ascii="Calibri" w:eastAsia="Arial" w:hAnsi="Calibri" w:cs="Calibri"/>
          <w:lang w:val="en-US" w:bidi="en-US"/>
        </w:rPr>
        <w:t>And everybody knows the health system is a mess. But I know I’m not an easy patient. It took me months to agree to having help at the flat. Who needs strangers coming in and telling you what you should or shouldn’t be doing? It doesn’t matter if a habit is good or bad, it’s staying and that’s that.</w:t>
      </w:r>
    </w:p>
    <w:p w14:paraId="195C1805" w14:textId="77777777" w:rsidR="000F7E56" w:rsidRPr="000F7E56" w:rsidRDefault="000F7E56" w:rsidP="000F7E56">
      <w:pPr>
        <w:widowControl w:val="0"/>
        <w:autoSpaceDE w:val="0"/>
        <w:autoSpaceDN w:val="0"/>
        <w:spacing w:after="120" w:line="360" w:lineRule="auto"/>
        <w:ind w:right="136"/>
        <w:rPr>
          <w:rFonts w:ascii="Calibri" w:eastAsia="Arial" w:hAnsi="Calibri" w:cs="Calibri"/>
          <w:lang w:val="en-US" w:bidi="en-US"/>
        </w:rPr>
      </w:pPr>
      <w:r w:rsidRPr="000F7E56">
        <w:rPr>
          <w:rFonts w:ascii="Calibri" w:eastAsia="Arial" w:hAnsi="Calibri" w:cs="Calibri"/>
          <w:lang w:val="en-US" w:bidi="en-US"/>
        </w:rPr>
        <w:t>They come now though. After so many visits to the hospital, some of which might have been avoided if I hadn’t been so stubborn, I finally agreed. But they know not to judge, and they never tell me what to do. They tried once and learnt.</w:t>
      </w:r>
    </w:p>
    <w:p w14:paraId="7D123315" w14:textId="77777777" w:rsidR="000F7E56" w:rsidRDefault="000F7E56" w:rsidP="000F7E56">
      <w:pPr>
        <w:widowControl w:val="0"/>
        <w:autoSpaceDE w:val="0"/>
        <w:autoSpaceDN w:val="0"/>
        <w:spacing w:after="120" w:line="360" w:lineRule="auto"/>
        <w:ind w:right="136"/>
        <w:rPr>
          <w:rFonts w:ascii="Calibri" w:eastAsia="Arial" w:hAnsi="Calibri" w:cs="Calibri"/>
          <w:lang w:val="en-US" w:bidi="en-US"/>
        </w:rPr>
      </w:pPr>
      <w:r w:rsidRPr="000F7E56">
        <w:rPr>
          <w:rFonts w:ascii="Calibri" w:eastAsia="Arial" w:hAnsi="Calibri" w:cs="Calibri"/>
          <w:lang w:val="en-US" w:bidi="en-US"/>
        </w:rPr>
        <w:t xml:space="preserve">My mother was a Buddhist who spent her last days breathing and meditating through her illness but that’s not for me. I have decided to just carry on living as best as I can, for as long as possible. Anyway I’m not dying yet, I’m just very ill. I can still get a tune out of myself some days. </w:t>
      </w:r>
    </w:p>
    <w:p w14:paraId="3E3EA078" w14:textId="77777777" w:rsidR="000F7E56" w:rsidRPr="000F7E56" w:rsidRDefault="000F7E56" w:rsidP="000F7E56">
      <w:pPr>
        <w:widowControl w:val="0"/>
        <w:autoSpaceDE w:val="0"/>
        <w:autoSpaceDN w:val="0"/>
        <w:spacing w:after="120" w:line="360" w:lineRule="auto"/>
        <w:ind w:right="136"/>
        <w:rPr>
          <w:rFonts w:ascii="Calibri" w:eastAsia="Arial" w:hAnsi="Calibri" w:cs="Calibri"/>
          <w:lang w:val="en-US" w:bidi="en-US"/>
        </w:rPr>
      </w:pPr>
      <w:r w:rsidRPr="000F7E56">
        <w:rPr>
          <w:rFonts w:ascii="Calibri" w:eastAsia="Arial" w:hAnsi="Calibri" w:cs="Calibri"/>
          <w:lang w:val="en-US" w:bidi="en-US"/>
        </w:rPr>
        <w:t>I need to be able to keep taking risks, that’s what Jim understands and nobody else does. It’s not some stupid Chinese thing – ‘oh you know how they love their gambling! – it’s a musician thing.</w:t>
      </w:r>
    </w:p>
    <w:p w14:paraId="039EEE8B" w14:textId="77777777" w:rsidR="000F7E56" w:rsidRPr="000F7E56" w:rsidRDefault="000F7E56" w:rsidP="000F7E56">
      <w:pPr>
        <w:widowControl w:val="0"/>
        <w:autoSpaceDE w:val="0"/>
        <w:autoSpaceDN w:val="0"/>
        <w:spacing w:after="120" w:line="360" w:lineRule="auto"/>
        <w:ind w:right="136"/>
        <w:rPr>
          <w:rFonts w:ascii="Calibri" w:eastAsia="Arial" w:hAnsi="Calibri" w:cs="Calibri"/>
          <w:lang w:val="en-US" w:bidi="en-US"/>
        </w:rPr>
      </w:pPr>
      <w:r w:rsidRPr="000F7E56">
        <w:rPr>
          <w:rFonts w:ascii="Calibri" w:eastAsia="Arial" w:hAnsi="Calibri" w:cs="Calibri"/>
          <w:lang w:val="en-US" w:bidi="en-US"/>
        </w:rPr>
        <w:t>All good musicians know you have to take risks to discover anything; it’s in those discoveries, however small they are, where life is lived.</w:t>
      </w:r>
    </w:p>
    <w:p w14:paraId="033200E6" w14:textId="77777777" w:rsidR="000F7E56" w:rsidRPr="000F7E56" w:rsidRDefault="000F7E56" w:rsidP="000F7E56">
      <w:pPr>
        <w:widowControl w:val="0"/>
        <w:autoSpaceDE w:val="0"/>
        <w:autoSpaceDN w:val="0"/>
        <w:spacing w:after="120" w:line="360" w:lineRule="auto"/>
        <w:ind w:right="136"/>
        <w:rPr>
          <w:rFonts w:ascii="Calibri" w:eastAsia="Arial" w:hAnsi="Calibri" w:cs="Calibri"/>
          <w:lang w:val="en-US" w:bidi="en-US"/>
        </w:rPr>
      </w:pPr>
      <w:r w:rsidRPr="000F7E56">
        <w:rPr>
          <w:rFonts w:ascii="Calibri" w:eastAsia="Arial" w:hAnsi="Calibri" w:cs="Calibri"/>
          <w:lang w:val="en-US" w:bidi="en-US"/>
        </w:rPr>
        <w:t>But I’m not sure what risks I can take any more. It’s all so confusing. All I do know is that Jim is right, you have to keep playing. I know we’re not going to do a concert together; I’m not stupid. I know it won’t be long before he doesn’t show up and never returns however much I hope he will. But I don’t know when he’s gone who is going to keep me going rather than smothering me with all these things that are here to help me. I don’t know where I’ll find the space to breathe.</w:t>
      </w:r>
    </w:p>
    <w:p w14:paraId="30592616" w14:textId="77777777" w:rsidR="000F7E56" w:rsidRPr="000F7E56" w:rsidRDefault="000F7E56" w:rsidP="000F7E56">
      <w:pPr>
        <w:widowControl w:val="0"/>
        <w:autoSpaceDE w:val="0"/>
        <w:autoSpaceDN w:val="0"/>
        <w:spacing w:after="120" w:line="360" w:lineRule="auto"/>
        <w:ind w:right="136"/>
        <w:rPr>
          <w:rFonts w:ascii="Calibri" w:eastAsia="Arial" w:hAnsi="Calibri" w:cs="Calibri"/>
          <w:lang w:val="en-US" w:bidi="en-US"/>
        </w:rPr>
      </w:pPr>
      <w:r w:rsidRPr="000F7E56">
        <w:rPr>
          <w:rFonts w:ascii="Calibri" w:eastAsia="Arial" w:hAnsi="Calibri" w:cs="Calibri"/>
          <w:lang w:val="en-US" w:bidi="en-US"/>
        </w:rPr>
        <w:t>You look at all the pills and you wonder. Are they keeping you alive or are they stopping you living?</w:t>
      </w:r>
    </w:p>
    <w:p w14:paraId="6716EC1D" w14:textId="77777777" w:rsidR="000F7E56" w:rsidRDefault="000F7E56" w:rsidP="000F7E56">
      <w:pPr>
        <w:widowControl w:val="0"/>
        <w:autoSpaceDE w:val="0"/>
        <w:autoSpaceDN w:val="0"/>
        <w:spacing w:after="120" w:line="360" w:lineRule="auto"/>
        <w:ind w:right="136"/>
        <w:rPr>
          <w:rFonts w:ascii="Calibri" w:eastAsia="Arial" w:hAnsi="Calibri" w:cs="Calibri"/>
          <w:lang w:val="en-US" w:bidi="en-US"/>
        </w:rPr>
      </w:pPr>
      <w:r w:rsidRPr="000F7E56">
        <w:rPr>
          <w:rFonts w:ascii="Calibri" w:eastAsia="Arial" w:hAnsi="Calibri" w:cs="Calibri"/>
          <w:lang w:val="en-US" w:bidi="en-US"/>
        </w:rPr>
        <w:t>Maybe I should take my erhu in today and play something for him, however awful it might sound. But it wouldn’t. I would rise to the challenge. I always do.”</w:t>
      </w:r>
    </w:p>
    <w:p w14:paraId="756D085F" w14:textId="77777777" w:rsidR="000F7E56" w:rsidRPr="000F7E56" w:rsidRDefault="000F7E56" w:rsidP="000F7E56">
      <w:pPr>
        <w:widowControl w:val="0"/>
        <w:autoSpaceDE w:val="0"/>
        <w:autoSpaceDN w:val="0"/>
        <w:spacing w:after="120" w:line="360" w:lineRule="auto"/>
        <w:ind w:right="136"/>
        <w:rPr>
          <w:rFonts w:ascii="Calibri" w:eastAsia="Arial" w:hAnsi="Calibri" w:cs="Calibri"/>
          <w:lang w:val="en-US" w:bidi="en-US"/>
        </w:rPr>
      </w:pPr>
    </w:p>
    <w:p w14:paraId="72E71DAB" w14:textId="77777777" w:rsidR="000F7E56" w:rsidRPr="000F7E56" w:rsidRDefault="000F7E56" w:rsidP="000F7E56">
      <w:pPr>
        <w:widowControl w:val="0"/>
        <w:autoSpaceDE w:val="0"/>
        <w:autoSpaceDN w:val="0"/>
        <w:spacing w:after="120" w:line="360" w:lineRule="auto"/>
        <w:ind w:right="136"/>
        <w:rPr>
          <w:rFonts w:ascii="Calibri" w:eastAsia="Arial" w:hAnsi="Calibri" w:cs="Calibri"/>
          <w:b/>
          <w:bCs/>
          <w:lang w:val="en-US" w:bidi="en-US"/>
        </w:rPr>
      </w:pPr>
      <w:r w:rsidRPr="000F7E56">
        <w:rPr>
          <w:rFonts w:ascii="Calibri" w:eastAsia="Arial" w:hAnsi="Calibri" w:cs="Calibri"/>
          <w:b/>
          <w:bCs/>
          <w:lang w:val="en-US" w:bidi="en-US"/>
        </w:rPr>
        <w:t>Tawanda</w:t>
      </w:r>
    </w:p>
    <w:p w14:paraId="276A1E63" w14:textId="77777777" w:rsidR="000F7E56" w:rsidRPr="000F7E56" w:rsidRDefault="000F7E56" w:rsidP="000F7E56">
      <w:pPr>
        <w:widowControl w:val="0"/>
        <w:autoSpaceDE w:val="0"/>
        <w:autoSpaceDN w:val="0"/>
        <w:spacing w:after="120" w:line="360" w:lineRule="auto"/>
        <w:ind w:right="136"/>
        <w:rPr>
          <w:rFonts w:ascii="Calibri" w:eastAsia="Arial" w:hAnsi="Calibri" w:cs="Calibri"/>
          <w:lang w:val="en-US" w:bidi="en-US"/>
        </w:rPr>
      </w:pPr>
      <w:r w:rsidRPr="000F7E56">
        <w:rPr>
          <w:rFonts w:ascii="Calibri" w:eastAsia="Arial" w:hAnsi="Calibri" w:cs="Calibri"/>
          <w:lang w:val="en-US" w:bidi="en-US"/>
        </w:rPr>
        <w:t xml:space="preserve">Tawanda, a Zimbabwean man with a strong Christian faith and great love of football is dying from cancer.  He lives with his wife </w:t>
      </w:r>
      <w:proofErr w:type="spellStart"/>
      <w:r w:rsidRPr="000F7E56">
        <w:rPr>
          <w:rFonts w:ascii="Calibri" w:eastAsia="Arial" w:hAnsi="Calibri" w:cs="Calibri"/>
          <w:lang w:val="en-US" w:bidi="en-US"/>
        </w:rPr>
        <w:t>Chibuzo</w:t>
      </w:r>
      <w:proofErr w:type="spellEnd"/>
      <w:r w:rsidRPr="000F7E56">
        <w:rPr>
          <w:rFonts w:ascii="Calibri" w:eastAsia="Arial" w:hAnsi="Calibri" w:cs="Calibri"/>
          <w:lang w:val="en-US" w:bidi="en-US"/>
        </w:rPr>
        <w:t>.</w:t>
      </w:r>
    </w:p>
    <w:p w14:paraId="2D1C79C8" w14:textId="19672BB5" w:rsidR="000F7E56" w:rsidRPr="00223FE3" w:rsidRDefault="000F7E56" w:rsidP="000F7E56">
      <w:pPr>
        <w:widowControl w:val="0"/>
        <w:autoSpaceDE w:val="0"/>
        <w:autoSpaceDN w:val="0"/>
        <w:spacing w:after="120" w:line="360" w:lineRule="auto"/>
        <w:ind w:right="136"/>
        <w:rPr>
          <w:rFonts w:ascii="Calibri" w:eastAsia="Arial" w:hAnsi="Calibri" w:cs="Calibri"/>
          <w:bCs/>
          <w:i/>
          <w:lang w:val="en-US" w:bidi="en-US"/>
        </w:rPr>
      </w:pPr>
      <w:r w:rsidRPr="00223FE3">
        <w:rPr>
          <w:rFonts w:ascii="Calibri" w:eastAsia="Arial" w:hAnsi="Calibri" w:cs="Calibri"/>
          <w:i/>
          <w:lang w:val="en-US" w:bidi="en-US"/>
        </w:rPr>
        <w:lastRenderedPageBreak/>
        <w:t xml:space="preserve">Key themes: </w:t>
      </w:r>
      <w:r w:rsidRPr="00223FE3">
        <w:rPr>
          <w:rFonts w:ascii="Calibri" w:eastAsia="Arial" w:hAnsi="Calibri" w:cs="Calibri"/>
          <w:bCs/>
          <w:i/>
          <w:lang w:val="en-US" w:bidi="en-US"/>
        </w:rPr>
        <w:t>Ambivalence in discussing/relevance of planning to life approach. Faith- God’s will not mine.  Sustaining hope/ collusion. Community pressure</w:t>
      </w:r>
      <w:r w:rsidR="00223FE3" w:rsidRPr="00223FE3">
        <w:rPr>
          <w:rFonts w:ascii="Calibri" w:eastAsia="Arial" w:hAnsi="Calibri" w:cs="Calibri"/>
          <w:bCs/>
          <w:i/>
          <w:lang w:val="en-US" w:bidi="en-US"/>
        </w:rPr>
        <w:t>.</w:t>
      </w:r>
    </w:p>
    <w:p w14:paraId="3878C1E0" w14:textId="77777777" w:rsidR="000F7E56" w:rsidRPr="000F7E56" w:rsidRDefault="000F7E56" w:rsidP="000F7E56">
      <w:pPr>
        <w:widowControl w:val="0"/>
        <w:autoSpaceDE w:val="0"/>
        <w:autoSpaceDN w:val="0"/>
        <w:spacing w:after="120" w:line="360" w:lineRule="auto"/>
        <w:ind w:right="136"/>
        <w:rPr>
          <w:rFonts w:ascii="Calibri" w:eastAsia="Arial" w:hAnsi="Calibri" w:cs="Calibri"/>
          <w:lang w:val="en-US" w:bidi="en-US"/>
        </w:rPr>
      </w:pPr>
      <w:r w:rsidRPr="000F7E56">
        <w:rPr>
          <w:rFonts w:ascii="Calibri" w:eastAsia="Arial" w:hAnsi="Calibri" w:cs="Calibri"/>
          <w:lang w:val="en-US" w:bidi="en-US"/>
        </w:rPr>
        <w:t xml:space="preserve">“Look at this. </w:t>
      </w:r>
      <w:proofErr w:type="spellStart"/>
      <w:r w:rsidRPr="000F7E56">
        <w:rPr>
          <w:rFonts w:ascii="Calibri" w:eastAsia="Arial" w:hAnsi="Calibri" w:cs="Calibri"/>
          <w:lang w:val="en-US" w:bidi="en-US"/>
        </w:rPr>
        <w:t>Chibuzo</w:t>
      </w:r>
      <w:proofErr w:type="spellEnd"/>
      <w:r w:rsidRPr="000F7E56">
        <w:rPr>
          <w:rFonts w:ascii="Calibri" w:eastAsia="Arial" w:hAnsi="Calibri" w:cs="Calibri"/>
          <w:lang w:val="en-US" w:bidi="en-US"/>
        </w:rPr>
        <w:t xml:space="preserve"> has found my shirt so that I can wear it when the boys come around later for the big game. When you’re in this much pain it’s important to have moments to look forward to.</w:t>
      </w:r>
    </w:p>
    <w:p w14:paraId="0BB28E83" w14:textId="77777777" w:rsidR="000F7E56" w:rsidRPr="000F7E56" w:rsidRDefault="000F7E56" w:rsidP="000F7E56">
      <w:pPr>
        <w:widowControl w:val="0"/>
        <w:autoSpaceDE w:val="0"/>
        <w:autoSpaceDN w:val="0"/>
        <w:spacing w:after="120" w:line="360" w:lineRule="auto"/>
        <w:ind w:right="136"/>
        <w:rPr>
          <w:rFonts w:ascii="Calibri" w:eastAsia="Arial" w:hAnsi="Calibri" w:cs="Calibri"/>
          <w:lang w:val="en-US" w:bidi="en-US"/>
        </w:rPr>
      </w:pPr>
      <w:r w:rsidRPr="000F7E56">
        <w:rPr>
          <w:rFonts w:ascii="Calibri" w:eastAsia="Arial" w:hAnsi="Calibri" w:cs="Calibri"/>
          <w:lang w:val="en-US" w:bidi="en-US"/>
        </w:rPr>
        <w:t xml:space="preserve">Number 5; ‘The Chief’. My nickname; borrowed from Lucas Radebe, the great South African defender. A gift from the team when I had to stop playing. And </w:t>
      </w:r>
      <w:r w:rsidR="00D73667" w:rsidRPr="000F7E56">
        <w:rPr>
          <w:rFonts w:ascii="Calibri" w:eastAsia="Arial" w:hAnsi="Calibri" w:cs="Calibri"/>
          <w:lang w:val="en-US" w:bidi="en-US"/>
        </w:rPr>
        <w:t>of course,</w:t>
      </w:r>
      <w:r w:rsidRPr="000F7E56">
        <w:rPr>
          <w:rFonts w:ascii="Calibri" w:eastAsia="Arial" w:hAnsi="Calibri" w:cs="Calibri"/>
          <w:lang w:val="en-US" w:bidi="en-US"/>
        </w:rPr>
        <w:t xml:space="preserve"> she will help me put it on; reaching up with her little arms to pull it over my great big head. I’m a lucky man.</w:t>
      </w:r>
    </w:p>
    <w:p w14:paraId="5C11ECCA" w14:textId="77777777" w:rsidR="000F7E56" w:rsidRPr="000F7E56" w:rsidRDefault="000F7E56" w:rsidP="000F7E56">
      <w:pPr>
        <w:widowControl w:val="0"/>
        <w:autoSpaceDE w:val="0"/>
        <w:autoSpaceDN w:val="0"/>
        <w:spacing w:after="120" w:line="360" w:lineRule="auto"/>
        <w:ind w:right="136"/>
        <w:rPr>
          <w:rFonts w:ascii="Calibri" w:eastAsia="Arial" w:hAnsi="Calibri" w:cs="Calibri"/>
          <w:lang w:val="en-US" w:bidi="en-US"/>
        </w:rPr>
      </w:pPr>
      <w:r w:rsidRPr="000F7E56">
        <w:rPr>
          <w:rFonts w:ascii="Calibri" w:eastAsia="Arial" w:hAnsi="Calibri" w:cs="Calibri"/>
          <w:lang w:val="en-US" w:bidi="en-US"/>
        </w:rPr>
        <w:t xml:space="preserve">So many people are on our side that it’s humbling. And there are times when I feel responsible. When </w:t>
      </w:r>
      <w:proofErr w:type="spellStart"/>
      <w:r w:rsidRPr="000F7E56">
        <w:rPr>
          <w:rFonts w:ascii="Calibri" w:eastAsia="Arial" w:hAnsi="Calibri" w:cs="Calibri"/>
          <w:lang w:val="en-US" w:bidi="en-US"/>
        </w:rPr>
        <w:t>Chibuzo</w:t>
      </w:r>
      <w:proofErr w:type="spellEnd"/>
      <w:r w:rsidRPr="000F7E56">
        <w:rPr>
          <w:rFonts w:ascii="Calibri" w:eastAsia="Arial" w:hAnsi="Calibri" w:cs="Calibri"/>
          <w:lang w:val="en-US" w:bidi="en-US"/>
        </w:rPr>
        <w:t xml:space="preserve"> tells me how much they’re praying for us at our church, then I feel it’s even more important that I don’t succumb. And God is with me and provides me with the strength to carry on. And strength for my wife </w:t>
      </w:r>
      <w:proofErr w:type="spellStart"/>
      <w:r w:rsidRPr="000F7E56">
        <w:rPr>
          <w:rFonts w:ascii="Calibri" w:eastAsia="Arial" w:hAnsi="Calibri" w:cs="Calibri"/>
          <w:lang w:val="en-US" w:bidi="en-US"/>
        </w:rPr>
        <w:t>Chibuzo</w:t>
      </w:r>
      <w:proofErr w:type="spellEnd"/>
      <w:r w:rsidRPr="000F7E56">
        <w:rPr>
          <w:rFonts w:ascii="Calibri" w:eastAsia="Arial" w:hAnsi="Calibri" w:cs="Calibri"/>
          <w:lang w:val="en-US" w:bidi="en-US"/>
        </w:rPr>
        <w:t xml:space="preserve"> too. I’ve started to call her ‘boss’ because she’s as much my trainer as my wife now. She knows when my energy is low and when it’s a little better. When my mood is dark and when I’m able to smile and need some help to do so. She’s better than any doctor.</w:t>
      </w:r>
    </w:p>
    <w:p w14:paraId="36B5D9E0" w14:textId="77777777" w:rsidR="000F7E56" w:rsidRPr="000F7E56" w:rsidRDefault="000F7E56" w:rsidP="000F7E56">
      <w:pPr>
        <w:widowControl w:val="0"/>
        <w:autoSpaceDE w:val="0"/>
        <w:autoSpaceDN w:val="0"/>
        <w:spacing w:after="120" w:line="360" w:lineRule="auto"/>
        <w:ind w:right="136"/>
        <w:rPr>
          <w:rFonts w:ascii="Calibri" w:eastAsia="Arial" w:hAnsi="Calibri" w:cs="Calibri"/>
          <w:lang w:val="en-US" w:bidi="en-US"/>
        </w:rPr>
      </w:pPr>
      <w:r w:rsidRPr="000F7E56">
        <w:rPr>
          <w:rFonts w:ascii="Calibri" w:eastAsia="Arial" w:hAnsi="Calibri" w:cs="Calibri"/>
          <w:lang w:val="en-US" w:bidi="en-US"/>
        </w:rPr>
        <w:t>But she is worried. It started when she overheard a nurse at the hospital saying that if I was being sent home it was only a matter of time. I’ve told her that a nurse is not a doctor. That we must remain positive. ‘With the right approach we can navigate a way through this; let’s see how things progress over the next few weeks before we start to worry Tawanda’. These are the things my doctor says. He’s like a good manager shouting advice from the side-lines.</w:t>
      </w:r>
    </w:p>
    <w:p w14:paraId="79742DB4" w14:textId="77777777" w:rsidR="000F7E56" w:rsidRPr="000F7E56" w:rsidRDefault="000F7E56" w:rsidP="000F7E56">
      <w:pPr>
        <w:widowControl w:val="0"/>
        <w:autoSpaceDE w:val="0"/>
        <w:autoSpaceDN w:val="0"/>
        <w:spacing w:after="120" w:line="360" w:lineRule="auto"/>
        <w:ind w:right="136"/>
        <w:rPr>
          <w:rFonts w:ascii="Calibri" w:eastAsia="Arial" w:hAnsi="Calibri" w:cs="Calibri"/>
          <w:lang w:val="en-US" w:bidi="en-US"/>
        </w:rPr>
      </w:pPr>
      <w:r w:rsidRPr="000F7E56">
        <w:rPr>
          <w:rFonts w:ascii="Calibri" w:eastAsia="Arial" w:hAnsi="Calibri" w:cs="Calibri"/>
          <w:lang w:val="en-US" w:bidi="en-US"/>
        </w:rPr>
        <w:t>There was one time when I really didn’t feel too good, and I wanted to talk to him about what might happen if things were not to go so well. But I could see that he wanted to focus on the positive, so I didn’t. I think about that sometimes, if I should have stuck to my guns and said what I’d planned to. But the most important thing is that everyone must believe and fight together. That’s the way you win. Through teamwork.</w:t>
      </w:r>
    </w:p>
    <w:p w14:paraId="790A4F98" w14:textId="77777777" w:rsidR="000F7E56" w:rsidRPr="000F7E56" w:rsidRDefault="000F7E56" w:rsidP="000F7E56">
      <w:pPr>
        <w:widowControl w:val="0"/>
        <w:autoSpaceDE w:val="0"/>
        <w:autoSpaceDN w:val="0"/>
        <w:spacing w:after="120" w:line="360" w:lineRule="auto"/>
        <w:ind w:right="136"/>
        <w:rPr>
          <w:rFonts w:ascii="Calibri" w:eastAsia="Arial" w:hAnsi="Calibri" w:cs="Calibri"/>
          <w:lang w:val="en-US" w:bidi="en-US"/>
        </w:rPr>
      </w:pPr>
      <w:r w:rsidRPr="000F7E56">
        <w:rPr>
          <w:rFonts w:ascii="Calibri" w:eastAsia="Arial" w:hAnsi="Calibri" w:cs="Calibri"/>
          <w:lang w:bidi="en-US"/>
        </w:rPr>
        <w:t xml:space="preserve">Nobody could get past us those three seasons when we won just about every game. Which is why I was so confused and angry that it was my partner in central defence that said those things to </w:t>
      </w:r>
      <w:proofErr w:type="spellStart"/>
      <w:r w:rsidRPr="000F7E56">
        <w:rPr>
          <w:rFonts w:ascii="Calibri" w:eastAsia="Arial" w:hAnsi="Calibri" w:cs="Calibri"/>
          <w:lang w:bidi="en-US"/>
        </w:rPr>
        <w:t>Chibuzo</w:t>
      </w:r>
      <w:proofErr w:type="spellEnd"/>
      <w:r w:rsidRPr="000F7E56">
        <w:rPr>
          <w:rFonts w:ascii="Calibri" w:eastAsia="Arial" w:hAnsi="Calibri" w:cs="Calibri"/>
          <w:lang w:bidi="en-US"/>
        </w:rPr>
        <w:t xml:space="preserve">. That it </w:t>
      </w:r>
      <w:r w:rsidRPr="000F7E56">
        <w:rPr>
          <w:rFonts w:ascii="Calibri" w:eastAsia="Arial" w:hAnsi="Calibri" w:cs="Calibri"/>
          <w:lang w:val="en-US" w:bidi="en-US"/>
        </w:rPr>
        <w:t>looked like I was getting weaker. That maybe somebody should talk to the doctor about what they could do to make things easier for both of us if it seemed unlikely that things would improve.</w:t>
      </w:r>
    </w:p>
    <w:p w14:paraId="1B9C6824" w14:textId="77777777" w:rsidR="000F7E56" w:rsidRPr="000F7E56" w:rsidRDefault="000F7E56" w:rsidP="000F7E56">
      <w:pPr>
        <w:widowControl w:val="0"/>
        <w:autoSpaceDE w:val="0"/>
        <w:autoSpaceDN w:val="0"/>
        <w:spacing w:after="120" w:line="360" w:lineRule="auto"/>
        <w:ind w:right="136"/>
        <w:rPr>
          <w:rFonts w:ascii="Calibri" w:eastAsia="Arial" w:hAnsi="Calibri" w:cs="Calibri"/>
          <w:lang w:val="en-US" w:bidi="en-US"/>
        </w:rPr>
      </w:pPr>
      <w:proofErr w:type="spellStart"/>
      <w:r w:rsidRPr="000F7E56">
        <w:rPr>
          <w:rFonts w:ascii="Calibri" w:eastAsia="Arial" w:hAnsi="Calibri" w:cs="Calibri"/>
          <w:lang w:val="en-US" w:bidi="en-US"/>
        </w:rPr>
        <w:t>Chibuzo</w:t>
      </w:r>
      <w:proofErr w:type="spellEnd"/>
      <w:r w:rsidRPr="000F7E56">
        <w:rPr>
          <w:rFonts w:ascii="Calibri" w:eastAsia="Arial" w:hAnsi="Calibri" w:cs="Calibri"/>
          <w:lang w:val="en-US" w:bidi="en-US"/>
        </w:rPr>
        <w:t xml:space="preserve"> cried for days after that. And I rang Darren and told him that if he wanted to say anything, he should have spoken to me. It’s the doctor who will decide when it’s the right time to talk about such things. That if you go into a game fearing defeat it’s the start of a slippery slope. He should know that. He was letting me down. I told him that I wasn’t stupid. That I didn’t expect to pl</w:t>
      </w:r>
      <w:r>
        <w:rPr>
          <w:rFonts w:ascii="Calibri" w:eastAsia="Arial" w:hAnsi="Calibri" w:cs="Calibri"/>
          <w:lang w:val="en-US" w:bidi="en-US"/>
        </w:rPr>
        <w:t>ay</w:t>
      </w:r>
      <w:r w:rsidRPr="000F7E56">
        <w:rPr>
          <w:rFonts w:ascii="Calibri" w:eastAsia="Arial" w:hAnsi="Calibri" w:cs="Calibri"/>
          <w:lang w:val="en-US" w:bidi="en-US"/>
        </w:rPr>
        <w:t xml:space="preserve"> football again, although maybe God will decree that I can. But I want to go back and stand on the side-lines. There are new cures all the time and the doctor has not contacted me for a while, which must be a good sign.</w:t>
      </w:r>
    </w:p>
    <w:p w14:paraId="5A53F289" w14:textId="77777777" w:rsidR="000F7E56" w:rsidRPr="000F7E56" w:rsidRDefault="000F7E56" w:rsidP="000F7E56">
      <w:pPr>
        <w:widowControl w:val="0"/>
        <w:autoSpaceDE w:val="0"/>
        <w:autoSpaceDN w:val="0"/>
        <w:spacing w:after="120" w:line="360" w:lineRule="auto"/>
        <w:ind w:right="136"/>
        <w:rPr>
          <w:rFonts w:ascii="Calibri" w:eastAsia="Arial" w:hAnsi="Calibri" w:cs="Calibri"/>
          <w:lang w:val="en-US" w:bidi="en-US"/>
        </w:rPr>
      </w:pPr>
      <w:r w:rsidRPr="000F7E56">
        <w:rPr>
          <w:rFonts w:ascii="Calibri" w:eastAsia="Arial" w:hAnsi="Calibri" w:cs="Calibri"/>
          <w:lang w:val="en-US" w:bidi="en-US"/>
        </w:rPr>
        <w:lastRenderedPageBreak/>
        <w:t xml:space="preserve">But since then I’ve been thinking. Not just about my funeral but about what happens before then too, if … you know. I’ve written it down to give to </w:t>
      </w:r>
      <w:proofErr w:type="spellStart"/>
      <w:r w:rsidRPr="000F7E56">
        <w:rPr>
          <w:rFonts w:ascii="Calibri" w:eastAsia="Arial" w:hAnsi="Calibri" w:cs="Calibri"/>
          <w:lang w:val="en-US" w:bidi="en-US"/>
        </w:rPr>
        <w:t>Chibuzo</w:t>
      </w:r>
      <w:proofErr w:type="spellEnd"/>
      <w:r w:rsidRPr="000F7E56">
        <w:rPr>
          <w:rFonts w:ascii="Calibri" w:eastAsia="Arial" w:hAnsi="Calibri" w:cs="Calibri"/>
          <w:lang w:val="en-US" w:bidi="en-US"/>
        </w:rPr>
        <w:t xml:space="preserve"> when the time is right. And I feel better for doing this, a little lighter somehow. I’m going to thank Darren when he comes around and tell him that it was good that somebody finally had the courage to say something.</w:t>
      </w:r>
    </w:p>
    <w:p w14:paraId="618C5A38" w14:textId="1E2C7F16" w:rsidR="000F7E56" w:rsidRDefault="000F7E56" w:rsidP="000F7E56">
      <w:pPr>
        <w:widowControl w:val="0"/>
        <w:autoSpaceDE w:val="0"/>
        <w:autoSpaceDN w:val="0"/>
        <w:spacing w:after="120" w:line="360" w:lineRule="auto"/>
        <w:ind w:right="136"/>
        <w:rPr>
          <w:rFonts w:ascii="Calibri" w:eastAsia="Arial" w:hAnsi="Calibri" w:cs="Calibri"/>
          <w:lang w:val="en-US" w:bidi="en-US"/>
        </w:rPr>
      </w:pPr>
      <w:r w:rsidRPr="000F7E56">
        <w:rPr>
          <w:rFonts w:ascii="Calibri" w:eastAsia="Arial" w:hAnsi="Calibri" w:cs="Calibri"/>
          <w:lang w:val="en-US" w:bidi="en-US"/>
        </w:rPr>
        <w:t>And anyway today is going to be one of those good days. I’m going to put on my shirt, summon up my strength and enjoy my friends’ company. I just hope the match won’t go into extra time.”</w:t>
      </w:r>
    </w:p>
    <w:p w14:paraId="2C142E4F" w14:textId="77777777" w:rsidR="00223FE3" w:rsidRPr="000F7E56" w:rsidRDefault="00223FE3" w:rsidP="000F7E56">
      <w:pPr>
        <w:widowControl w:val="0"/>
        <w:autoSpaceDE w:val="0"/>
        <w:autoSpaceDN w:val="0"/>
        <w:spacing w:after="120" w:line="360" w:lineRule="auto"/>
        <w:ind w:right="136"/>
        <w:rPr>
          <w:rFonts w:ascii="Calibri" w:eastAsia="Arial" w:hAnsi="Calibri" w:cs="Calibri"/>
          <w:lang w:val="en-US" w:bidi="en-US"/>
        </w:rPr>
      </w:pPr>
    </w:p>
    <w:p w14:paraId="606DF820" w14:textId="77777777" w:rsidR="000F7E56" w:rsidRPr="000F7E56" w:rsidRDefault="000F7E56" w:rsidP="000F7E56">
      <w:pPr>
        <w:widowControl w:val="0"/>
        <w:autoSpaceDE w:val="0"/>
        <w:autoSpaceDN w:val="0"/>
        <w:spacing w:after="120" w:line="360" w:lineRule="auto"/>
        <w:ind w:right="136"/>
        <w:rPr>
          <w:rFonts w:ascii="Calibri" w:eastAsia="Arial" w:hAnsi="Calibri" w:cs="Calibri"/>
          <w:b/>
          <w:bCs/>
          <w:lang w:val="en-US" w:bidi="en-US"/>
        </w:rPr>
      </w:pPr>
      <w:proofErr w:type="spellStart"/>
      <w:r w:rsidRPr="000F7E56">
        <w:rPr>
          <w:rFonts w:ascii="Calibri" w:eastAsia="Arial" w:hAnsi="Calibri" w:cs="Calibri"/>
          <w:b/>
          <w:bCs/>
          <w:lang w:val="en-US" w:bidi="en-US"/>
        </w:rPr>
        <w:t>Emilija</w:t>
      </w:r>
      <w:proofErr w:type="spellEnd"/>
    </w:p>
    <w:p w14:paraId="75D4BF09" w14:textId="77777777" w:rsidR="000F7E56" w:rsidRPr="000F7E56" w:rsidRDefault="000F7E56" w:rsidP="000F7E56">
      <w:pPr>
        <w:widowControl w:val="0"/>
        <w:autoSpaceDE w:val="0"/>
        <w:autoSpaceDN w:val="0"/>
        <w:spacing w:after="120" w:line="360" w:lineRule="auto"/>
        <w:ind w:right="136"/>
        <w:rPr>
          <w:rFonts w:ascii="Calibri" w:eastAsia="Arial" w:hAnsi="Calibri" w:cs="Calibri"/>
          <w:lang w:val="en-US" w:bidi="en-US"/>
        </w:rPr>
      </w:pPr>
      <w:proofErr w:type="spellStart"/>
      <w:r w:rsidRPr="000F7E56">
        <w:rPr>
          <w:rFonts w:ascii="Calibri" w:eastAsia="Arial" w:hAnsi="Calibri" w:cs="Calibri"/>
          <w:lang w:val="en-US" w:bidi="en-US"/>
        </w:rPr>
        <w:t>Emilija</w:t>
      </w:r>
      <w:proofErr w:type="spellEnd"/>
      <w:r w:rsidRPr="000F7E56">
        <w:rPr>
          <w:rFonts w:ascii="Calibri" w:eastAsia="Arial" w:hAnsi="Calibri" w:cs="Calibri"/>
          <w:lang w:val="en-US" w:bidi="en-US"/>
        </w:rPr>
        <w:t xml:space="preserve"> is an Lithuanian catholic who is in a hospice and very near the end of her life. She is planning a special traditional celebration of Easter with her daughter Camilla and friends.</w:t>
      </w:r>
    </w:p>
    <w:p w14:paraId="7DB1AD2F" w14:textId="26047634" w:rsidR="000F7E56" w:rsidRPr="00223FE3" w:rsidRDefault="000F7E56" w:rsidP="000F7E56">
      <w:pPr>
        <w:widowControl w:val="0"/>
        <w:autoSpaceDE w:val="0"/>
        <w:autoSpaceDN w:val="0"/>
        <w:spacing w:after="120" w:line="360" w:lineRule="auto"/>
        <w:ind w:right="136"/>
        <w:rPr>
          <w:rFonts w:ascii="Calibri" w:eastAsia="Arial" w:hAnsi="Calibri" w:cs="Calibri"/>
          <w:bCs/>
          <w:i/>
          <w:lang w:bidi="en-US"/>
        </w:rPr>
      </w:pPr>
      <w:r w:rsidRPr="00223FE3">
        <w:rPr>
          <w:rFonts w:ascii="Calibri" w:eastAsia="Arial" w:hAnsi="Calibri" w:cs="Calibri"/>
          <w:i/>
          <w:lang w:val="en-US" w:bidi="en-US"/>
        </w:rPr>
        <w:t xml:space="preserve">Key themes: </w:t>
      </w:r>
      <w:r w:rsidRPr="00223FE3">
        <w:rPr>
          <w:rFonts w:ascii="Calibri" w:eastAsia="Arial" w:hAnsi="Calibri" w:cs="Calibri"/>
          <w:bCs/>
          <w:i/>
          <w:lang w:bidi="en-US"/>
        </w:rPr>
        <w:t>Offering the opportunity to discuss deterioration and dying at a time of readiness.  Aligning care to priorities of patient</w:t>
      </w:r>
      <w:r w:rsidR="00223FE3">
        <w:rPr>
          <w:rFonts w:ascii="Calibri" w:eastAsia="Arial" w:hAnsi="Calibri" w:cs="Calibri"/>
          <w:bCs/>
          <w:i/>
          <w:lang w:bidi="en-US"/>
        </w:rPr>
        <w:t>.</w:t>
      </w:r>
    </w:p>
    <w:p w14:paraId="244DDA17" w14:textId="77777777" w:rsidR="000F7E56" w:rsidRPr="000F7E56" w:rsidRDefault="000F7E56" w:rsidP="000F7E56">
      <w:pPr>
        <w:widowControl w:val="0"/>
        <w:autoSpaceDE w:val="0"/>
        <w:autoSpaceDN w:val="0"/>
        <w:spacing w:after="120" w:line="360" w:lineRule="auto"/>
        <w:ind w:right="136"/>
        <w:rPr>
          <w:rFonts w:ascii="Calibri" w:eastAsia="Arial" w:hAnsi="Calibri" w:cs="Calibri"/>
          <w:lang w:val="en-US" w:bidi="en-US"/>
        </w:rPr>
      </w:pPr>
      <w:r w:rsidRPr="000F7E56">
        <w:rPr>
          <w:rFonts w:ascii="Calibri" w:eastAsia="Arial" w:hAnsi="Calibri" w:cs="Calibri"/>
          <w:lang w:val="en-US" w:bidi="en-US"/>
        </w:rPr>
        <w:t>“They’re putting out a table for us. They think we’re going to make a mess so they’re putting something down on the floor in case we spill dye on the carpet.</w:t>
      </w:r>
    </w:p>
    <w:p w14:paraId="59B45B20" w14:textId="77777777" w:rsidR="000F7E56" w:rsidRDefault="000F7E56" w:rsidP="000F7E56">
      <w:pPr>
        <w:widowControl w:val="0"/>
        <w:autoSpaceDE w:val="0"/>
        <w:autoSpaceDN w:val="0"/>
        <w:spacing w:after="120" w:line="360" w:lineRule="auto"/>
        <w:ind w:right="136"/>
        <w:rPr>
          <w:rFonts w:ascii="Calibri" w:eastAsia="Arial" w:hAnsi="Calibri" w:cs="Calibri"/>
          <w:lang w:val="en-US" w:bidi="en-US"/>
        </w:rPr>
      </w:pPr>
      <w:r w:rsidRPr="000F7E56">
        <w:rPr>
          <w:rFonts w:ascii="Calibri" w:eastAsia="Arial" w:hAnsi="Calibri" w:cs="Calibri"/>
          <w:lang w:val="en-US" w:bidi="en-US"/>
        </w:rPr>
        <w:t xml:space="preserve">I hope Camilla doesn’t mind that I’ve asked my friends to join in. She’s probably expecting it to be just the two of us, like usual. But it’s such fun and she always makes such a good job of it, and I want my friends to see how beautiful the eggs look when they’re finished. And anyway, I have to join in with all of their traditions so it’s about time they took part in something Lithuanian. And this is what we do on Holy Saturday. I think she was three when she did her first ones, and we’ve only missed one year since in all that time. And this will be the last time. Maybe I shouldn’t have asked the others to join in. </w:t>
      </w:r>
    </w:p>
    <w:p w14:paraId="7718D25B" w14:textId="77777777" w:rsidR="000F7E56" w:rsidRPr="000F7E56" w:rsidRDefault="000F7E56" w:rsidP="000F7E56">
      <w:pPr>
        <w:widowControl w:val="0"/>
        <w:autoSpaceDE w:val="0"/>
        <w:autoSpaceDN w:val="0"/>
        <w:spacing w:after="120" w:line="360" w:lineRule="auto"/>
        <w:ind w:right="136"/>
        <w:rPr>
          <w:rFonts w:ascii="Calibri" w:eastAsia="Arial" w:hAnsi="Calibri" w:cs="Calibri"/>
          <w:lang w:val="en-US" w:bidi="en-US"/>
        </w:rPr>
      </w:pPr>
      <w:r w:rsidRPr="000F7E56">
        <w:rPr>
          <w:rFonts w:ascii="Calibri" w:eastAsia="Arial" w:hAnsi="Calibri" w:cs="Calibri"/>
          <w:lang w:val="en-US" w:bidi="en-US"/>
        </w:rPr>
        <w:t>I mustn’t say that though. That these are probably our last eggs that we will paint together. Camilla still thinks that some kind of cure may appear out of the blue, some kind of Easter miracle when I know that’s not going to happen. But I couldn’t have asked for things to be better than they are.  All these lovely people here helping me to wash and dress and sometimes to eat and all so kind.</w:t>
      </w:r>
    </w:p>
    <w:p w14:paraId="0E4AF74E" w14:textId="77777777" w:rsidR="000F7E56" w:rsidRPr="000F7E56" w:rsidRDefault="000F7E56" w:rsidP="000F7E56">
      <w:pPr>
        <w:widowControl w:val="0"/>
        <w:autoSpaceDE w:val="0"/>
        <w:autoSpaceDN w:val="0"/>
        <w:spacing w:after="120" w:line="360" w:lineRule="auto"/>
        <w:ind w:right="136"/>
        <w:rPr>
          <w:rFonts w:ascii="Calibri" w:eastAsia="Arial" w:hAnsi="Calibri" w:cs="Calibri"/>
          <w:lang w:val="en-US" w:bidi="en-US"/>
        </w:rPr>
      </w:pPr>
      <w:r w:rsidRPr="000F7E56">
        <w:rPr>
          <w:rFonts w:ascii="Calibri" w:eastAsia="Arial" w:hAnsi="Calibri" w:cs="Calibri"/>
          <w:lang w:val="en-US" w:bidi="en-US"/>
        </w:rPr>
        <w:t>It’s not what you want really, people having to do all this for you, but it is what it is.</w:t>
      </w:r>
    </w:p>
    <w:p w14:paraId="6CFE23C1" w14:textId="77777777" w:rsidR="000F7E56" w:rsidRPr="000F7E56" w:rsidRDefault="000F7E56" w:rsidP="000F7E56">
      <w:pPr>
        <w:widowControl w:val="0"/>
        <w:autoSpaceDE w:val="0"/>
        <w:autoSpaceDN w:val="0"/>
        <w:spacing w:after="120" w:line="360" w:lineRule="auto"/>
        <w:ind w:right="136"/>
        <w:rPr>
          <w:rFonts w:ascii="Calibri" w:eastAsia="Arial" w:hAnsi="Calibri" w:cs="Calibri"/>
          <w:lang w:val="en-US" w:bidi="en-US"/>
        </w:rPr>
      </w:pPr>
      <w:r w:rsidRPr="000F7E56">
        <w:rPr>
          <w:rFonts w:ascii="Calibri" w:eastAsia="Arial" w:hAnsi="Calibri" w:cs="Calibri"/>
          <w:lang w:val="en-US" w:bidi="en-US"/>
        </w:rPr>
        <w:t>And everything is prepared, that’s the thing. Not like with my husband, which was terrible. I remember saying to Camilla ‘never let that happen to me’, and she said of course she wouldn’t. But when it came to it, of telling the doctor exactly what I wanted, what they should and shouldn’t do, it was Camilla who was unsure and trying to hold me back. After all that we both saw.</w:t>
      </w:r>
    </w:p>
    <w:p w14:paraId="6CAE9AB2" w14:textId="77777777" w:rsidR="000F7E56" w:rsidRPr="000F7E56" w:rsidRDefault="000F7E56" w:rsidP="000F7E56">
      <w:pPr>
        <w:widowControl w:val="0"/>
        <w:autoSpaceDE w:val="0"/>
        <w:autoSpaceDN w:val="0"/>
        <w:spacing w:after="120" w:line="360" w:lineRule="auto"/>
        <w:ind w:right="136"/>
        <w:rPr>
          <w:rFonts w:ascii="Calibri" w:eastAsia="Arial" w:hAnsi="Calibri" w:cs="Calibri"/>
          <w:lang w:val="en-US" w:bidi="en-US"/>
        </w:rPr>
      </w:pPr>
      <w:r w:rsidRPr="000F7E56">
        <w:rPr>
          <w:rFonts w:ascii="Calibri" w:eastAsia="Arial" w:hAnsi="Calibri" w:cs="Calibri"/>
          <w:lang w:val="en-US" w:bidi="en-US"/>
        </w:rPr>
        <w:t xml:space="preserve">The Doctor was very good. I think she knew I was ready to have that conversation. I was a little stronger after my operation and she approached it all very calmly and kindly, asking how she could be of most help in </w:t>
      </w:r>
      <w:r w:rsidRPr="000F7E56">
        <w:rPr>
          <w:rFonts w:ascii="Calibri" w:eastAsia="Arial" w:hAnsi="Calibri" w:cs="Calibri"/>
          <w:lang w:val="en-US" w:bidi="en-US"/>
        </w:rPr>
        <w:lastRenderedPageBreak/>
        <w:t>supporting me in what I cared for most going forward.</w:t>
      </w:r>
    </w:p>
    <w:p w14:paraId="01719AF9" w14:textId="77777777" w:rsidR="000F7E56" w:rsidRPr="000F7E56" w:rsidRDefault="000F7E56" w:rsidP="000F7E56">
      <w:pPr>
        <w:widowControl w:val="0"/>
        <w:autoSpaceDE w:val="0"/>
        <w:autoSpaceDN w:val="0"/>
        <w:spacing w:after="120" w:line="360" w:lineRule="auto"/>
        <w:ind w:right="136"/>
        <w:rPr>
          <w:rFonts w:ascii="Calibri" w:eastAsia="Arial" w:hAnsi="Calibri" w:cs="Calibri"/>
          <w:lang w:val="en-US" w:bidi="en-US"/>
        </w:rPr>
      </w:pPr>
      <w:r w:rsidRPr="000F7E56">
        <w:rPr>
          <w:rFonts w:ascii="Calibri" w:eastAsia="Arial" w:hAnsi="Calibri" w:cs="Calibri"/>
          <w:lang w:val="en-US" w:bidi="en-US"/>
        </w:rPr>
        <w:t>And I had thought of this. Of painting eggs on Holy Saturday with my daughter. Tracing patterns with wax and dipping them in dye; beetroot and onion skins. Red for life, yellow for a plentiful harvest. The Doctor could see how upset Camilla was and had to console her and said that my decision would only ever be acted on if the doctors were absolutely convinced that it was for the best.</w:t>
      </w:r>
    </w:p>
    <w:p w14:paraId="7E53031E" w14:textId="77777777" w:rsidR="000F7E56" w:rsidRPr="000F7E56" w:rsidRDefault="000F7E56" w:rsidP="000F7E56">
      <w:pPr>
        <w:widowControl w:val="0"/>
        <w:autoSpaceDE w:val="0"/>
        <w:autoSpaceDN w:val="0"/>
        <w:spacing w:after="120" w:line="360" w:lineRule="auto"/>
        <w:ind w:right="136"/>
        <w:rPr>
          <w:rFonts w:ascii="Calibri" w:eastAsia="Arial" w:hAnsi="Calibri" w:cs="Calibri"/>
          <w:lang w:val="en-US" w:bidi="en-US"/>
        </w:rPr>
      </w:pPr>
      <w:r w:rsidRPr="000F7E56">
        <w:rPr>
          <w:rFonts w:ascii="Calibri" w:eastAsia="Arial" w:hAnsi="Calibri" w:cs="Calibri"/>
          <w:lang w:val="en-US" w:bidi="en-US"/>
        </w:rPr>
        <w:t>I’m determined that she won’t go through what we both did with her father. That really was terrible. The delayed diagnosis, all those days in hospital when nobody seemed to be able to explain anything properly and having all those questions being asked of me that I couldn’t really understand. It’s not a nice place to die, with everyone rushing around and a lack of space and privacy to grieve. It’s a shame that you have to learn about these things through experience, but sometimes that’s the only way we ever really understand anything properly.</w:t>
      </w:r>
    </w:p>
    <w:p w14:paraId="51AB8CBC" w14:textId="77777777" w:rsidR="000F7E56" w:rsidRPr="000F7E56" w:rsidRDefault="000F7E56" w:rsidP="000F7E56">
      <w:pPr>
        <w:widowControl w:val="0"/>
        <w:autoSpaceDE w:val="0"/>
        <w:autoSpaceDN w:val="0"/>
        <w:spacing w:after="120" w:line="360" w:lineRule="auto"/>
        <w:ind w:right="136"/>
        <w:rPr>
          <w:rFonts w:ascii="Calibri" w:eastAsia="Arial" w:hAnsi="Calibri" w:cs="Calibri"/>
          <w:lang w:val="en-US" w:bidi="en-US"/>
        </w:rPr>
      </w:pPr>
      <w:r w:rsidRPr="000F7E56">
        <w:rPr>
          <w:rFonts w:ascii="Calibri" w:eastAsia="Arial" w:hAnsi="Calibri" w:cs="Calibri"/>
          <w:lang w:val="en-US" w:bidi="en-US"/>
        </w:rPr>
        <w:t>That was the one year we missed painting the eggs, and the year when I started going to the church again, even though I’m not much of a religious person. But it’s been important, and I’ve enjoyed coming back to some of my roots and traditions and rituals which I’d begun to forget. But not this of course. You never forget this.</w:t>
      </w:r>
    </w:p>
    <w:p w14:paraId="3D42F0D3" w14:textId="77777777" w:rsidR="000F7E56" w:rsidRPr="000F7E56" w:rsidRDefault="000F7E56" w:rsidP="000F7E56">
      <w:pPr>
        <w:widowControl w:val="0"/>
        <w:autoSpaceDE w:val="0"/>
        <w:autoSpaceDN w:val="0"/>
        <w:spacing w:after="120" w:line="360" w:lineRule="auto"/>
        <w:ind w:right="136"/>
        <w:rPr>
          <w:rFonts w:ascii="Calibri" w:eastAsia="Arial" w:hAnsi="Calibri" w:cs="Calibri"/>
          <w:lang w:val="en-US" w:bidi="en-US"/>
        </w:rPr>
      </w:pPr>
      <w:r w:rsidRPr="000F7E56">
        <w:rPr>
          <w:rFonts w:ascii="Calibri" w:eastAsia="Arial" w:hAnsi="Calibri" w:cs="Calibri"/>
          <w:lang w:val="en-US" w:bidi="en-US"/>
        </w:rPr>
        <w:t>And some of those I made friends with there come to visit which is kind of them. And they tell me that everyone is praying that one day I may still be able to return to the village I moved away from as a little girl. I know that I won’t; but I can feel their belief and it comforts me very much. I’m very thankful for it. Between the doctors and God I seem to be in very good hands. If only Camilla would understand I’m sure she would stop feeling so guilty about not having me at home with her.</w:t>
      </w:r>
    </w:p>
    <w:p w14:paraId="4C1D910A" w14:textId="1D4152D6" w:rsidR="000F7E56" w:rsidRDefault="000F7E56" w:rsidP="000F7E56">
      <w:pPr>
        <w:widowControl w:val="0"/>
        <w:autoSpaceDE w:val="0"/>
        <w:autoSpaceDN w:val="0"/>
        <w:spacing w:after="120" w:line="360" w:lineRule="auto"/>
        <w:ind w:right="136"/>
        <w:rPr>
          <w:rFonts w:ascii="Calibri" w:eastAsia="Arial" w:hAnsi="Calibri" w:cs="Calibri"/>
          <w:lang w:val="en-US" w:bidi="en-US"/>
        </w:rPr>
      </w:pPr>
      <w:r w:rsidRPr="000F7E56">
        <w:rPr>
          <w:rFonts w:ascii="Calibri" w:eastAsia="Arial" w:hAnsi="Calibri" w:cs="Calibri"/>
          <w:lang w:val="en-US" w:bidi="en-US"/>
        </w:rPr>
        <w:t xml:space="preserve">Anyway, today is going to be fun. And I hope these hands of mine don’t shake too much because I want to show off my patterns to everyone here, so that they understand why it’s such a lovely thing to do. And when it’s over I’m not going to let the staff talk me into washing them, my hands, at least not for a while. I always remember how fascinated I was by the way the tips of my fingers used to change </w:t>
      </w:r>
      <w:proofErr w:type="spellStart"/>
      <w:r w:rsidRPr="000F7E56">
        <w:rPr>
          <w:rFonts w:ascii="Calibri" w:eastAsia="Arial" w:hAnsi="Calibri" w:cs="Calibri"/>
          <w:lang w:val="en-US" w:bidi="en-US"/>
        </w:rPr>
        <w:t>colour</w:t>
      </w:r>
      <w:proofErr w:type="spellEnd"/>
      <w:r w:rsidRPr="000F7E56">
        <w:rPr>
          <w:rFonts w:ascii="Calibri" w:eastAsia="Arial" w:hAnsi="Calibri" w:cs="Calibri"/>
          <w:lang w:val="en-US" w:bidi="en-US"/>
        </w:rPr>
        <w:t xml:space="preserve"> when I painted eggs with my mother when I was a tiny little girl. And I want to remember that too today. And to tell Camilla all about it. Like I do every year.”</w:t>
      </w:r>
    </w:p>
    <w:p w14:paraId="6E138FD1" w14:textId="77777777" w:rsidR="00223FE3" w:rsidRPr="000F7E56" w:rsidRDefault="00223FE3" w:rsidP="000F7E56">
      <w:pPr>
        <w:widowControl w:val="0"/>
        <w:autoSpaceDE w:val="0"/>
        <w:autoSpaceDN w:val="0"/>
        <w:spacing w:after="120" w:line="360" w:lineRule="auto"/>
        <w:ind w:right="136"/>
        <w:rPr>
          <w:rFonts w:ascii="Calibri" w:eastAsia="Arial" w:hAnsi="Calibri" w:cs="Calibri"/>
          <w:lang w:val="en-US" w:bidi="en-US"/>
        </w:rPr>
      </w:pPr>
    </w:p>
    <w:p w14:paraId="255203ED" w14:textId="77777777" w:rsidR="000F7E56" w:rsidRPr="000F7E56" w:rsidRDefault="000F7E56" w:rsidP="000F7E56">
      <w:pPr>
        <w:widowControl w:val="0"/>
        <w:autoSpaceDE w:val="0"/>
        <w:autoSpaceDN w:val="0"/>
        <w:spacing w:after="120" w:line="360" w:lineRule="auto"/>
        <w:ind w:right="136"/>
        <w:rPr>
          <w:rFonts w:ascii="Calibri" w:eastAsia="Arial" w:hAnsi="Calibri" w:cs="Calibri"/>
          <w:b/>
          <w:bCs/>
          <w:lang w:bidi="en-US"/>
        </w:rPr>
      </w:pPr>
      <w:proofErr w:type="spellStart"/>
      <w:r w:rsidRPr="000F7E56">
        <w:rPr>
          <w:rFonts w:ascii="Calibri" w:eastAsia="Arial" w:hAnsi="Calibri" w:cs="Calibri"/>
          <w:b/>
          <w:bCs/>
          <w:lang w:bidi="en-US"/>
        </w:rPr>
        <w:t>Sharmarke</w:t>
      </w:r>
      <w:proofErr w:type="spellEnd"/>
    </w:p>
    <w:p w14:paraId="566D6606" w14:textId="77777777" w:rsidR="000F7E56" w:rsidRPr="000F7E56" w:rsidRDefault="000F7E56" w:rsidP="000F7E56">
      <w:pPr>
        <w:widowControl w:val="0"/>
        <w:autoSpaceDE w:val="0"/>
        <w:autoSpaceDN w:val="0"/>
        <w:spacing w:after="120" w:line="360" w:lineRule="auto"/>
        <w:ind w:right="136"/>
        <w:rPr>
          <w:rFonts w:ascii="Calibri" w:eastAsia="Arial" w:hAnsi="Calibri" w:cs="Calibri"/>
          <w:lang w:bidi="en-US"/>
        </w:rPr>
      </w:pPr>
      <w:proofErr w:type="spellStart"/>
      <w:r w:rsidRPr="000F7E56">
        <w:rPr>
          <w:rFonts w:ascii="Calibri" w:eastAsia="Arial" w:hAnsi="Calibri" w:cs="Calibri"/>
          <w:lang w:bidi="en-US"/>
        </w:rPr>
        <w:t>Sharmake</w:t>
      </w:r>
      <w:proofErr w:type="spellEnd"/>
      <w:r w:rsidRPr="000F7E56">
        <w:rPr>
          <w:rFonts w:ascii="Calibri" w:eastAsia="Arial" w:hAnsi="Calibri" w:cs="Calibri"/>
          <w:lang w:bidi="en-US"/>
        </w:rPr>
        <w:t xml:space="preserve">, a young Somali Muslim, is standing at a bus stop waiting to get to hospital to visit his father.  He was angry on his last visit and the staff asked hm to leave. A community worker, </w:t>
      </w:r>
      <w:proofErr w:type="spellStart"/>
      <w:r w:rsidRPr="000F7E56">
        <w:rPr>
          <w:rFonts w:ascii="Calibri" w:eastAsia="Arial" w:hAnsi="Calibri" w:cs="Calibri"/>
          <w:lang w:bidi="en-US"/>
        </w:rPr>
        <w:t>Warsan</w:t>
      </w:r>
      <w:proofErr w:type="spellEnd"/>
      <w:r w:rsidRPr="000F7E56">
        <w:rPr>
          <w:rFonts w:ascii="Calibri" w:eastAsia="Arial" w:hAnsi="Calibri" w:cs="Calibri"/>
          <w:lang w:bidi="en-US"/>
        </w:rPr>
        <w:t>, has been helping him.</w:t>
      </w:r>
    </w:p>
    <w:p w14:paraId="3DEFE698" w14:textId="14376C41" w:rsidR="000F7E56" w:rsidRPr="000F7E56" w:rsidRDefault="000F7E56" w:rsidP="000F7E56">
      <w:pPr>
        <w:widowControl w:val="0"/>
        <w:autoSpaceDE w:val="0"/>
        <w:autoSpaceDN w:val="0"/>
        <w:spacing w:after="120" w:line="360" w:lineRule="auto"/>
        <w:ind w:right="136"/>
        <w:rPr>
          <w:rFonts w:ascii="Calibri" w:eastAsia="Arial" w:hAnsi="Calibri" w:cs="Calibri"/>
          <w:bCs/>
          <w:lang w:bidi="en-US"/>
        </w:rPr>
      </w:pPr>
      <w:r w:rsidRPr="00223FE3">
        <w:rPr>
          <w:rFonts w:ascii="Calibri" w:eastAsia="Arial" w:hAnsi="Calibri" w:cs="Calibri"/>
          <w:i/>
          <w:lang w:bidi="en-US"/>
        </w:rPr>
        <w:t>Key themes:</w:t>
      </w:r>
      <w:r w:rsidRPr="00223FE3">
        <w:rPr>
          <w:rFonts w:ascii="Calibri" w:eastAsia="Arial" w:hAnsi="Calibri" w:cs="Calibri"/>
          <w:bCs/>
          <w:i/>
          <w:lang w:bidi="en-US"/>
        </w:rPr>
        <w:t xml:space="preserve"> Complex life circumstances of migrants:  what lies beneath the surface.  Duty and </w:t>
      </w:r>
      <w:r w:rsidRPr="00223FE3">
        <w:rPr>
          <w:rFonts w:ascii="Calibri" w:eastAsia="Arial" w:hAnsi="Calibri" w:cs="Calibri"/>
          <w:bCs/>
          <w:i/>
          <w:lang w:bidi="en-US"/>
        </w:rPr>
        <w:lastRenderedPageBreak/>
        <w:t>misunderstandings. Taboos and fears. Knowing the system</w:t>
      </w:r>
      <w:r w:rsidR="00223FE3">
        <w:rPr>
          <w:rFonts w:ascii="Calibri" w:eastAsia="Arial" w:hAnsi="Calibri" w:cs="Calibri"/>
          <w:bCs/>
          <w:lang w:bidi="en-US"/>
        </w:rPr>
        <w:t>.</w:t>
      </w:r>
    </w:p>
    <w:p w14:paraId="376E3D12" w14:textId="77777777" w:rsidR="000F7E56" w:rsidRPr="000F7E56" w:rsidRDefault="000F7E56" w:rsidP="000F7E56">
      <w:pPr>
        <w:widowControl w:val="0"/>
        <w:autoSpaceDE w:val="0"/>
        <w:autoSpaceDN w:val="0"/>
        <w:spacing w:after="120" w:line="360" w:lineRule="auto"/>
        <w:ind w:right="136"/>
        <w:rPr>
          <w:rFonts w:ascii="Calibri" w:eastAsia="Arial" w:hAnsi="Calibri" w:cs="Calibri"/>
          <w:lang w:bidi="en-US"/>
        </w:rPr>
      </w:pPr>
      <w:r w:rsidRPr="000F7E56">
        <w:rPr>
          <w:rFonts w:ascii="Calibri" w:eastAsia="Arial" w:hAnsi="Calibri" w:cs="Calibri"/>
          <w:lang w:bidi="en-US"/>
        </w:rPr>
        <w:t xml:space="preserve">“Remember what </w:t>
      </w:r>
      <w:proofErr w:type="spellStart"/>
      <w:r w:rsidRPr="000F7E56">
        <w:rPr>
          <w:rFonts w:ascii="Calibri" w:eastAsia="Arial" w:hAnsi="Calibri" w:cs="Calibri"/>
          <w:lang w:bidi="en-US"/>
        </w:rPr>
        <w:t>Warsan</w:t>
      </w:r>
      <w:proofErr w:type="spellEnd"/>
      <w:r w:rsidRPr="000F7E56">
        <w:rPr>
          <w:rFonts w:ascii="Calibri" w:eastAsia="Arial" w:hAnsi="Calibri" w:cs="Calibri"/>
          <w:lang w:bidi="en-US"/>
        </w:rPr>
        <w:t xml:space="preserve"> keeps telling me. Breathe. And count to ten if I start to get anxious. Which I will. But it’s going to be alright. I can give my father this phone and now he’ll be able to listen to the verses from the Quran and that will soothe him.  Keep calm. That’s the thing. Don’t let my father down again. Don’t get angry again. Try not to be scared again. But he can always see when I am hiding things. ‘What is it </w:t>
      </w:r>
      <w:proofErr w:type="spellStart"/>
      <w:r w:rsidRPr="000F7E56">
        <w:rPr>
          <w:rFonts w:ascii="Calibri" w:eastAsia="Arial" w:hAnsi="Calibri" w:cs="Calibri"/>
          <w:lang w:bidi="en-US"/>
        </w:rPr>
        <w:t>Sharmarke</w:t>
      </w:r>
      <w:proofErr w:type="spellEnd"/>
      <w:r w:rsidRPr="000F7E56">
        <w:rPr>
          <w:rFonts w:ascii="Calibri" w:eastAsia="Arial" w:hAnsi="Calibri" w:cs="Calibri"/>
          <w:lang w:bidi="en-US"/>
        </w:rPr>
        <w:t xml:space="preserve">? What is it you are not telling me?’ </w:t>
      </w:r>
    </w:p>
    <w:p w14:paraId="1B29ABF1" w14:textId="77777777" w:rsidR="000F7E56" w:rsidRDefault="000F7E56" w:rsidP="000F7E56">
      <w:pPr>
        <w:widowControl w:val="0"/>
        <w:autoSpaceDE w:val="0"/>
        <w:autoSpaceDN w:val="0"/>
        <w:spacing w:after="120" w:line="360" w:lineRule="auto"/>
        <w:ind w:right="136"/>
        <w:rPr>
          <w:rFonts w:ascii="Calibri" w:eastAsia="Arial" w:hAnsi="Calibri" w:cs="Calibri"/>
          <w:lang w:bidi="en-US"/>
        </w:rPr>
      </w:pPr>
      <w:r w:rsidRPr="000F7E56">
        <w:rPr>
          <w:rFonts w:ascii="Calibri" w:eastAsia="Arial" w:hAnsi="Calibri" w:cs="Calibri"/>
          <w:lang w:bidi="en-US"/>
        </w:rPr>
        <w:t xml:space="preserve">I should be at his bedside looking after him, doing my duty as a good son. But instead I make him worry. And what can I say to him? That I am being called up in the middle of the night to be told to come to work. That they pay so little. That I worry that somebody will report me; that I will be sent back, and he’ll be left here all alone. </w:t>
      </w:r>
    </w:p>
    <w:p w14:paraId="28B5EC35" w14:textId="77777777" w:rsidR="000F7E56" w:rsidRPr="000F7E56" w:rsidRDefault="000F7E56" w:rsidP="000F7E56">
      <w:pPr>
        <w:widowControl w:val="0"/>
        <w:autoSpaceDE w:val="0"/>
        <w:autoSpaceDN w:val="0"/>
        <w:spacing w:after="120" w:line="360" w:lineRule="auto"/>
        <w:ind w:right="136"/>
        <w:rPr>
          <w:rFonts w:ascii="Calibri" w:eastAsia="Arial" w:hAnsi="Calibri" w:cs="Calibri"/>
          <w:lang w:bidi="en-US"/>
        </w:rPr>
      </w:pPr>
      <w:r w:rsidRPr="000F7E56">
        <w:rPr>
          <w:rFonts w:ascii="Calibri" w:eastAsia="Arial" w:hAnsi="Calibri" w:cs="Calibri"/>
          <w:lang w:bidi="en-US"/>
        </w:rPr>
        <w:t xml:space="preserve">And he is always apologising to me. Over and over. ‘I am so sorry. Why has this happened to me? What will happen to you, with no-one by your side? How can I fight it?’ And again I will try and calm him. ‘Listen abo, the letter will be arriving soon saying that we can both stay here’. </w:t>
      </w:r>
    </w:p>
    <w:p w14:paraId="663374CF" w14:textId="77777777" w:rsidR="000F7E56" w:rsidRPr="000F7E56" w:rsidRDefault="000F7E56" w:rsidP="000F7E56">
      <w:pPr>
        <w:widowControl w:val="0"/>
        <w:autoSpaceDE w:val="0"/>
        <w:autoSpaceDN w:val="0"/>
        <w:spacing w:after="120" w:line="360" w:lineRule="auto"/>
        <w:ind w:right="136"/>
        <w:rPr>
          <w:rFonts w:ascii="Calibri" w:eastAsia="Arial" w:hAnsi="Calibri" w:cs="Calibri"/>
          <w:lang w:bidi="en-US"/>
        </w:rPr>
      </w:pPr>
      <w:r w:rsidRPr="000F7E56">
        <w:rPr>
          <w:rFonts w:ascii="Calibri" w:eastAsia="Arial" w:hAnsi="Calibri" w:cs="Calibri"/>
          <w:lang w:bidi="en-US"/>
        </w:rPr>
        <w:t xml:space="preserve">But you never know when you get to the hospital how things have been. If he’s had a bad night or is confused again. Maybe he hasn’t been able to explain to anyone that he needs the toilet or that he can’t eat the food they’ve given him. And what happens if he’s no better? What happens if he never gets better? What will happen to his body? How can I bury him in the proper way? </w:t>
      </w:r>
    </w:p>
    <w:p w14:paraId="5F1514F2" w14:textId="77777777" w:rsidR="000F7E56" w:rsidRDefault="000F7E56" w:rsidP="000F7E56">
      <w:pPr>
        <w:widowControl w:val="0"/>
        <w:autoSpaceDE w:val="0"/>
        <w:autoSpaceDN w:val="0"/>
        <w:spacing w:after="120" w:line="360" w:lineRule="auto"/>
        <w:ind w:right="136"/>
        <w:rPr>
          <w:rFonts w:ascii="Calibri" w:eastAsia="Arial" w:hAnsi="Calibri" w:cs="Calibri"/>
          <w:lang w:bidi="en-US"/>
        </w:rPr>
      </w:pPr>
      <w:r w:rsidRPr="000F7E56">
        <w:rPr>
          <w:rFonts w:ascii="Calibri" w:eastAsia="Arial" w:hAnsi="Calibri" w:cs="Calibri"/>
          <w:lang w:bidi="en-US"/>
        </w:rPr>
        <w:t>I know I was wrong to react like that, but I was so tired, and he looked so weak, and I didn’t know why the Doctor was asking those things of me. How could he use those words? These things are in Allah’s hands! Why were they giving up on my father? So quickly; so easily. Did they need the bed for someone else; someone who comes from this country? I was wrong to shout; to lash out, but why was there nobody there to help me understand what they meant</w:t>
      </w:r>
      <w:r>
        <w:rPr>
          <w:rFonts w:ascii="Calibri" w:eastAsia="Arial" w:hAnsi="Calibri" w:cs="Calibri"/>
          <w:lang w:bidi="en-US"/>
        </w:rPr>
        <w:t>?</w:t>
      </w:r>
    </w:p>
    <w:p w14:paraId="46D16965" w14:textId="77777777" w:rsidR="000F7E56" w:rsidRPr="000F7E56" w:rsidRDefault="000F7E56" w:rsidP="000F7E56">
      <w:pPr>
        <w:widowControl w:val="0"/>
        <w:autoSpaceDE w:val="0"/>
        <w:autoSpaceDN w:val="0"/>
        <w:spacing w:after="120" w:line="360" w:lineRule="auto"/>
        <w:ind w:right="136"/>
        <w:rPr>
          <w:rFonts w:ascii="Calibri" w:eastAsia="Arial" w:hAnsi="Calibri" w:cs="Calibri"/>
          <w:lang w:bidi="en-US"/>
        </w:rPr>
      </w:pPr>
      <w:r w:rsidRPr="000F7E56">
        <w:rPr>
          <w:rFonts w:ascii="Calibri" w:eastAsia="Arial" w:hAnsi="Calibri" w:cs="Calibri"/>
          <w:lang w:bidi="en-US"/>
        </w:rPr>
        <w:t xml:space="preserve">I was sure the police would be sent to find me because of what happened. I didn’t dare go back. I didn’t even go to the mosque and pray for my father because I had to work. It was </w:t>
      </w:r>
      <w:proofErr w:type="spellStart"/>
      <w:r w:rsidRPr="000F7E56">
        <w:rPr>
          <w:rFonts w:ascii="Calibri" w:eastAsia="Arial" w:hAnsi="Calibri" w:cs="Calibri"/>
          <w:lang w:bidi="en-US"/>
        </w:rPr>
        <w:t>Warsan</w:t>
      </w:r>
      <w:proofErr w:type="spellEnd"/>
      <w:r w:rsidRPr="000F7E56">
        <w:rPr>
          <w:rFonts w:ascii="Calibri" w:eastAsia="Arial" w:hAnsi="Calibri" w:cs="Calibri"/>
          <w:lang w:bidi="en-US"/>
        </w:rPr>
        <w:t xml:space="preserve"> who came to look for me and took me to the Community Centre to get some advice. But nobody was really able to explain to me what is happening and what am I supposed to do. </w:t>
      </w:r>
    </w:p>
    <w:p w14:paraId="6AC52D97" w14:textId="3A1C7ABE" w:rsidR="000F7E56" w:rsidRPr="000F7E56" w:rsidRDefault="000F7E56" w:rsidP="000F7E56">
      <w:pPr>
        <w:widowControl w:val="0"/>
        <w:autoSpaceDE w:val="0"/>
        <w:autoSpaceDN w:val="0"/>
        <w:spacing w:after="120" w:line="360" w:lineRule="auto"/>
        <w:ind w:right="136"/>
        <w:rPr>
          <w:rFonts w:ascii="Calibri" w:eastAsia="Arial" w:hAnsi="Calibri" w:cs="Calibri"/>
          <w:lang w:bidi="en-US"/>
        </w:rPr>
      </w:pPr>
      <w:proofErr w:type="spellStart"/>
      <w:r w:rsidRPr="000F7E56">
        <w:rPr>
          <w:rFonts w:ascii="Calibri" w:eastAsia="Arial" w:hAnsi="Calibri" w:cs="Calibri"/>
          <w:lang w:bidi="en-US"/>
        </w:rPr>
        <w:t>Walaahi</w:t>
      </w:r>
      <w:proofErr w:type="spellEnd"/>
      <w:r w:rsidR="00870200">
        <w:rPr>
          <w:rFonts w:ascii="Calibri" w:eastAsia="Arial" w:hAnsi="Calibri" w:cs="Calibri"/>
          <w:lang w:bidi="en-US"/>
        </w:rPr>
        <w:t>,</w:t>
      </w:r>
      <w:r w:rsidRPr="000F7E56">
        <w:rPr>
          <w:rFonts w:ascii="Calibri" w:eastAsia="Arial" w:hAnsi="Calibri" w:cs="Calibri"/>
          <w:lang w:bidi="en-US"/>
        </w:rPr>
        <w:t xml:space="preserve"> I’ve never felt so frightened. Thinking that his bed would be empty when I finally went back to the hospital. But there he was, sitting up, waiting and worried. What kind of person can do that to their own father? He looked terrible. And the nurse who I pushed over said they could see that I was struggling, that all they wanted was to help us both deal with the situation as best as we could. And the Doctor needed to ask us some difficult questions as soon as possible. Not now I said. Tomorrow. Please. </w:t>
      </w:r>
    </w:p>
    <w:p w14:paraId="2972FB42" w14:textId="1B0C67A0" w:rsidR="000F7E56" w:rsidRPr="000F7E56" w:rsidRDefault="000F7E56" w:rsidP="000F7E56">
      <w:pPr>
        <w:widowControl w:val="0"/>
        <w:autoSpaceDE w:val="0"/>
        <w:autoSpaceDN w:val="0"/>
        <w:spacing w:after="120" w:line="360" w:lineRule="auto"/>
        <w:ind w:right="136"/>
        <w:rPr>
          <w:rFonts w:ascii="Calibri" w:eastAsia="Arial" w:hAnsi="Calibri" w:cs="Calibri"/>
          <w:lang w:bidi="en-US"/>
        </w:rPr>
      </w:pPr>
      <w:r w:rsidRPr="000F7E56">
        <w:rPr>
          <w:rFonts w:ascii="Calibri" w:eastAsia="Arial" w:hAnsi="Calibri" w:cs="Calibri"/>
          <w:lang w:bidi="en-US"/>
        </w:rPr>
        <w:t xml:space="preserve">And now it is tomorrow, and I will listen to the Doctor and I will breathe. And father can now listen to the </w:t>
      </w:r>
      <w:r w:rsidRPr="000F7E56">
        <w:rPr>
          <w:rFonts w:ascii="Calibri" w:eastAsia="Arial" w:hAnsi="Calibri" w:cs="Calibri"/>
          <w:lang w:bidi="en-US"/>
        </w:rPr>
        <w:lastRenderedPageBreak/>
        <w:t xml:space="preserve">Quran. And maybe Allah will be looking down on us and listening to our prayers. The letter will be waiting for us when I get back. With good news. And whatever happens today </w:t>
      </w:r>
      <w:proofErr w:type="spellStart"/>
      <w:r w:rsidRPr="000F7E56">
        <w:rPr>
          <w:rFonts w:ascii="Calibri" w:eastAsia="Arial" w:hAnsi="Calibri" w:cs="Calibri"/>
          <w:lang w:bidi="en-US"/>
        </w:rPr>
        <w:t>insha'allah</w:t>
      </w:r>
      <w:proofErr w:type="spellEnd"/>
      <w:r w:rsidRPr="000F7E56">
        <w:rPr>
          <w:rFonts w:ascii="Calibri" w:eastAsia="Arial" w:hAnsi="Calibri" w:cs="Calibri"/>
          <w:lang w:bidi="en-US"/>
        </w:rPr>
        <w:t xml:space="preserve"> will be for the best”</w:t>
      </w:r>
      <w:r w:rsidR="00090C18">
        <w:rPr>
          <w:rFonts w:ascii="Calibri" w:eastAsia="Arial" w:hAnsi="Calibri" w:cs="Calibri"/>
          <w:lang w:bidi="en-US"/>
        </w:rPr>
        <w:t>.</w:t>
      </w:r>
    </w:p>
    <w:p w14:paraId="3B1DE121" w14:textId="24E90909" w:rsidR="000F7E56" w:rsidRPr="000F7E56" w:rsidRDefault="000F7E56" w:rsidP="00D73667">
      <w:pPr>
        <w:widowControl w:val="0"/>
        <w:autoSpaceDE w:val="0"/>
        <w:autoSpaceDN w:val="0"/>
        <w:spacing w:after="120" w:line="360" w:lineRule="auto"/>
        <w:ind w:right="136"/>
        <w:rPr>
          <w:rFonts w:ascii="Calibri" w:eastAsia="Arial" w:hAnsi="Calibri" w:cs="Calibri"/>
          <w:lang w:val="en-US" w:bidi="en-US"/>
        </w:rPr>
        <w:sectPr w:rsidR="000F7E56" w:rsidRPr="000F7E56">
          <w:type w:val="continuous"/>
          <w:pgSz w:w="11910" w:h="16840"/>
          <w:pgMar w:top="1040" w:right="1020" w:bottom="280" w:left="1020" w:header="720" w:footer="720" w:gutter="0"/>
          <w:cols w:space="720"/>
        </w:sectPr>
      </w:pPr>
      <w:r w:rsidRPr="000F7E56">
        <w:rPr>
          <w:rFonts w:ascii="Calibri" w:eastAsia="Arial" w:hAnsi="Calibri" w:cs="Calibri"/>
          <w:lang w:val="en-US" w:bidi="en-US"/>
        </w:rPr>
        <w:t>These stories were written by Andy Barrett f</w:t>
      </w:r>
      <w:r w:rsidR="00090C18">
        <w:rPr>
          <w:rFonts w:ascii="Calibri" w:eastAsia="Arial" w:hAnsi="Calibri" w:cs="Calibri"/>
          <w:lang w:val="en-US" w:bidi="en-US"/>
        </w:rPr>
        <w:t xml:space="preserve">rom </w:t>
      </w:r>
      <w:r w:rsidRPr="000F7E56">
        <w:rPr>
          <w:rFonts w:ascii="Calibri" w:eastAsia="Arial" w:hAnsi="Calibri" w:cs="Calibri"/>
          <w:lang w:val="en-US" w:bidi="en-US"/>
        </w:rPr>
        <w:t>Excavate</w:t>
      </w:r>
      <w:r w:rsidR="00090C18">
        <w:rPr>
          <w:rFonts w:ascii="Calibri" w:eastAsia="Arial" w:hAnsi="Calibri" w:cs="Calibri"/>
          <w:lang w:val="en-US" w:bidi="en-US"/>
        </w:rPr>
        <w:t>,</w:t>
      </w:r>
      <w:r w:rsidRPr="000F7E56">
        <w:rPr>
          <w:rFonts w:ascii="Calibri" w:eastAsia="Arial" w:hAnsi="Calibri" w:cs="Calibri"/>
          <w:lang w:val="en-US" w:bidi="en-US"/>
        </w:rPr>
        <w:t xml:space="preserve"> June 2021.</w:t>
      </w:r>
    </w:p>
    <w:p w14:paraId="045273C7" w14:textId="77777777" w:rsidR="000F7E56" w:rsidRDefault="000F7E56"/>
    <w:sectPr w:rsidR="000F7E56">
      <w:pgSz w:w="11906" w:h="16838"/>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AFFF4F2" w14:textId="77777777" w:rsidR="00AD6C9D" w:rsidRDefault="00AD6C9D">
      <w:pPr>
        <w:spacing w:after="0" w:line="240" w:lineRule="auto"/>
      </w:pPr>
      <w:r>
        <w:separator/>
      </w:r>
    </w:p>
  </w:endnote>
  <w:endnote w:type="continuationSeparator" w:id="0">
    <w:p w14:paraId="6126E448" w14:textId="77777777" w:rsidR="00AD6C9D" w:rsidRDefault="00AD6C9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 Unicode MS">
    <w:panose1 w:val="020B0604020202020204"/>
    <w:charset w:val="80"/>
    <w:family w:val="swiss"/>
    <w:pitch w:val="variable"/>
    <w:sig w:usb0="00000000" w:usb1="E9DFFFFF" w:usb2="0000003F" w:usb3="00000000" w:csb0="003F01FF" w:csb1="00000000"/>
  </w:font>
  <w:font w:name="Helvetica Neue">
    <w:altName w:val="Arial"/>
    <w:charset w:val="00"/>
    <w:family w:val="auto"/>
    <w:pitch w:val="variable"/>
    <w:sig w:usb0="E50002FF" w:usb1="500079DB" w:usb2="00000010" w:usb3="00000000" w:csb0="00000001" w:csb1="00000000"/>
  </w:font>
  <w:font w:name="Rotis II Sans Std Light">
    <w:altName w:val="MS Gothic"/>
    <w:panose1 w:val="00000000000000000000"/>
    <w:charset w:val="00"/>
    <w:family w:val="swiss"/>
    <w:notTrueType/>
    <w:pitch w:val="default"/>
    <w:sig w:usb0="00000003" w:usb1="00000000" w:usb2="00000000" w:usb3="00000000" w:csb0="00000001" w:csb1="00000000"/>
  </w:font>
  <w:font w:name="Rotis Serif Std">
    <w:altName w:val="Rotis Serif Std"/>
    <w:panose1 w:val="00000000000000000000"/>
    <w:charset w:val="00"/>
    <w:family w:val="roman"/>
    <w:notTrueType/>
    <w:pitch w:val="default"/>
    <w:sig w:usb0="00000003" w:usb1="00000000" w:usb2="00000000" w:usb3="00000000" w:csb0="00000001"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337116390"/>
      <w:docPartObj>
        <w:docPartGallery w:val="Page Numbers (Bottom of Page)"/>
        <w:docPartUnique/>
      </w:docPartObj>
    </w:sdtPr>
    <w:sdtEndPr>
      <w:rPr>
        <w:noProof/>
      </w:rPr>
    </w:sdtEndPr>
    <w:sdtContent>
      <w:p w14:paraId="23D78DCD" w14:textId="77777777" w:rsidR="00AD6C9D" w:rsidRDefault="00AD6C9D">
        <w:pPr>
          <w:pStyle w:val="Footer"/>
        </w:pPr>
        <w:r>
          <w:t xml:space="preserve">Page | </w:t>
        </w:r>
        <w:r>
          <w:fldChar w:fldCharType="begin"/>
        </w:r>
        <w:r>
          <w:instrText xml:space="preserve"> PAGE   \* MERGEFORMAT </w:instrText>
        </w:r>
        <w:r>
          <w:fldChar w:fldCharType="separate"/>
        </w:r>
        <w:r>
          <w:rPr>
            <w:noProof/>
          </w:rPr>
          <w:t>2</w:t>
        </w:r>
        <w:r>
          <w:rPr>
            <w:noProof/>
          </w:rPr>
          <w:fldChar w:fldCharType="end"/>
        </w:r>
      </w:p>
    </w:sdtContent>
  </w:sdt>
  <w:p w14:paraId="1F67B7E8" w14:textId="77777777" w:rsidR="00AD6C9D" w:rsidRDefault="00AD6C9D">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059827828"/>
      <w:docPartObj>
        <w:docPartGallery w:val="Page Numbers (Bottom of Page)"/>
        <w:docPartUnique/>
      </w:docPartObj>
    </w:sdtPr>
    <w:sdtEndPr>
      <w:rPr>
        <w:color w:val="7F7F7F" w:themeColor="background1" w:themeShade="7F"/>
        <w:spacing w:val="60"/>
      </w:rPr>
    </w:sdtEndPr>
    <w:sdtContent>
      <w:p w14:paraId="6CB87B0D" w14:textId="77777777" w:rsidR="00AD6C9D" w:rsidRDefault="00AD6C9D">
        <w:pPr>
          <w:pStyle w:val="Footer"/>
          <w:pBdr>
            <w:top w:val="single" w:sz="4" w:space="1" w:color="D9D9D9" w:themeColor="background1" w:themeShade="D9"/>
          </w:pBdr>
          <w:rPr>
            <w:b/>
            <w:bCs/>
          </w:rPr>
        </w:pPr>
        <w:r>
          <w:fldChar w:fldCharType="begin"/>
        </w:r>
        <w:r>
          <w:instrText xml:space="preserve"> PAGE   \* MERGEFORMAT </w:instrText>
        </w:r>
        <w:r>
          <w:fldChar w:fldCharType="separate"/>
        </w:r>
        <w:r>
          <w:rPr>
            <w:b/>
            <w:bCs/>
            <w:noProof/>
          </w:rPr>
          <w:t>2</w:t>
        </w:r>
        <w:r>
          <w:rPr>
            <w:b/>
            <w:bCs/>
            <w:noProof/>
          </w:rPr>
          <w:fldChar w:fldCharType="end"/>
        </w:r>
        <w:r>
          <w:rPr>
            <w:b/>
            <w:bCs/>
          </w:rPr>
          <w:t xml:space="preserve"> | </w:t>
        </w:r>
        <w:r>
          <w:rPr>
            <w:color w:val="7F7F7F" w:themeColor="background1" w:themeShade="7F"/>
            <w:spacing w:val="60"/>
          </w:rPr>
          <w:t>Page</w:t>
        </w:r>
      </w:p>
    </w:sdtContent>
  </w:sdt>
  <w:p w14:paraId="7C5597E2" w14:textId="77777777" w:rsidR="00AD6C9D" w:rsidRDefault="00AD6C9D">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881A25B" w14:textId="77777777" w:rsidR="00AD6C9D" w:rsidRDefault="00AD6C9D">
      <w:pPr>
        <w:spacing w:after="0" w:line="240" w:lineRule="auto"/>
      </w:pPr>
      <w:r>
        <w:separator/>
      </w:r>
    </w:p>
  </w:footnote>
  <w:footnote w:type="continuationSeparator" w:id="0">
    <w:p w14:paraId="1DAAA001" w14:textId="77777777" w:rsidR="00AD6C9D" w:rsidRDefault="00AD6C9D">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EE01D01" w14:textId="77777777" w:rsidR="00AD6C9D" w:rsidRDefault="00AD6C9D">
    <w:pPr>
      <w:pStyle w:val="Header"/>
    </w:pPr>
  </w:p>
  <w:p w14:paraId="06C58FA6" w14:textId="77777777" w:rsidR="00AD6C9D" w:rsidRDefault="00AD6C9D">
    <w:pPr>
      <w:pStyle w:val="Header"/>
    </w:pPr>
  </w:p>
  <w:p w14:paraId="64249670" w14:textId="77777777" w:rsidR="00AD6C9D" w:rsidRDefault="00AD6C9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4D03A5"/>
    <w:multiLevelType w:val="hybridMultilevel"/>
    <w:tmpl w:val="F88E0F1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024E09E5"/>
    <w:multiLevelType w:val="hybridMultilevel"/>
    <w:tmpl w:val="9E4C5D3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590206F"/>
    <w:multiLevelType w:val="hybridMultilevel"/>
    <w:tmpl w:val="388225CE"/>
    <w:lvl w:ilvl="0" w:tplc="A5BA4520">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 w15:restartNumberingAfterBreak="0">
    <w:nsid w:val="0E83754C"/>
    <w:multiLevelType w:val="hybridMultilevel"/>
    <w:tmpl w:val="46A6A90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16586F28"/>
    <w:multiLevelType w:val="hybridMultilevel"/>
    <w:tmpl w:val="1D60304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461971B8"/>
    <w:multiLevelType w:val="hybridMultilevel"/>
    <w:tmpl w:val="EFEE206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48367CA1"/>
    <w:multiLevelType w:val="hybridMultilevel"/>
    <w:tmpl w:val="37E0D46C"/>
    <w:lvl w:ilvl="0" w:tplc="08090001">
      <w:start w:val="1"/>
      <w:numFmt w:val="bullet"/>
      <w:lvlText w:val=""/>
      <w:lvlJc w:val="left"/>
      <w:pPr>
        <w:ind w:left="820" w:hanging="360"/>
      </w:pPr>
      <w:rPr>
        <w:rFonts w:ascii="Symbol" w:hAnsi="Symbol" w:hint="default"/>
      </w:rPr>
    </w:lvl>
    <w:lvl w:ilvl="1" w:tplc="08090003" w:tentative="1">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7" w15:restartNumberingAfterBreak="0">
    <w:nsid w:val="5ABC3027"/>
    <w:multiLevelType w:val="hybridMultilevel"/>
    <w:tmpl w:val="22D6EA54"/>
    <w:lvl w:ilvl="0" w:tplc="08090001">
      <w:start w:val="1"/>
      <w:numFmt w:val="bullet"/>
      <w:lvlText w:val=""/>
      <w:lvlJc w:val="left"/>
      <w:pPr>
        <w:ind w:left="770" w:hanging="360"/>
      </w:pPr>
      <w:rPr>
        <w:rFonts w:ascii="Symbol" w:hAnsi="Symbol" w:hint="default"/>
      </w:rPr>
    </w:lvl>
    <w:lvl w:ilvl="1" w:tplc="08090003" w:tentative="1">
      <w:start w:val="1"/>
      <w:numFmt w:val="bullet"/>
      <w:lvlText w:val="o"/>
      <w:lvlJc w:val="left"/>
      <w:pPr>
        <w:ind w:left="1490" w:hanging="360"/>
      </w:pPr>
      <w:rPr>
        <w:rFonts w:ascii="Courier New" w:hAnsi="Courier New" w:cs="Courier New" w:hint="default"/>
      </w:rPr>
    </w:lvl>
    <w:lvl w:ilvl="2" w:tplc="08090005" w:tentative="1">
      <w:start w:val="1"/>
      <w:numFmt w:val="bullet"/>
      <w:lvlText w:val=""/>
      <w:lvlJc w:val="left"/>
      <w:pPr>
        <w:ind w:left="2210" w:hanging="360"/>
      </w:pPr>
      <w:rPr>
        <w:rFonts w:ascii="Wingdings" w:hAnsi="Wingdings" w:hint="default"/>
      </w:rPr>
    </w:lvl>
    <w:lvl w:ilvl="3" w:tplc="08090001" w:tentative="1">
      <w:start w:val="1"/>
      <w:numFmt w:val="bullet"/>
      <w:lvlText w:val=""/>
      <w:lvlJc w:val="left"/>
      <w:pPr>
        <w:ind w:left="2930" w:hanging="360"/>
      </w:pPr>
      <w:rPr>
        <w:rFonts w:ascii="Symbol" w:hAnsi="Symbol" w:hint="default"/>
      </w:rPr>
    </w:lvl>
    <w:lvl w:ilvl="4" w:tplc="08090003" w:tentative="1">
      <w:start w:val="1"/>
      <w:numFmt w:val="bullet"/>
      <w:lvlText w:val="o"/>
      <w:lvlJc w:val="left"/>
      <w:pPr>
        <w:ind w:left="3650" w:hanging="360"/>
      </w:pPr>
      <w:rPr>
        <w:rFonts w:ascii="Courier New" w:hAnsi="Courier New" w:cs="Courier New" w:hint="default"/>
      </w:rPr>
    </w:lvl>
    <w:lvl w:ilvl="5" w:tplc="08090005" w:tentative="1">
      <w:start w:val="1"/>
      <w:numFmt w:val="bullet"/>
      <w:lvlText w:val=""/>
      <w:lvlJc w:val="left"/>
      <w:pPr>
        <w:ind w:left="4370" w:hanging="360"/>
      </w:pPr>
      <w:rPr>
        <w:rFonts w:ascii="Wingdings" w:hAnsi="Wingdings" w:hint="default"/>
      </w:rPr>
    </w:lvl>
    <w:lvl w:ilvl="6" w:tplc="08090001" w:tentative="1">
      <w:start w:val="1"/>
      <w:numFmt w:val="bullet"/>
      <w:lvlText w:val=""/>
      <w:lvlJc w:val="left"/>
      <w:pPr>
        <w:ind w:left="5090" w:hanging="360"/>
      </w:pPr>
      <w:rPr>
        <w:rFonts w:ascii="Symbol" w:hAnsi="Symbol" w:hint="default"/>
      </w:rPr>
    </w:lvl>
    <w:lvl w:ilvl="7" w:tplc="08090003" w:tentative="1">
      <w:start w:val="1"/>
      <w:numFmt w:val="bullet"/>
      <w:lvlText w:val="o"/>
      <w:lvlJc w:val="left"/>
      <w:pPr>
        <w:ind w:left="5810" w:hanging="360"/>
      </w:pPr>
      <w:rPr>
        <w:rFonts w:ascii="Courier New" w:hAnsi="Courier New" w:cs="Courier New" w:hint="default"/>
      </w:rPr>
    </w:lvl>
    <w:lvl w:ilvl="8" w:tplc="08090005" w:tentative="1">
      <w:start w:val="1"/>
      <w:numFmt w:val="bullet"/>
      <w:lvlText w:val=""/>
      <w:lvlJc w:val="left"/>
      <w:pPr>
        <w:ind w:left="6530" w:hanging="360"/>
      </w:pPr>
      <w:rPr>
        <w:rFonts w:ascii="Wingdings" w:hAnsi="Wingdings" w:hint="default"/>
      </w:rPr>
    </w:lvl>
  </w:abstractNum>
  <w:abstractNum w:abstractNumId="8" w15:restartNumberingAfterBreak="0">
    <w:nsid w:val="5C2A066A"/>
    <w:multiLevelType w:val="hybridMultilevel"/>
    <w:tmpl w:val="74461CF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5CFF666D"/>
    <w:multiLevelType w:val="hybridMultilevel"/>
    <w:tmpl w:val="5DBEC456"/>
    <w:lvl w:ilvl="0" w:tplc="0809000F">
      <w:start w:val="2"/>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 w15:restartNumberingAfterBreak="0">
    <w:nsid w:val="63921D7D"/>
    <w:multiLevelType w:val="hybridMultilevel"/>
    <w:tmpl w:val="0BB0B63C"/>
    <w:lvl w:ilvl="0" w:tplc="0809000F">
      <w:start w:val="1"/>
      <w:numFmt w:val="decimal"/>
      <w:lvlText w:val="%1."/>
      <w:lvlJc w:val="left"/>
      <w:pPr>
        <w:ind w:left="720" w:hanging="360"/>
      </w:pPr>
      <w:rPr>
        <w:rFont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6A6A2F1A"/>
    <w:multiLevelType w:val="hybridMultilevel"/>
    <w:tmpl w:val="A928D63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6E213E3B"/>
    <w:multiLevelType w:val="hybridMultilevel"/>
    <w:tmpl w:val="3CCCB44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76A328BE"/>
    <w:multiLevelType w:val="hybridMultilevel"/>
    <w:tmpl w:val="F04428DC"/>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 w15:restartNumberingAfterBreak="0">
    <w:nsid w:val="7A0564C9"/>
    <w:multiLevelType w:val="hybridMultilevel"/>
    <w:tmpl w:val="9D183DEA"/>
    <w:lvl w:ilvl="0" w:tplc="08090001">
      <w:start w:val="1"/>
      <w:numFmt w:val="bullet"/>
      <w:lvlText w:val=""/>
      <w:lvlJc w:val="left"/>
      <w:pPr>
        <w:ind w:left="768" w:hanging="360"/>
      </w:pPr>
      <w:rPr>
        <w:rFonts w:ascii="Symbol" w:hAnsi="Symbol" w:hint="default"/>
      </w:rPr>
    </w:lvl>
    <w:lvl w:ilvl="1" w:tplc="08090003" w:tentative="1">
      <w:start w:val="1"/>
      <w:numFmt w:val="bullet"/>
      <w:lvlText w:val="o"/>
      <w:lvlJc w:val="left"/>
      <w:pPr>
        <w:ind w:left="1488" w:hanging="360"/>
      </w:pPr>
      <w:rPr>
        <w:rFonts w:ascii="Courier New" w:hAnsi="Courier New" w:cs="Courier New" w:hint="default"/>
      </w:rPr>
    </w:lvl>
    <w:lvl w:ilvl="2" w:tplc="08090005" w:tentative="1">
      <w:start w:val="1"/>
      <w:numFmt w:val="bullet"/>
      <w:lvlText w:val=""/>
      <w:lvlJc w:val="left"/>
      <w:pPr>
        <w:ind w:left="2208" w:hanging="360"/>
      </w:pPr>
      <w:rPr>
        <w:rFonts w:ascii="Wingdings" w:hAnsi="Wingdings" w:hint="default"/>
      </w:rPr>
    </w:lvl>
    <w:lvl w:ilvl="3" w:tplc="08090001">
      <w:start w:val="1"/>
      <w:numFmt w:val="bullet"/>
      <w:lvlText w:val=""/>
      <w:lvlJc w:val="left"/>
      <w:pPr>
        <w:ind w:left="2928" w:hanging="360"/>
      </w:pPr>
      <w:rPr>
        <w:rFonts w:ascii="Symbol" w:hAnsi="Symbol" w:hint="default"/>
      </w:rPr>
    </w:lvl>
    <w:lvl w:ilvl="4" w:tplc="08090003" w:tentative="1">
      <w:start w:val="1"/>
      <w:numFmt w:val="bullet"/>
      <w:lvlText w:val="o"/>
      <w:lvlJc w:val="left"/>
      <w:pPr>
        <w:ind w:left="3648" w:hanging="360"/>
      </w:pPr>
      <w:rPr>
        <w:rFonts w:ascii="Courier New" w:hAnsi="Courier New" w:cs="Courier New" w:hint="default"/>
      </w:rPr>
    </w:lvl>
    <w:lvl w:ilvl="5" w:tplc="08090005" w:tentative="1">
      <w:start w:val="1"/>
      <w:numFmt w:val="bullet"/>
      <w:lvlText w:val=""/>
      <w:lvlJc w:val="left"/>
      <w:pPr>
        <w:ind w:left="4368" w:hanging="360"/>
      </w:pPr>
      <w:rPr>
        <w:rFonts w:ascii="Wingdings" w:hAnsi="Wingdings" w:hint="default"/>
      </w:rPr>
    </w:lvl>
    <w:lvl w:ilvl="6" w:tplc="08090001" w:tentative="1">
      <w:start w:val="1"/>
      <w:numFmt w:val="bullet"/>
      <w:lvlText w:val=""/>
      <w:lvlJc w:val="left"/>
      <w:pPr>
        <w:ind w:left="5088" w:hanging="360"/>
      </w:pPr>
      <w:rPr>
        <w:rFonts w:ascii="Symbol" w:hAnsi="Symbol" w:hint="default"/>
      </w:rPr>
    </w:lvl>
    <w:lvl w:ilvl="7" w:tplc="08090003" w:tentative="1">
      <w:start w:val="1"/>
      <w:numFmt w:val="bullet"/>
      <w:lvlText w:val="o"/>
      <w:lvlJc w:val="left"/>
      <w:pPr>
        <w:ind w:left="5808" w:hanging="360"/>
      </w:pPr>
      <w:rPr>
        <w:rFonts w:ascii="Courier New" w:hAnsi="Courier New" w:cs="Courier New" w:hint="default"/>
      </w:rPr>
    </w:lvl>
    <w:lvl w:ilvl="8" w:tplc="08090005" w:tentative="1">
      <w:start w:val="1"/>
      <w:numFmt w:val="bullet"/>
      <w:lvlText w:val=""/>
      <w:lvlJc w:val="left"/>
      <w:pPr>
        <w:ind w:left="6528" w:hanging="360"/>
      </w:pPr>
      <w:rPr>
        <w:rFonts w:ascii="Wingdings" w:hAnsi="Wingdings" w:hint="default"/>
      </w:rPr>
    </w:lvl>
  </w:abstractNum>
  <w:abstractNum w:abstractNumId="15" w15:restartNumberingAfterBreak="0">
    <w:nsid w:val="7AAE47FD"/>
    <w:multiLevelType w:val="hybridMultilevel"/>
    <w:tmpl w:val="13DE7724"/>
    <w:lvl w:ilvl="0" w:tplc="08090001">
      <w:start w:val="1"/>
      <w:numFmt w:val="bullet"/>
      <w:lvlText w:val=""/>
      <w:lvlJc w:val="left"/>
      <w:pPr>
        <w:ind w:left="770" w:hanging="360"/>
      </w:pPr>
      <w:rPr>
        <w:rFonts w:ascii="Symbol" w:hAnsi="Symbol" w:hint="default"/>
      </w:rPr>
    </w:lvl>
    <w:lvl w:ilvl="1" w:tplc="08090003" w:tentative="1">
      <w:start w:val="1"/>
      <w:numFmt w:val="bullet"/>
      <w:lvlText w:val="o"/>
      <w:lvlJc w:val="left"/>
      <w:pPr>
        <w:ind w:left="1490" w:hanging="360"/>
      </w:pPr>
      <w:rPr>
        <w:rFonts w:ascii="Courier New" w:hAnsi="Courier New" w:cs="Courier New" w:hint="default"/>
      </w:rPr>
    </w:lvl>
    <w:lvl w:ilvl="2" w:tplc="08090005" w:tentative="1">
      <w:start w:val="1"/>
      <w:numFmt w:val="bullet"/>
      <w:lvlText w:val=""/>
      <w:lvlJc w:val="left"/>
      <w:pPr>
        <w:ind w:left="2210" w:hanging="360"/>
      </w:pPr>
      <w:rPr>
        <w:rFonts w:ascii="Wingdings" w:hAnsi="Wingdings" w:hint="default"/>
      </w:rPr>
    </w:lvl>
    <w:lvl w:ilvl="3" w:tplc="08090001" w:tentative="1">
      <w:start w:val="1"/>
      <w:numFmt w:val="bullet"/>
      <w:lvlText w:val=""/>
      <w:lvlJc w:val="left"/>
      <w:pPr>
        <w:ind w:left="2930" w:hanging="360"/>
      </w:pPr>
      <w:rPr>
        <w:rFonts w:ascii="Symbol" w:hAnsi="Symbol" w:hint="default"/>
      </w:rPr>
    </w:lvl>
    <w:lvl w:ilvl="4" w:tplc="08090003" w:tentative="1">
      <w:start w:val="1"/>
      <w:numFmt w:val="bullet"/>
      <w:lvlText w:val="o"/>
      <w:lvlJc w:val="left"/>
      <w:pPr>
        <w:ind w:left="3650" w:hanging="360"/>
      </w:pPr>
      <w:rPr>
        <w:rFonts w:ascii="Courier New" w:hAnsi="Courier New" w:cs="Courier New" w:hint="default"/>
      </w:rPr>
    </w:lvl>
    <w:lvl w:ilvl="5" w:tplc="08090005" w:tentative="1">
      <w:start w:val="1"/>
      <w:numFmt w:val="bullet"/>
      <w:lvlText w:val=""/>
      <w:lvlJc w:val="left"/>
      <w:pPr>
        <w:ind w:left="4370" w:hanging="360"/>
      </w:pPr>
      <w:rPr>
        <w:rFonts w:ascii="Wingdings" w:hAnsi="Wingdings" w:hint="default"/>
      </w:rPr>
    </w:lvl>
    <w:lvl w:ilvl="6" w:tplc="08090001" w:tentative="1">
      <w:start w:val="1"/>
      <w:numFmt w:val="bullet"/>
      <w:lvlText w:val=""/>
      <w:lvlJc w:val="left"/>
      <w:pPr>
        <w:ind w:left="5090" w:hanging="360"/>
      </w:pPr>
      <w:rPr>
        <w:rFonts w:ascii="Symbol" w:hAnsi="Symbol" w:hint="default"/>
      </w:rPr>
    </w:lvl>
    <w:lvl w:ilvl="7" w:tplc="08090003" w:tentative="1">
      <w:start w:val="1"/>
      <w:numFmt w:val="bullet"/>
      <w:lvlText w:val="o"/>
      <w:lvlJc w:val="left"/>
      <w:pPr>
        <w:ind w:left="5810" w:hanging="360"/>
      </w:pPr>
      <w:rPr>
        <w:rFonts w:ascii="Courier New" w:hAnsi="Courier New" w:cs="Courier New" w:hint="default"/>
      </w:rPr>
    </w:lvl>
    <w:lvl w:ilvl="8" w:tplc="08090005" w:tentative="1">
      <w:start w:val="1"/>
      <w:numFmt w:val="bullet"/>
      <w:lvlText w:val=""/>
      <w:lvlJc w:val="left"/>
      <w:pPr>
        <w:ind w:left="6530" w:hanging="360"/>
      </w:pPr>
      <w:rPr>
        <w:rFonts w:ascii="Wingdings" w:hAnsi="Wingdings" w:hint="default"/>
      </w:rPr>
    </w:lvl>
  </w:abstractNum>
  <w:abstractNum w:abstractNumId="16" w15:restartNumberingAfterBreak="0">
    <w:nsid w:val="7F105E8B"/>
    <w:multiLevelType w:val="hybridMultilevel"/>
    <w:tmpl w:val="6BFE7234"/>
    <w:lvl w:ilvl="0" w:tplc="8A88131A">
      <w:numFmt w:val="bullet"/>
      <w:lvlText w:val="•"/>
      <w:lvlJc w:val="left"/>
      <w:pPr>
        <w:ind w:left="720" w:hanging="720"/>
      </w:pPr>
      <w:rPr>
        <w:rFonts w:ascii="Calibri" w:eastAsiaTheme="minorHAnsi"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8"/>
  </w:num>
  <w:num w:numId="2">
    <w:abstractNumId w:val="11"/>
  </w:num>
  <w:num w:numId="3">
    <w:abstractNumId w:val="1"/>
  </w:num>
  <w:num w:numId="4">
    <w:abstractNumId w:val="16"/>
  </w:num>
  <w:num w:numId="5">
    <w:abstractNumId w:val="6"/>
  </w:num>
  <w:num w:numId="6">
    <w:abstractNumId w:val="14"/>
  </w:num>
  <w:num w:numId="7">
    <w:abstractNumId w:val="10"/>
  </w:num>
  <w:num w:numId="8">
    <w:abstractNumId w:val="12"/>
  </w:num>
  <w:num w:numId="9">
    <w:abstractNumId w:val="0"/>
  </w:num>
  <w:num w:numId="10">
    <w:abstractNumId w:val="7"/>
  </w:num>
  <w:num w:numId="11">
    <w:abstractNumId w:val="4"/>
  </w:num>
  <w:num w:numId="12">
    <w:abstractNumId w:val="3"/>
  </w:num>
  <w:num w:numId="13">
    <w:abstractNumId w:val="13"/>
  </w:num>
  <w:num w:numId="14">
    <w:abstractNumId w:val="5"/>
  </w:num>
  <w:num w:numId="15">
    <w:abstractNumId w:val="2"/>
  </w:num>
  <w:num w:numId="16">
    <w:abstractNumId w:val="9"/>
  </w:num>
  <w:num w:numId="17">
    <w:abstractNumId w:val="15"/>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F7E56"/>
    <w:rsid w:val="00004E55"/>
    <w:rsid w:val="00012E64"/>
    <w:rsid w:val="00026E35"/>
    <w:rsid w:val="00031D5C"/>
    <w:rsid w:val="000339C7"/>
    <w:rsid w:val="0003460A"/>
    <w:rsid w:val="0004294B"/>
    <w:rsid w:val="000617EB"/>
    <w:rsid w:val="00065310"/>
    <w:rsid w:val="00073490"/>
    <w:rsid w:val="000734D6"/>
    <w:rsid w:val="00090C18"/>
    <w:rsid w:val="000954DC"/>
    <w:rsid w:val="00095824"/>
    <w:rsid w:val="00095F72"/>
    <w:rsid w:val="000A3109"/>
    <w:rsid w:val="000A43A1"/>
    <w:rsid w:val="000C7E4F"/>
    <w:rsid w:val="000D152B"/>
    <w:rsid w:val="000D5597"/>
    <w:rsid w:val="000E45F7"/>
    <w:rsid w:val="000E4844"/>
    <w:rsid w:val="000E6484"/>
    <w:rsid w:val="000F15E3"/>
    <w:rsid w:val="000F4252"/>
    <w:rsid w:val="000F4960"/>
    <w:rsid w:val="000F731E"/>
    <w:rsid w:val="000F7AD1"/>
    <w:rsid w:val="000F7E56"/>
    <w:rsid w:val="001025E8"/>
    <w:rsid w:val="00105D28"/>
    <w:rsid w:val="00132C47"/>
    <w:rsid w:val="0013665B"/>
    <w:rsid w:val="00136DCF"/>
    <w:rsid w:val="001372CC"/>
    <w:rsid w:val="00137BB7"/>
    <w:rsid w:val="0015325B"/>
    <w:rsid w:val="00165451"/>
    <w:rsid w:val="00166E7A"/>
    <w:rsid w:val="00174B1A"/>
    <w:rsid w:val="00185BAF"/>
    <w:rsid w:val="00187B46"/>
    <w:rsid w:val="00190DAB"/>
    <w:rsid w:val="001C430D"/>
    <w:rsid w:val="001C4533"/>
    <w:rsid w:val="001D2ABE"/>
    <w:rsid w:val="001D76CB"/>
    <w:rsid w:val="001E2B7E"/>
    <w:rsid w:val="001E2C30"/>
    <w:rsid w:val="001E71C2"/>
    <w:rsid w:val="001E7983"/>
    <w:rsid w:val="001F6950"/>
    <w:rsid w:val="00205777"/>
    <w:rsid w:val="0021217E"/>
    <w:rsid w:val="00215FB8"/>
    <w:rsid w:val="00220186"/>
    <w:rsid w:val="00223FE3"/>
    <w:rsid w:val="002374F3"/>
    <w:rsid w:val="00265AED"/>
    <w:rsid w:val="00271048"/>
    <w:rsid w:val="0027651A"/>
    <w:rsid w:val="00280C1F"/>
    <w:rsid w:val="0028534C"/>
    <w:rsid w:val="002A2F37"/>
    <w:rsid w:val="002A2FEB"/>
    <w:rsid w:val="002B361B"/>
    <w:rsid w:val="002D7758"/>
    <w:rsid w:val="002E1980"/>
    <w:rsid w:val="002E4FF7"/>
    <w:rsid w:val="00313C63"/>
    <w:rsid w:val="00331ABF"/>
    <w:rsid w:val="00343FB3"/>
    <w:rsid w:val="0036293D"/>
    <w:rsid w:val="00364FAD"/>
    <w:rsid w:val="00377F16"/>
    <w:rsid w:val="003B3805"/>
    <w:rsid w:val="003B4EE5"/>
    <w:rsid w:val="003C4B6C"/>
    <w:rsid w:val="003D3D3C"/>
    <w:rsid w:val="003E5FD6"/>
    <w:rsid w:val="003F10E6"/>
    <w:rsid w:val="00401A2F"/>
    <w:rsid w:val="0040316A"/>
    <w:rsid w:val="00406A99"/>
    <w:rsid w:val="0040750B"/>
    <w:rsid w:val="0042059C"/>
    <w:rsid w:val="0042401A"/>
    <w:rsid w:val="00425D1C"/>
    <w:rsid w:val="00426C6C"/>
    <w:rsid w:val="00435355"/>
    <w:rsid w:val="00444322"/>
    <w:rsid w:val="004651C6"/>
    <w:rsid w:val="00496C3B"/>
    <w:rsid w:val="004B3503"/>
    <w:rsid w:val="004B6E42"/>
    <w:rsid w:val="004C7A6A"/>
    <w:rsid w:val="004D2E01"/>
    <w:rsid w:val="004E2A13"/>
    <w:rsid w:val="004F12BF"/>
    <w:rsid w:val="004F7602"/>
    <w:rsid w:val="00514EB4"/>
    <w:rsid w:val="00515856"/>
    <w:rsid w:val="00521CDA"/>
    <w:rsid w:val="00531771"/>
    <w:rsid w:val="00531B6F"/>
    <w:rsid w:val="00532A6E"/>
    <w:rsid w:val="00571DE1"/>
    <w:rsid w:val="005B3B97"/>
    <w:rsid w:val="005B416F"/>
    <w:rsid w:val="005B7B94"/>
    <w:rsid w:val="005C1EF4"/>
    <w:rsid w:val="005D4BC8"/>
    <w:rsid w:val="005D4DBF"/>
    <w:rsid w:val="005F0C76"/>
    <w:rsid w:val="00600E80"/>
    <w:rsid w:val="00624B0C"/>
    <w:rsid w:val="00625971"/>
    <w:rsid w:val="00632481"/>
    <w:rsid w:val="0063521E"/>
    <w:rsid w:val="00664908"/>
    <w:rsid w:val="00672161"/>
    <w:rsid w:val="00677629"/>
    <w:rsid w:val="006917F6"/>
    <w:rsid w:val="006925C1"/>
    <w:rsid w:val="006A2545"/>
    <w:rsid w:val="006B6197"/>
    <w:rsid w:val="006C3CAF"/>
    <w:rsid w:val="006D25B0"/>
    <w:rsid w:val="006E1CE4"/>
    <w:rsid w:val="006E25AF"/>
    <w:rsid w:val="006F584D"/>
    <w:rsid w:val="0070456A"/>
    <w:rsid w:val="00711735"/>
    <w:rsid w:val="00714F28"/>
    <w:rsid w:val="007207F1"/>
    <w:rsid w:val="007356A0"/>
    <w:rsid w:val="007356B2"/>
    <w:rsid w:val="007443B0"/>
    <w:rsid w:val="00745BD4"/>
    <w:rsid w:val="0076433D"/>
    <w:rsid w:val="00776313"/>
    <w:rsid w:val="00793AE7"/>
    <w:rsid w:val="00794A1A"/>
    <w:rsid w:val="007A53A2"/>
    <w:rsid w:val="007A60BC"/>
    <w:rsid w:val="007B4734"/>
    <w:rsid w:val="007B769D"/>
    <w:rsid w:val="007C7041"/>
    <w:rsid w:val="007E1714"/>
    <w:rsid w:val="007E4B2B"/>
    <w:rsid w:val="007F2E60"/>
    <w:rsid w:val="0080113D"/>
    <w:rsid w:val="00802C61"/>
    <w:rsid w:val="008072F5"/>
    <w:rsid w:val="00815BA5"/>
    <w:rsid w:val="0083404B"/>
    <w:rsid w:val="00835B60"/>
    <w:rsid w:val="008555B3"/>
    <w:rsid w:val="00870200"/>
    <w:rsid w:val="0087146C"/>
    <w:rsid w:val="00882A16"/>
    <w:rsid w:val="00884A80"/>
    <w:rsid w:val="008856FA"/>
    <w:rsid w:val="00891849"/>
    <w:rsid w:val="00891E81"/>
    <w:rsid w:val="00892E04"/>
    <w:rsid w:val="008B0481"/>
    <w:rsid w:val="008C4C05"/>
    <w:rsid w:val="008D66AB"/>
    <w:rsid w:val="008E20ED"/>
    <w:rsid w:val="008F0219"/>
    <w:rsid w:val="008F0A6C"/>
    <w:rsid w:val="008F1F09"/>
    <w:rsid w:val="008F475D"/>
    <w:rsid w:val="00903C8D"/>
    <w:rsid w:val="00913AEE"/>
    <w:rsid w:val="009243A1"/>
    <w:rsid w:val="0095070D"/>
    <w:rsid w:val="009601D8"/>
    <w:rsid w:val="00964D60"/>
    <w:rsid w:val="00966DB7"/>
    <w:rsid w:val="00970F39"/>
    <w:rsid w:val="00973CC1"/>
    <w:rsid w:val="00974B74"/>
    <w:rsid w:val="00975FF9"/>
    <w:rsid w:val="009A7C13"/>
    <w:rsid w:val="009B225B"/>
    <w:rsid w:val="009B54E5"/>
    <w:rsid w:val="009C02D6"/>
    <w:rsid w:val="009D1E7E"/>
    <w:rsid w:val="009D3F6D"/>
    <w:rsid w:val="009D746F"/>
    <w:rsid w:val="009E69FD"/>
    <w:rsid w:val="009F071D"/>
    <w:rsid w:val="00A03BA8"/>
    <w:rsid w:val="00A11180"/>
    <w:rsid w:val="00A12C7D"/>
    <w:rsid w:val="00A14C96"/>
    <w:rsid w:val="00A22068"/>
    <w:rsid w:val="00A23AC7"/>
    <w:rsid w:val="00A31FAA"/>
    <w:rsid w:val="00A41955"/>
    <w:rsid w:val="00A44087"/>
    <w:rsid w:val="00A50DEB"/>
    <w:rsid w:val="00A53338"/>
    <w:rsid w:val="00A53BDE"/>
    <w:rsid w:val="00A62C2A"/>
    <w:rsid w:val="00A662A8"/>
    <w:rsid w:val="00A703C4"/>
    <w:rsid w:val="00A815E3"/>
    <w:rsid w:val="00A82D6E"/>
    <w:rsid w:val="00A83765"/>
    <w:rsid w:val="00A86DA9"/>
    <w:rsid w:val="00A945D0"/>
    <w:rsid w:val="00A9593A"/>
    <w:rsid w:val="00AA7983"/>
    <w:rsid w:val="00AC12D3"/>
    <w:rsid w:val="00AD41CE"/>
    <w:rsid w:val="00AD548B"/>
    <w:rsid w:val="00AD6C9D"/>
    <w:rsid w:val="00AE0B1E"/>
    <w:rsid w:val="00AE3D59"/>
    <w:rsid w:val="00AE463A"/>
    <w:rsid w:val="00AF42A6"/>
    <w:rsid w:val="00B3043D"/>
    <w:rsid w:val="00B32096"/>
    <w:rsid w:val="00B34D84"/>
    <w:rsid w:val="00B36BAE"/>
    <w:rsid w:val="00B62F83"/>
    <w:rsid w:val="00B66AE2"/>
    <w:rsid w:val="00B67CB1"/>
    <w:rsid w:val="00B731BA"/>
    <w:rsid w:val="00B75213"/>
    <w:rsid w:val="00B86BB5"/>
    <w:rsid w:val="00B92873"/>
    <w:rsid w:val="00BA3A32"/>
    <w:rsid w:val="00BB3FFA"/>
    <w:rsid w:val="00BB5345"/>
    <w:rsid w:val="00BD2106"/>
    <w:rsid w:val="00BF0957"/>
    <w:rsid w:val="00C12188"/>
    <w:rsid w:val="00C134B6"/>
    <w:rsid w:val="00C2222C"/>
    <w:rsid w:val="00C232A9"/>
    <w:rsid w:val="00C40F50"/>
    <w:rsid w:val="00C41932"/>
    <w:rsid w:val="00C74203"/>
    <w:rsid w:val="00C75976"/>
    <w:rsid w:val="00C76FEB"/>
    <w:rsid w:val="00C82E39"/>
    <w:rsid w:val="00C9178A"/>
    <w:rsid w:val="00CA1DDB"/>
    <w:rsid w:val="00CA6FDE"/>
    <w:rsid w:val="00CC5586"/>
    <w:rsid w:val="00CD1A3C"/>
    <w:rsid w:val="00CD6487"/>
    <w:rsid w:val="00D1125D"/>
    <w:rsid w:val="00D2386D"/>
    <w:rsid w:val="00D45959"/>
    <w:rsid w:val="00D539D3"/>
    <w:rsid w:val="00D73667"/>
    <w:rsid w:val="00D74EFC"/>
    <w:rsid w:val="00D91E5C"/>
    <w:rsid w:val="00DA32BF"/>
    <w:rsid w:val="00DA72E7"/>
    <w:rsid w:val="00DC6B26"/>
    <w:rsid w:val="00DD28BD"/>
    <w:rsid w:val="00DE6BA0"/>
    <w:rsid w:val="00E05E4F"/>
    <w:rsid w:val="00E1331F"/>
    <w:rsid w:val="00E15E26"/>
    <w:rsid w:val="00E22E77"/>
    <w:rsid w:val="00E24E5A"/>
    <w:rsid w:val="00E30BCD"/>
    <w:rsid w:val="00E4240F"/>
    <w:rsid w:val="00E5161E"/>
    <w:rsid w:val="00E52EA5"/>
    <w:rsid w:val="00E60627"/>
    <w:rsid w:val="00E62AE7"/>
    <w:rsid w:val="00E73A26"/>
    <w:rsid w:val="00E77740"/>
    <w:rsid w:val="00E77C7F"/>
    <w:rsid w:val="00E83471"/>
    <w:rsid w:val="00E92A26"/>
    <w:rsid w:val="00EA6099"/>
    <w:rsid w:val="00EB1AB9"/>
    <w:rsid w:val="00EC3094"/>
    <w:rsid w:val="00EC3C44"/>
    <w:rsid w:val="00EC740D"/>
    <w:rsid w:val="00EC7642"/>
    <w:rsid w:val="00EE25BF"/>
    <w:rsid w:val="00EE27CE"/>
    <w:rsid w:val="00EE6E1F"/>
    <w:rsid w:val="00EF1968"/>
    <w:rsid w:val="00EF4BD9"/>
    <w:rsid w:val="00F06387"/>
    <w:rsid w:val="00F259A8"/>
    <w:rsid w:val="00F62541"/>
    <w:rsid w:val="00F74B53"/>
    <w:rsid w:val="00F75231"/>
    <w:rsid w:val="00F86291"/>
    <w:rsid w:val="00F968D1"/>
    <w:rsid w:val="00FB7307"/>
    <w:rsid w:val="00FC64D5"/>
    <w:rsid w:val="00FE4FE0"/>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B8EF954"/>
  <w15:chartTrackingRefBased/>
  <w15:docId w15:val="{1298CFBB-0CDA-47F5-9CDB-E7056F7AD79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semiHidden="1" w:unhideWhenUsed="1"/>
    <w:lsdException w:name="Table Grid" w:uiPriority="39"/>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0F7E56"/>
    <w:pPr>
      <w:keepNext/>
      <w:keepLines/>
      <w:spacing w:before="240" w:after="0" w:line="360" w:lineRule="auto"/>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Normal"/>
    <w:next w:val="Normal"/>
    <w:link w:val="Heading2Char"/>
    <w:uiPriority w:val="9"/>
    <w:unhideWhenUsed/>
    <w:qFormat/>
    <w:rsid w:val="000F7E56"/>
    <w:pPr>
      <w:keepNext/>
      <w:keepLines/>
      <w:spacing w:before="40" w:after="0" w:line="360" w:lineRule="auto"/>
      <w:outlineLvl w:val="1"/>
    </w:pPr>
    <w:rPr>
      <w:rFonts w:asciiTheme="majorHAnsi" w:eastAsiaTheme="majorEastAsia" w:hAnsiTheme="majorHAnsi" w:cstheme="majorBidi"/>
      <w:color w:val="2F5496" w:themeColor="accent1" w:themeShade="BF"/>
      <w:sz w:val="26"/>
      <w:szCs w:val="26"/>
    </w:rPr>
  </w:style>
  <w:style w:type="paragraph" w:styleId="Heading3">
    <w:name w:val="heading 3"/>
    <w:basedOn w:val="Normal"/>
    <w:next w:val="Normal"/>
    <w:link w:val="Heading3Char"/>
    <w:uiPriority w:val="9"/>
    <w:unhideWhenUsed/>
    <w:qFormat/>
    <w:rsid w:val="000F7E56"/>
    <w:pPr>
      <w:keepNext/>
      <w:keepLines/>
      <w:spacing w:before="40" w:after="0" w:line="276" w:lineRule="auto"/>
      <w:outlineLvl w:val="2"/>
    </w:pPr>
    <w:rPr>
      <w:rFonts w:asciiTheme="majorHAnsi" w:eastAsiaTheme="majorEastAsia" w:hAnsiTheme="majorHAnsi" w:cstheme="majorBidi"/>
      <w:color w:val="1F3763" w:themeColor="accent1" w:themeShade="7F"/>
      <w:sz w:val="24"/>
      <w:szCs w:val="24"/>
    </w:rPr>
  </w:style>
  <w:style w:type="paragraph" w:styleId="Heading4">
    <w:name w:val="heading 4"/>
    <w:basedOn w:val="Normal"/>
    <w:next w:val="Normal"/>
    <w:link w:val="Heading4Char"/>
    <w:uiPriority w:val="9"/>
    <w:unhideWhenUsed/>
    <w:qFormat/>
    <w:rsid w:val="000F7E56"/>
    <w:pPr>
      <w:keepNext/>
      <w:keepLines/>
      <w:spacing w:before="40" w:after="0" w:line="276" w:lineRule="auto"/>
      <w:outlineLvl w:val="3"/>
    </w:pPr>
    <w:rPr>
      <w:rFonts w:asciiTheme="majorHAnsi" w:eastAsiaTheme="majorEastAsia" w:hAnsiTheme="majorHAnsi" w:cstheme="majorBidi"/>
      <w:i/>
      <w:iCs/>
      <w:color w:val="2F5496"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0F7E56"/>
    <w:rPr>
      <w:rFonts w:asciiTheme="majorHAnsi" w:eastAsiaTheme="majorEastAsia" w:hAnsiTheme="majorHAnsi" w:cstheme="majorBidi"/>
      <w:color w:val="2F5496" w:themeColor="accent1" w:themeShade="BF"/>
      <w:sz w:val="32"/>
      <w:szCs w:val="32"/>
    </w:rPr>
  </w:style>
  <w:style w:type="character" w:customStyle="1" w:styleId="Heading2Char">
    <w:name w:val="Heading 2 Char"/>
    <w:basedOn w:val="DefaultParagraphFont"/>
    <w:link w:val="Heading2"/>
    <w:uiPriority w:val="9"/>
    <w:rsid w:val="000F7E56"/>
    <w:rPr>
      <w:rFonts w:asciiTheme="majorHAnsi" w:eastAsiaTheme="majorEastAsia" w:hAnsiTheme="majorHAnsi" w:cstheme="majorBidi"/>
      <w:color w:val="2F5496" w:themeColor="accent1" w:themeShade="BF"/>
      <w:sz w:val="26"/>
      <w:szCs w:val="26"/>
    </w:rPr>
  </w:style>
  <w:style w:type="character" w:customStyle="1" w:styleId="Heading3Char">
    <w:name w:val="Heading 3 Char"/>
    <w:basedOn w:val="DefaultParagraphFont"/>
    <w:link w:val="Heading3"/>
    <w:uiPriority w:val="9"/>
    <w:rsid w:val="000F7E56"/>
    <w:rPr>
      <w:rFonts w:asciiTheme="majorHAnsi" w:eastAsiaTheme="majorEastAsia" w:hAnsiTheme="majorHAnsi" w:cstheme="majorBidi"/>
      <w:color w:val="1F3763" w:themeColor="accent1" w:themeShade="7F"/>
      <w:sz w:val="24"/>
      <w:szCs w:val="24"/>
    </w:rPr>
  </w:style>
  <w:style w:type="character" w:customStyle="1" w:styleId="Heading4Char">
    <w:name w:val="Heading 4 Char"/>
    <w:basedOn w:val="DefaultParagraphFont"/>
    <w:link w:val="Heading4"/>
    <w:uiPriority w:val="9"/>
    <w:rsid w:val="000F7E56"/>
    <w:rPr>
      <w:rFonts w:asciiTheme="majorHAnsi" w:eastAsiaTheme="majorEastAsia" w:hAnsiTheme="majorHAnsi" w:cstheme="majorBidi"/>
      <w:i/>
      <w:iCs/>
      <w:color w:val="2F5496" w:themeColor="accent1" w:themeShade="BF"/>
    </w:rPr>
  </w:style>
  <w:style w:type="numbering" w:customStyle="1" w:styleId="NoList1">
    <w:name w:val="No List1"/>
    <w:next w:val="NoList"/>
    <w:uiPriority w:val="99"/>
    <w:semiHidden/>
    <w:unhideWhenUsed/>
    <w:rsid w:val="000F7E56"/>
  </w:style>
  <w:style w:type="paragraph" w:styleId="CommentText">
    <w:name w:val="annotation text"/>
    <w:basedOn w:val="Normal"/>
    <w:link w:val="CommentTextChar"/>
    <w:uiPriority w:val="99"/>
    <w:unhideWhenUsed/>
    <w:rsid w:val="000F7E56"/>
    <w:pPr>
      <w:spacing w:after="120" w:line="240" w:lineRule="auto"/>
    </w:pPr>
    <w:rPr>
      <w:sz w:val="20"/>
      <w:szCs w:val="20"/>
    </w:rPr>
  </w:style>
  <w:style w:type="character" w:customStyle="1" w:styleId="CommentTextChar">
    <w:name w:val="Comment Text Char"/>
    <w:basedOn w:val="DefaultParagraphFont"/>
    <w:link w:val="CommentText"/>
    <w:uiPriority w:val="99"/>
    <w:rsid w:val="000F7E56"/>
    <w:rPr>
      <w:sz w:val="20"/>
      <w:szCs w:val="20"/>
    </w:rPr>
  </w:style>
  <w:style w:type="character" w:styleId="CommentReference">
    <w:name w:val="annotation reference"/>
    <w:basedOn w:val="DefaultParagraphFont"/>
    <w:uiPriority w:val="99"/>
    <w:unhideWhenUsed/>
    <w:rsid w:val="000F7E56"/>
    <w:rPr>
      <w:sz w:val="16"/>
      <w:szCs w:val="16"/>
    </w:rPr>
  </w:style>
  <w:style w:type="paragraph" w:styleId="BalloonText">
    <w:name w:val="Balloon Text"/>
    <w:basedOn w:val="Normal"/>
    <w:link w:val="BalloonTextChar"/>
    <w:uiPriority w:val="99"/>
    <w:semiHidden/>
    <w:unhideWhenUsed/>
    <w:rsid w:val="000F7E56"/>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0F7E56"/>
    <w:rPr>
      <w:rFonts w:ascii="Segoe UI" w:hAnsi="Segoe UI" w:cs="Segoe UI"/>
      <w:sz w:val="18"/>
      <w:szCs w:val="18"/>
    </w:rPr>
  </w:style>
  <w:style w:type="paragraph" w:styleId="CommentSubject">
    <w:name w:val="annotation subject"/>
    <w:basedOn w:val="CommentText"/>
    <w:next w:val="CommentText"/>
    <w:link w:val="CommentSubjectChar"/>
    <w:uiPriority w:val="99"/>
    <w:semiHidden/>
    <w:unhideWhenUsed/>
    <w:rsid w:val="000F7E56"/>
    <w:rPr>
      <w:b/>
      <w:bCs/>
    </w:rPr>
  </w:style>
  <w:style w:type="character" w:customStyle="1" w:styleId="CommentSubjectChar">
    <w:name w:val="Comment Subject Char"/>
    <w:basedOn w:val="CommentTextChar"/>
    <w:link w:val="CommentSubject"/>
    <w:uiPriority w:val="99"/>
    <w:semiHidden/>
    <w:rsid w:val="000F7E56"/>
    <w:rPr>
      <w:b/>
      <w:bCs/>
      <w:sz w:val="20"/>
      <w:szCs w:val="20"/>
    </w:rPr>
  </w:style>
  <w:style w:type="paragraph" w:customStyle="1" w:styleId="Body">
    <w:name w:val="Body"/>
    <w:rsid w:val="000F7E56"/>
    <w:pPr>
      <w:pBdr>
        <w:top w:val="nil"/>
        <w:left w:val="nil"/>
        <w:bottom w:val="nil"/>
        <w:right w:val="nil"/>
        <w:between w:val="nil"/>
        <w:bar w:val="nil"/>
      </w:pBdr>
      <w:spacing w:after="120" w:line="360" w:lineRule="auto"/>
    </w:pPr>
    <w:rPr>
      <w:rFonts w:ascii="Calibri" w:eastAsia="Arial Unicode MS" w:hAnsi="Calibri" w:cs="Arial Unicode MS"/>
      <w:color w:val="000000"/>
      <w:u w:color="000000"/>
      <w:bdr w:val="nil"/>
      <w:lang w:val="nl-NL" w:eastAsia="en-GB"/>
      <w14:textOutline w14:w="0" w14:cap="flat" w14:cmpd="sng" w14:algn="ctr">
        <w14:noFill/>
        <w14:prstDash w14:val="solid"/>
        <w14:bevel/>
      </w14:textOutline>
    </w:rPr>
  </w:style>
  <w:style w:type="paragraph" w:customStyle="1" w:styleId="Default">
    <w:name w:val="Default"/>
    <w:rsid w:val="000F7E56"/>
    <w:pPr>
      <w:pBdr>
        <w:top w:val="nil"/>
        <w:left w:val="nil"/>
        <w:bottom w:val="nil"/>
        <w:right w:val="nil"/>
        <w:between w:val="nil"/>
        <w:bar w:val="nil"/>
      </w:pBdr>
      <w:spacing w:before="160" w:after="0" w:line="288" w:lineRule="auto"/>
    </w:pPr>
    <w:rPr>
      <w:rFonts w:ascii="Helvetica Neue" w:eastAsia="Helvetica Neue" w:hAnsi="Helvetica Neue" w:cs="Helvetica Neue"/>
      <w:color w:val="000000"/>
      <w:sz w:val="24"/>
      <w:szCs w:val="24"/>
      <w:bdr w:val="nil"/>
      <w:lang w:eastAsia="en-GB"/>
      <w14:textOutline w14:w="0" w14:cap="flat" w14:cmpd="sng" w14:algn="ctr">
        <w14:noFill/>
        <w14:prstDash w14:val="solid"/>
        <w14:bevel/>
      </w14:textOutline>
    </w:rPr>
  </w:style>
  <w:style w:type="character" w:customStyle="1" w:styleId="None">
    <w:name w:val="None"/>
    <w:rsid w:val="000F7E56"/>
  </w:style>
  <w:style w:type="paragraph" w:styleId="Footer">
    <w:name w:val="footer"/>
    <w:link w:val="FooterChar"/>
    <w:uiPriority w:val="99"/>
    <w:rsid w:val="000F7E56"/>
    <w:pPr>
      <w:pBdr>
        <w:top w:val="nil"/>
        <w:left w:val="nil"/>
        <w:bottom w:val="nil"/>
        <w:right w:val="nil"/>
        <w:between w:val="nil"/>
        <w:bar w:val="nil"/>
      </w:pBdr>
      <w:tabs>
        <w:tab w:val="center" w:pos="4513"/>
        <w:tab w:val="right" w:pos="9026"/>
      </w:tabs>
      <w:spacing w:after="0" w:line="240" w:lineRule="auto"/>
    </w:pPr>
    <w:rPr>
      <w:rFonts w:ascii="Calibri" w:eastAsia="Arial Unicode MS" w:hAnsi="Calibri" w:cs="Arial Unicode MS"/>
      <w:color w:val="000000"/>
      <w:u w:color="000000"/>
      <w:bdr w:val="nil"/>
      <w:lang w:val="en-US" w:eastAsia="en-GB"/>
    </w:rPr>
  </w:style>
  <w:style w:type="character" w:customStyle="1" w:styleId="FooterChar">
    <w:name w:val="Footer Char"/>
    <w:basedOn w:val="DefaultParagraphFont"/>
    <w:link w:val="Footer"/>
    <w:uiPriority w:val="99"/>
    <w:rsid w:val="000F7E56"/>
    <w:rPr>
      <w:rFonts w:ascii="Calibri" w:eastAsia="Arial Unicode MS" w:hAnsi="Calibri" w:cs="Arial Unicode MS"/>
      <w:color w:val="000000"/>
      <w:u w:color="000000"/>
      <w:bdr w:val="nil"/>
      <w:lang w:val="en-US" w:eastAsia="en-GB"/>
    </w:rPr>
  </w:style>
  <w:style w:type="character" w:styleId="Hyperlink">
    <w:name w:val="Hyperlink"/>
    <w:basedOn w:val="DefaultParagraphFont"/>
    <w:uiPriority w:val="99"/>
    <w:unhideWhenUsed/>
    <w:rsid w:val="000F7E56"/>
    <w:rPr>
      <w:color w:val="0563C1"/>
      <w:u w:val="single"/>
    </w:rPr>
  </w:style>
  <w:style w:type="paragraph" w:styleId="Header">
    <w:name w:val="header"/>
    <w:basedOn w:val="Normal"/>
    <w:link w:val="HeaderChar"/>
    <w:uiPriority w:val="99"/>
    <w:unhideWhenUsed/>
    <w:rsid w:val="000F7E56"/>
    <w:pPr>
      <w:tabs>
        <w:tab w:val="center" w:pos="4513"/>
        <w:tab w:val="right" w:pos="9026"/>
      </w:tabs>
      <w:spacing w:after="0" w:line="240" w:lineRule="auto"/>
    </w:pPr>
  </w:style>
  <w:style w:type="character" w:customStyle="1" w:styleId="HeaderChar">
    <w:name w:val="Header Char"/>
    <w:basedOn w:val="DefaultParagraphFont"/>
    <w:link w:val="Header"/>
    <w:uiPriority w:val="99"/>
    <w:rsid w:val="000F7E56"/>
  </w:style>
  <w:style w:type="paragraph" w:styleId="Revision">
    <w:name w:val="Revision"/>
    <w:hidden/>
    <w:uiPriority w:val="99"/>
    <w:semiHidden/>
    <w:rsid w:val="000F7E56"/>
    <w:pPr>
      <w:spacing w:after="0" w:line="240" w:lineRule="auto"/>
    </w:pPr>
  </w:style>
  <w:style w:type="paragraph" w:styleId="Bibliography">
    <w:name w:val="Bibliography"/>
    <w:basedOn w:val="Normal"/>
    <w:next w:val="Normal"/>
    <w:uiPriority w:val="37"/>
    <w:unhideWhenUsed/>
    <w:rsid w:val="000F7E56"/>
    <w:pPr>
      <w:tabs>
        <w:tab w:val="left" w:pos="384"/>
      </w:tabs>
      <w:spacing w:after="0" w:line="240" w:lineRule="auto"/>
      <w:ind w:left="384" w:hanging="384"/>
    </w:pPr>
  </w:style>
  <w:style w:type="paragraph" w:customStyle="1" w:styleId="EndNoteBibliography">
    <w:name w:val="EndNote Bibliography"/>
    <w:basedOn w:val="Normal"/>
    <w:link w:val="EndNoteBibliographyChar"/>
    <w:rsid w:val="000F7E56"/>
    <w:pPr>
      <w:spacing w:after="120" w:line="240" w:lineRule="auto"/>
    </w:pPr>
    <w:rPr>
      <w:rFonts w:ascii="Calibri" w:hAnsi="Calibri" w:cs="Calibri"/>
      <w:noProof/>
      <w:lang w:val="en-US"/>
    </w:rPr>
  </w:style>
  <w:style w:type="character" w:customStyle="1" w:styleId="EndNoteBibliographyChar">
    <w:name w:val="EndNote Bibliography Char"/>
    <w:basedOn w:val="DefaultParagraphFont"/>
    <w:link w:val="EndNoteBibliography"/>
    <w:rsid w:val="000F7E56"/>
    <w:rPr>
      <w:rFonts w:ascii="Calibri" w:hAnsi="Calibri" w:cs="Calibri"/>
      <w:noProof/>
      <w:lang w:val="en-US"/>
    </w:rPr>
  </w:style>
  <w:style w:type="paragraph" w:styleId="TOCHeading">
    <w:name w:val="TOC Heading"/>
    <w:basedOn w:val="Heading1"/>
    <w:next w:val="Normal"/>
    <w:uiPriority w:val="39"/>
    <w:unhideWhenUsed/>
    <w:qFormat/>
    <w:rsid w:val="000F7E56"/>
    <w:pPr>
      <w:outlineLvl w:val="9"/>
    </w:pPr>
    <w:rPr>
      <w:lang w:val="en-US"/>
    </w:rPr>
  </w:style>
  <w:style w:type="paragraph" w:styleId="TOC1">
    <w:name w:val="toc 1"/>
    <w:basedOn w:val="Normal"/>
    <w:next w:val="Normal"/>
    <w:autoRedefine/>
    <w:uiPriority w:val="39"/>
    <w:unhideWhenUsed/>
    <w:rsid w:val="000F7E56"/>
    <w:pPr>
      <w:spacing w:after="100" w:line="360" w:lineRule="auto"/>
    </w:pPr>
  </w:style>
  <w:style w:type="paragraph" w:styleId="TOC2">
    <w:name w:val="toc 2"/>
    <w:basedOn w:val="Normal"/>
    <w:next w:val="Normal"/>
    <w:autoRedefine/>
    <w:uiPriority w:val="39"/>
    <w:unhideWhenUsed/>
    <w:rsid w:val="000F7E56"/>
    <w:pPr>
      <w:tabs>
        <w:tab w:val="right" w:leader="dot" w:pos="9628"/>
      </w:tabs>
      <w:spacing w:after="100" w:line="360" w:lineRule="auto"/>
      <w:ind w:left="220"/>
    </w:pPr>
    <w:rPr>
      <w:rFonts w:asciiTheme="majorHAnsi" w:hAnsiTheme="majorHAnsi" w:cstheme="majorHAnsi"/>
      <w:noProof/>
    </w:rPr>
  </w:style>
  <w:style w:type="paragraph" w:styleId="TOC3">
    <w:name w:val="toc 3"/>
    <w:basedOn w:val="Normal"/>
    <w:next w:val="Normal"/>
    <w:autoRedefine/>
    <w:uiPriority w:val="39"/>
    <w:unhideWhenUsed/>
    <w:rsid w:val="000F7E56"/>
    <w:pPr>
      <w:spacing w:after="100" w:line="360" w:lineRule="auto"/>
      <w:ind w:left="440"/>
    </w:pPr>
  </w:style>
  <w:style w:type="paragraph" w:styleId="ListParagraph">
    <w:name w:val="List Paragraph"/>
    <w:basedOn w:val="Normal"/>
    <w:link w:val="ListParagraphChar"/>
    <w:uiPriority w:val="34"/>
    <w:qFormat/>
    <w:rsid w:val="000F7E56"/>
    <w:pPr>
      <w:spacing w:after="120" w:line="360" w:lineRule="auto"/>
      <w:ind w:left="720"/>
      <w:contextualSpacing/>
    </w:pPr>
  </w:style>
  <w:style w:type="character" w:customStyle="1" w:styleId="ListParagraphChar">
    <w:name w:val="List Paragraph Char"/>
    <w:basedOn w:val="DefaultParagraphFont"/>
    <w:link w:val="ListParagraph"/>
    <w:uiPriority w:val="34"/>
    <w:rsid w:val="000F7E56"/>
  </w:style>
  <w:style w:type="table" w:styleId="TableGrid">
    <w:name w:val="Table Grid"/>
    <w:basedOn w:val="TableNormal"/>
    <w:uiPriority w:val="39"/>
    <w:rsid w:val="000F7E5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Emphasis">
    <w:name w:val="Emphasis"/>
    <w:basedOn w:val="DefaultParagraphFont"/>
    <w:uiPriority w:val="20"/>
    <w:qFormat/>
    <w:rsid w:val="000F7E56"/>
    <w:rPr>
      <w:i/>
      <w:iCs/>
    </w:rPr>
  </w:style>
  <w:style w:type="numbering" w:customStyle="1" w:styleId="NoList2">
    <w:name w:val="No List2"/>
    <w:next w:val="NoList"/>
    <w:uiPriority w:val="99"/>
    <w:semiHidden/>
    <w:unhideWhenUsed/>
    <w:rsid w:val="000F7E56"/>
  </w:style>
  <w:style w:type="table" w:customStyle="1" w:styleId="TableGrid1">
    <w:name w:val="Table Grid1"/>
    <w:basedOn w:val="TableNormal"/>
    <w:next w:val="TableGrid"/>
    <w:uiPriority w:val="39"/>
    <w:rsid w:val="000F7E5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39"/>
    <w:rsid w:val="000F7E5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39"/>
    <w:rsid w:val="000F7E5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basedOn w:val="Normal"/>
    <w:next w:val="Normal"/>
    <w:uiPriority w:val="35"/>
    <w:unhideWhenUsed/>
    <w:qFormat/>
    <w:rsid w:val="000F7E56"/>
    <w:pPr>
      <w:keepNext/>
      <w:spacing w:after="200" w:line="240" w:lineRule="auto"/>
      <w:jc w:val="both"/>
    </w:pPr>
    <w:rPr>
      <w:rFonts w:cstheme="minorHAnsi"/>
      <w:iCs/>
      <w:color w:val="44546A" w:themeColor="text2"/>
    </w:rPr>
  </w:style>
  <w:style w:type="paragraph" w:styleId="TableofFigures">
    <w:name w:val="table of figures"/>
    <w:basedOn w:val="Normal"/>
    <w:next w:val="Normal"/>
    <w:uiPriority w:val="99"/>
    <w:unhideWhenUsed/>
    <w:rsid w:val="000F7E56"/>
    <w:pPr>
      <w:spacing w:after="0"/>
    </w:pPr>
  </w:style>
  <w:style w:type="paragraph" w:styleId="Title">
    <w:name w:val="Title"/>
    <w:basedOn w:val="Normal"/>
    <w:next w:val="Normal"/>
    <w:link w:val="TitleChar"/>
    <w:uiPriority w:val="10"/>
    <w:qFormat/>
    <w:rsid w:val="000F7E56"/>
    <w:pPr>
      <w:spacing w:after="0" w:line="240" w:lineRule="auto"/>
      <w:contextualSpacing/>
    </w:pPr>
    <w:rPr>
      <w:rFonts w:asciiTheme="majorHAnsi" w:eastAsiaTheme="majorEastAsia" w:hAnsiTheme="majorHAnsi" w:cstheme="majorBidi"/>
      <w:color w:val="2F5496" w:themeColor="accent1" w:themeShade="BF"/>
      <w:spacing w:val="-10"/>
      <w:kern w:val="28"/>
      <w:sz w:val="56"/>
      <w:szCs w:val="56"/>
    </w:rPr>
  </w:style>
  <w:style w:type="character" w:customStyle="1" w:styleId="TitleChar">
    <w:name w:val="Title Char"/>
    <w:basedOn w:val="DefaultParagraphFont"/>
    <w:link w:val="Title"/>
    <w:uiPriority w:val="10"/>
    <w:rsid w:val="000F7E56"/>
    <w:rPr>
      <w:rFonts w:asciiTheme="majorHAnsi" w:eastAsiaTheme="majorEastAsia" w:hAnsiTheme="majorHAnsi" w:cstheme="majorBidi"/>
      <w:color w:val="2F5496" w:themeColor="accent1" w:themeShade="BF"/>
      <w:spacing w:val="-10"/>
      <w:kern w:val="28"/>
      <w:sz w:val="56"/>
      <w:szCs w:val="56"/>
    </w:rPr>
  </w:style>
  <w:style w:type="paragraph" w:styleId="NoSpacing">
    <w:name w:val="No Spacing"/>
    <w:uiPriority w:val="1"/>
    <w:qFormat/>
    <w:rsid w:val="000F7E56"/>
    <w:pPr>
      <w:spacing w:after="0" w:line="240" w:lineRule="auto"/>
    </w:pPr>
  </w:style>
  <w:style w:type="paragraph" w:customStyle="1" w:styleId="xmsonormal">
    <w:name w:val="x_msonormal"/>
    <w:basedOn w:val="Normal"/>
    <w:rsid w:val="000F7E56"/>
    <w:pPr>
      <w:spacing w:before="100" w:beforeAutospacing="1" w:after="100" w:afterAutospacing="1" w:line="240" w:lineRule="auto"/>
    </w:pPr>
    <w:rPr>
      <w:rFonts w:ascii="Times New Roman" w:eastAsia="Times New Roman" w:hAnsi="Times New Roman" w:cs="Times New Roman"/>
      <w:sz w:val="24"/>
      <w:szCs w:val="24"/>
      <w:lang w:eastAsia="en-GB"/>
    </w:rPr>
  </w:style>
  <w:style w:type="character" w:customStyle="1" w:styleId="hgkelc">
    <w:name w:val="hgkelc"/>
    <w:basedOn w:val="DefaultParagraphFont"/>
    <w:rsid w:val="000F7E56"/>
  </w:style>
  <w:style w:type="paragraph" w:customStyle="1" w:styleId="EndNoteBibliographyTitle">
    <w:name w:val="EndNote Bibliography Title"/>
    <w:basedOn w:val="Normal"/>
    <w:link w:val="EndNoteBibliographyTitleChar"/>
    <w:rsid w:val="000F7E56"/>
    <w:pPr>
      <w:spacing w:after="0"/>
      <w:jc w:val="center"/>
    </w:pPr>
    <w:rPr>
      <w:rFonts w:ascii="Calibri" w:hAnsi="Calibri" w:cs="Calibri"/>
      <w:noProof/>
      <w:lang w:val="en-US"/>
    </w:rPr>
  </w:style>
  <w:style w:type="character" w:customStyle="1" w:styleId="EndNoteBibliographyTitleChar">
    <w:name w:val="EndNote Bibliography Title Char"/>
    <w:basedOn w:val="DefaultParagraphFont"/>
    <w:link w:val="EndNoteBibliographyTitle"/>
    <w:rsid w:val="000F7E56"/>
    <w:rPr>
      <w:rFonts w:ascii="Calibri" w:hAnsi="Calibri" w:cs="Calibri"/>
      <w:noProof/>
      <w:lang w:val="en-US"/>
    </w:rPr>
  </w:style>
  <w:style w:type="character" w:customStyle="1" w:styleId="UnresolvedMention1">
    <w:name w:val="Unresolved Mention1"/>
    <w:basedOn w:val="DefaultParagraphFont"/>
    <w:uiPriority w:val="99"/>
    <w:semiHidden/>
    <w:unhideWhenUsed/>
    <w:rsid w:val="000F7E56"/>
    <w:rPr>
      <w:color w:val="605E5C"/>
      <w:shd w:val="clear" w:color="auto" w:fill="E1DFDD"/>
    </w:rPr>
  </w:style>
  <w:style w:type="character" w:styleId="UnresolvedMention">
    <w:name w:val="Unresolved Mention"/>
    <w:basedOn w:val="DefaultParagraphFont"/>
    <w:uiPriority w:val="99"/>
    <w:semiHidden/>
    <w:unhideWhenUsed/>
    <w:rsid w:val="000F7E56"/>
    <w:rPr>
      <w:color w:val="605E5C"/>
      <w:shd w:val="clear" w:color="auto" w:fill="E1DFDD"/>
    </w:rPr>
  </w:style>
  <w:style w:type="paragraph" w:customStyle="1" w:styleId="Pa61">
    <w:name w:val="Pa61"/>
    <w:basedOn w:val="Normal"/>
    <w:next w:val="Normal"/>
    <w:uiPriority w:val="99"/>
    <w:rsid w:val="000F7E56"/>
    <w:pPr>
      <w:autoSpaceDE w:val="0"/>
      <w:autoSpaceDN w:val="0"/>
      <w:adjustRightInd w:val="0"/>
      <w:spacing w:after="0" w:line="181" w:lineRule="atLeast"/>
    </w:pPr>
    <w:rPr>
      <w:rFonts w:ascii="Rotis II Sans Std Light" w:hAnsi="Rotis II Sans Std Light"/>
      <w:sz w:val="24"/>
      <w:szCs w:val="24"/>
    </w:rPr>
  </w:style>
  <w:style w:type="paragraph" w:customStyle="1" w:styleId="Pa12">
    <w:name w:val="Pa12"/>
    <w:basedOn w:val="Normal"/>
    <w:next w:val="Normal"/>
    <w:uiPriority w:val="99"/>
    <w:rsid w:val="000F7E56"/>
    <w:pPr>
      <w:autoSpaceDE w:val="0"/>
      <w:autoSpaceDN w:val="0"/>
      <w:adjustRightInd w:val="0"/>
      <w:spacing w:after="0" w:line="221" w:lineRule="atLeast"/>
    </w:pPr>
    <w:rPr>
      <w:rFonts w:ascii="Rotis Serif Std" w:hAnsi="Rotis Serif Std"/>
      <w:sz w:val="24"/>
      <w:szCs w:val="24"/>
    </w:rPr>
  </w:style>
  <w:style w:type="paragraph" w:styleId="PlainText">
    <w:name w:val="Plain Text"/>
    <w:basedOn w:val="Normal"/>
    <w:link w:val="PlainTextChar"/>
    <w:uiPriority w:val="99"/>
    <w:semiHidden/>
    <w:unhideWhenUsed/>
    <w:rsid w:val="000F7E56"/>
    <w:pPr>
      <w:spacing w:after="0" w:line="240" w:lineRule="auto"/>
    </w:pPr>
    <w:rPr>
      <w:rFonts w:ascii="Consolas" w:hAnsi="Consolas"/>
      <w:sz w:val="21"/>
      <w:szCs w:val="21"/>
    </w:rPr>
  </w:style>
  <w:style w:type="character" w:customStyle="1" w:styleId="PlainTextChar">
    <w:name w:val="Plain Text Char"/>
    <w:basedOn w:val="DefaultParagraphFont"/>
    <w:link w:val="PlainText"/>
    <w:uiPriority w:val="99"/>
    <w:semiHidden/>
    <w:rsid w:val="000F7E56"/>
    <w:rPr>
      <w:rFonts w:ascii="Consolas" w:hAnsi="Consolas"/>
      <w:sz w:val="21"/>
      <w:szCs w:val="21"/>
    </w:rPr>
  </w:style>
  <w:style w:type="character" w:styleId="FollowedHyperlink">
    <w:name w:val="FollowedHyperlink"/>
    <w:basedOn w:val="DefaultParagraphFont"/>
    <w:uiPriority w:val="99"/>
    <w:semiHidden/>
    <w:unhideWhenUsed/>
    <w:rsid w:val="000F7E56"/>
    <w:rPr>
      <w:color w:val="954F72" w:themeColor="followedHyperlink"/>
      <w:u w:val="single"/>
    </w:rPr>
  </w:style>
  <w:style w:type="paragraph" w:styleId="FootnoteText">
    <w:name w:val="footnote text"/>
    <w:basedOn w:val="Normal"/>
    <w:link w:val="FootnoteTextChar"/>
    <w:uiPriority w:val="99"/>
    <w:semiHidden/>
    <w:unhideWhenUsed/>
    <w:rsid w:val="000F7E56"/>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0F7E56"/>
    <w:rPr>
      <w:sz w:val="20"/>
      <w:szCs w:val="20"/>
    </w:rPr>
  </w:style>
  <w:style w:type="character" w:styleId="FootnoteReference">
    <w:name w:val="footnote reference"/>
    <w:basedOn w:val="DefaultParagraphFont"/>
    <w:uiPriority w:val="99"/>
    <w:semiHidden/>
    <w:unhideWhenUsed/>
    <w:rsid w:val="000F7E56"/>
    <w:rPr>
      <w:vertAlign w:val="superscript"/>
    </w:rPr>
  </w:style>
  <w:style w:type="paragraph" w:styleId="BodyText">
    <w:name w:val="Body Text"/>
    <w:basedOn w:val="Normal"/>
    <w:link w:val="BodyTextChar"/>
    <w:uiPriority w:val="99"/>
    <w:semiHidden/>
    <w:unhideWhenUsed/>
    <w:rsid w:val="000F7E56"/>
    <w:pPr>
      <w:spacing w:after="120"/>
    </w:pPr>
  </w:style>
  <w:style w:type="character" w:customStyle="1" w:styleId="BodyTextChar">
    <w:name w:val="Body Text Char"/>
    <w:basedOn w:val="DefaultParagraphFont"/>
    <w:link w:val="BodyText"/>
    <w:uiPriority w:val="99"/>
    <w:semiHidden/>
    <w:rsid w:val="000F7E56"/>
  </w:style>
  <w:style w:type="character" w:customStyle="1" w:styleId="itwtqi23ioopmk3o6ert">
    <w:name w:val="itwtqi_23ioopmk3o6ert"/>
    <w:basedOn w:val="DefaultParagraphFont"/>
    <w:rsid w:val="000F7E56"/>
  </w:style>
  <w:style w:type="paragraph" w:customStyle="1" w:styleId="xxxmsonormal">
    <w:name w:val="x_x_x_msonormal"/>
    <w:basedOn w:val="Normal"/>
    <w:rsid w:val="000F7E56"/>
    <w:pPr>
      <w:spacing w:before="100" w:beforeAutospacing="1" w:after="100" w:afterAutospacing="1" w:line="240" w:lineRule="auto"/>
    </w:pPr>
    <w:rPr>
      <w:rFonts w:ascii="Times New Roman" w:eastAsia="Times New Roman" w:hAnsi="Times New Roman" w:cs="Times New Roman"/>
      <w:sz w:val="24"/>
      <w:szCs w:val="24"/>
      <w:lang w:eastAsia="en-GB"/>
    </w:rPr>
  </w:style>
  <w:style w:type="paragraph" w:styleId="TOC4">
    <w:name w:val="toc 4"/>
    <w:basedOn w:val="Normal"/>
    <w:next w:val="Normal"/>
    <w:autoRedefine/>
    <w:uiPriority w:val="39"/>
    <w:unhideWhenUsed/>
    <w:rsid w:val="000F7E56"/>
    <w:pPr>
      <w:spacing w:after="100"/>
      <w:ind w:left="660"/>
    </w:pPr>
    <w:rPr>
      <w:rFonts w:eastAsiaTheme="minorEastAsia"/>
      <w:lang w:eastAsia="en-GB"/>
    </w:rPr>
  </w:style>
  <w:style w:type="paragraph" w:styleId="TOC5">
    <w:name w:val="toc 5"/>
    <w:basedOn w:val="Normal"/>
    <w:next w:val="Normal"/>
    <w:autoRedefine/>
    <w:uiPriority w:val="39"/>
    <w:unhideWhenUsed/>
    <w:rsid w:val="000F7E56"/>
    <w:pPr>
      <w:spacing w:after="100"/>
      <w:ind w:left="880"/>
    </w:pPr>
    <w:rPr>
      <w:rFonts w:eastAsiaTheme="minorEastAsia"/>
      <w:lang w:eastAsia="en-GB"/>
    </w:rPr>
  </w:style>
  <w:style w:type="paragraph" w:styleId="TOC6">
    <w:name w:val="toc 6"/>
    <w:basedOn w:val="Normal"/>
    <w:next w:val="Normal"/>
    <w:autoRedefine/>
    <w:uiPriority w:val="39"/>
    <w:unhideWhenUsed/>
    <w:rsid w:val="000F7E56"/>
    <w:pPr>
      <w:spacing w:after="100"/>
      <w:ind w:left="1100"/>
    </w:pPr>
    <w:rPr>
      <w:rFonts w:eastAsiaTheme="minorEastAsia"/>
      <w:lang w:eastAsia="en-GB"/>
    </w:rPr>
  </w:style>
  <w:style w:type="paragraph" w:styleId="TOC7">
    <w:name w:val="toc 7"/>
    <w:basedOn w:val="Normal"/>
    <w:next w:val="Normal"/>
    <w:autoRedefine/>
    <w:uiPriority w:val="39"/>
    <w:unhideWhenUsed/>
    <w:rsid w:val="000F7E56"/>
    <w:pPr>
      <w:spacing w:after="100"/>
      <w:ind w:left="1320"/>
    </w:pPr>
    <w:rPr>
      <w:rFonts w:eastAsiaTheme="minorEastAsia"/>
      <w:lang w:eastAsia="en-GB"/>
    </w:rPr>
  </w:style>
  <w:style w:type="paragraph" w:styleId="TOC8">
    <w:name w:val="toc 8"/>
    <w:basedOn w:val="Normal"/>
    <w:next w:val="Normal"/>
    <w:autoRedefine/>
    <w:uiPriority w:val="39"/>
    <w:unhideWhenUsed/>
    <w:rsid w:val="000F7E56"/>
    <w:pPr>
      <w:spacing w:after="100"/>
      <w:ind w:left="1540"/>
    </w:pPr>
    <w:rPr>
      <w:rFonts w:eastAsiaTheme="minorEastAsia"/>
      <w:lang w:eastAsia="en-GB"/>
    </w:rPr>
  </w:style>
  <w:style w:type="paragraph" w:styleId="TOC9">
    <w:name w:val="toc 9"/>
    <w:basedOn w:val="Normal"/>
    <w:next w:val="Normal"/>
    <w:autoRedefine/>
    <w:uiPriority w:val="39"/>
    <w:unhideWhenUsed/>
    <w:rsid w:val="000F7E56"/>
    <w:pPr>
      <w:spacing w:after="100"/>
      <w:ind w:left="1760"/>
    </w:pPr>
    <w:rPr>
      <w:rFonts w:eastAsiaTheme="minorEastAsia"/>
      <w:lang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7897413">
      <w:bodyDiv w:val="1"/>
      <w:marLeft w:val="0"/>
      <w:marRight w:val="0"/>
      <w:marTop w:val="0"/>
      <w:marBottom w:val="0"/>
      <w:divBdr>
        <w:top w:val="none" w:sz="0" w:space="0" w:color="auto"/>
        <w:left w:val="none" w:sz="0" w:space="0" w:color="auto"/>
        <w:bottom w:val="none" w:sz="0" w:space="0" w:color="auto"/>
        <w:right w:val="none" w:sz="0" w:space="0" w:color="auto"/>
      </w:divBdr>
      <w:divsChild>
        <w:div w:id="1520655331">
          <w:marLeft w:val="0"/>
          <w:marRight w:val="0"/>
          <w:marTop w:val="0"/>
          <w:marBottom w:val="0"/>
          <w:divBdr>
            <w:top w:val="single" w:sz="6" w:space="0" w:color="5B616B"/>
            <w:left w:val="single" w:sz="6" w:space="0" w:color="5B616B"/>
            <w:bottom w:val="single" w:sz="6" w:space="0" w:color="5B616B"/>
            <w:right w:val="single" w:sz="6" w:space="0" w:color="5B616B"/>
          </w:divBdr>
        </w:div>
        <w:div w:id="655912938">
          <w:marLeft w:val="0"/>
          <w:marRight w:val="0"/>
          <w:marTop w:val="0"/>
          <w:marBottom w:val="0"/>
          <w:divBdr>
            <w:top w:val="none" w:sz="0" w:space="0" w:color="auto"/>
            <w:left w:val="none" w:sz="0" w:space="0" w:color="auto"/>
            <w:bottom w:val="none" w:sz="0" w:space="0" w:color="auto"/>
            <w:right w:val="none" w:sz="0" w:space="0" w:color="auto"/>
          </w:divBdr>
          <w:divsChild>
            <w:div w:id="7277239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08440558">
      <w:bodyDiv w:val="1"/>
      <w:marLeft w:val="0"/>
      <w:marRight w:val="0"/>
      <w:marTop w:val="0"/>
      <w:marBottom w:val="0"/>
      <w:divBdr>
        <w:top w:val="none" w:sz="0" w:space="0" w:color="auto"/>
        <w:left w:val="none" w:sz="0" w:space="0" w:color="auto"/>
        <w:bottom w:val="none" w:sz="0" w:space="0" w:color="auto"/>
        <w:right w:val="none" w:sz="0" w:space="0" w:color="auto"/>
      </w:divBdr>
    </w:div>
    <w:div w:id="133445248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chart" Target="charts/chart2.xml"/><Relationship Id="rId39" Type="http://schemas.openxmlformats.org/officeDocument/2006/relationships/theme" Target="theme/theme1.xml"/><Relationship Id="rId21" Type="http://schemas.openxmlformats.org/officeDocument/2006/relationships/diagramQuickStyle" Target="diagrams/quickStyle1.xml"/><Relationship Id="rId34" Type="http://schemas.openxmlformats.org/officeDocument/2006/relationships/hyperlink" Target="https://www.e-lfh.org.uk/programmes/end-of-life-care/" TargetMode="External"/><Relationship Id="rId7" Type="http://schemas.openxmlformats.org/officeDocument/2006/relationships/endnotes" Target="endnotes.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footer" Target="footer1.xml"/><Relationship Id="rId33" Type="http://schemas.openxmlformats.org/officeDocument/2006/relationships/hyperlink" Target="https://loros.co.uk/research-at-loros/thinking-ahead" TargetMode="External"/><Relationship Id="rId38"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7.png"/><Relationship Id="rId20" Type="http://schemas.openxmlformats.org/officeDocument/2006/relationships/diagramLayout" Target="diagrams/layout1.xml"/><Relationship Id="rId29" Type="http://schemas.openxmlformats.org/officeDocument/2006/relationships/image" Target="media/image10.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png"/><Relationship Id="rId24" Type="http://schemas.openxmlformats.org/officeDocument/2006/relationships/chart" Target="charts/chart1.xml"/><Relationship Id="rId32" Type="http://schemas.openxmlformats.org/officeDocument/2006/relationships/chart" Target="charts/chart3.xml"/><Relationship Id="rId37" Type="http://schemas.openxmlformats.org/officeDocument/2006/relationships/hyperlink" Target="https://linkprotect.cudasvc.com/url?a=http%3a%2f%2fwww.excavate.org.uk&amp;c=E,1,v5Gb4IOF7sxBrD9FVWN7fOrAdvBCk7Ku8Dic6NCLPGh9JlvR5z-E9VafxYqDIhWj_cEToQd1yeBjp00ITg37rJSfvhqdKQVxebewPqPJEnUnVLzb4CJvgw,,&amp;typo=1" TargetMode="External"/><Relationship Id="rId5" Type="http://schemas.openxmlformats.org/officeDocument/2006/relationships/webSettings" Target="webSettings.xml"/><Relationship Id="rId15" Type="http://schemas.openxmlformats.org/officeDocument/2006/relationships/image" Target="media/image6.png"/><Relationship Id="rId23" Type="http://schemas.microsoft.com/office/2007/relationships/diagramDrawing" Target="diagrams/drawing1.xml"/><Relationship Id="rId28" Type="http://schemas.openxmlformats.org/officeDocument/2006/relationships/footer" Target="footer2.xml"/><Relationship Id="rId36" Type="http://schemas.openxmlformats.org/officeDocument/2006/relationships/image" Target="media/image12.png"/><Relationship Id="rId10" Type="http://schemas.openxmlformats.org/officeDocument/2006/relationships/image" Target="media/image1.png"/><Relationship Id="rId19" Type="http://schemas.openxmlformats.org/officeDocument/2006/relationships/diagramData" Target="diagrams/data1.xml"/><Relationship Id="rId31" Type="http://schemas.openxmlformats.org/officeDocument/2006/relationships/hyperlink" Target="https://www.youtube.com/user/eavafmradio" TargetMode="External"/><Relationship Id="rId4" Type="http://schemas.openxmlformats.org/officeDocument/2006/relationships/settings" Target="settings.xml"/><Relationship Id="rId9" Type="http://schemas.openxmlformats.org/officeDocument/2006/relationships/hyperlink" Target="https://en.wikipedia.org/wiki/Social_stratification" TargetMode="External"/><Relationship Id="rId14" Type="http://schemas.openxmlformats.org/officeDocument/2006/relationships/image" Target="media/image5.png"/><Relationship Id="rId22" Type="http://schemas.openxmlformats.org/officeDocument/2006/relationships/diagramColors" Target="diagrams/colors1.xml"/><Relationship Id="rId27" Type="http://schemas.openxmlformats.org/officeDocument/2006/relationships/header" Target="header1.xml"/><Relationship Id="rId30" Type="http://schemas.openxmlformats.org/officeDocument/2006/relationships/hyperlink" Target="https://www.mixcloud.com/ramadanfm/irfhan-mururajani-loros-with-irfhan-mururajani/" TargetMode="External"/><Relationship Id="rId35" Type="http://schemas.openxmlformats.org/officeDocument/2006/relationships/image" Target="media/image11.png"/><Relationship Id="rId8" Type="http://schemas.openxmlformats.org/officeDocument/2006/relationships/hyperlink" Target="mailto:ZoebiaIslam@loros.co.uk" TargetMode="External"/><Relationship Id="rId3" Type="http://schemas.openxmlformats.org/officeDocument/2006/relationships/styles" Target="styles.xml"/></Relationships>
</file>

<file path=word/charts/_rels/chart1.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package" Target="../embeddings/Microsoft_Excel_Worksheet.xlsx"/></Relationships>
</file>

<file path=word/charts/_rels/chart2.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2.xml"/><Relationship Id="rId1" Type="http://schemas.microsoft.com/office/2011/relationships/chartStyle" Target="style2.xml"/><Relationship Id="rId4" Type="http://schemas.openxmlformats.org/officeDocument/2006/relationships/package" Target="../embeddings/Microsoft_Excel_Worksheet1.xlsx"/></Relationships>
</file>

<file path=word/charts/_rels/chart3.xml.rels><?xml version="1.0" encoding="UTF-8" standalone="yes"?>
<Relationships xmlns="http://schemas.openxmlformats.org/package/2006/relationships"><Relationship Id="rId3" Type="http://schemas.openxmlformats.org/officeDocument/2006/relationships/themeOverride" Target="../theme/themeOverride3.xml"/><Relationship Id="rId2" Type="http://schemas.microsoft.com/office/2011/relationships/chartColorStyle" Target="colors3.xml"/><Relationship Id="rId1" Type="http://schemas.microsoft.com/office/2011/relationships/chartStyle" Target="style3.xml"/><Relationship Id="rId4" Type="http://schemas.openxmlformats.org/officeDocument/2006/relationships/package" Target="../embeddings/Microsoft_Excel_Worksheet2.xlsx"/></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2.2222222222222223E-2"/>
          <c:y val="0.13240515765175734"/>
          <c:w val="0.93888888888888888"/>
          <c:h val="0.31171737705434133"/>
        </c:manualLayout>
      </c:layout>
      <c:lineChart>
        <c:grouping val="standard"/>
        <c:varyColors val="0"/>
        <c:ser>
          <c:idx val="1"/>
          <c:order val="1"/>
          <c:tx>
            <c:strRef>
              <c:f>Sheet1!$C$1</c:f>
              <c:strCache>
                <c:ptCount val="1"/>
                <c:pt idx="0">
                  <c:v>Case studies recruited </c:v>
                </c:pt>
              </c:strCache>
            </c:strRef>
          </c:tx>
          <c:spPr>
            <a:ln w="31750" cap="rnd">
              <a:solidFill>
                <a:schemeClr val="accent2"/>
              </a:solidFill>
              <a:round/>
            </a:ln>
            <a:effectLst/>
          </c:spPr>
          <c:marker>
            <c:symbol val="none"/>
          </c:marker>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2"/>
                    </a:solidFill>
                    <a:latin typeface="+mn-lt"/>
                    <a:ea typeface="+mn-ea"/>
                    <a:cs typeface="+mn-cs"/>
                  </a:defRPr>
                </a:pPr>
                <a:endParaRPr lang="en-US"/>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2">
                          <a:lumMod val="35000"/>
                          <a:lumOff val="65000"/>
                        </a:schemeClr>
                      </a:solidFill>
                    </a:ln>
                    <a:effectLst/>
                  </c:spPr>
                </c15:leaderLines>
              </c:ext>
            </c:extLst>
          </c:dLbls>
          <c:cat>
            <c:numRef>
              <c:f>Sheet1!$A$2:$A$16</c:f>
              <c:numCache>
                <c:formatCode>mmm\-yy</c:formatCode>
                <c:ptCount val="15"/>
                <c:pt idx="0">
                  <c:v>43497</c:v>
                </c:pt>
                <c:pt idx="1">
                  <c:v>43525</c:v>
                </c:pt>
                <c:pt idx="2">
                  <c:v>43556</c:v>
                </c:pt>
                <c:pt idx="3">
                  <c:v>43586</c:v>
                </c:pt>
                <c:pt idx="4">
                  <c:v>43617</c:v>
                </c:pt>
                <c:pt idx="5">
                  <c:v>43647</c:v>
                </c:pt>
                <c:pt idx="6">
                  <c:v>43678</c:v>
                </c:pt>
                <c:pt idx="7">
                  <c:v>43709</c:v>
                </c:pt>
                <c:pt idx="8">
                  <c:v>43739</c:v>
                </c:pt>
                <c:pt idx="9">
                  <c:v>43770</c:v>
                </c:pt>
                <c:pt idx="10">
                  <c:v>43800</c:v>
                </c:pt>
                <c:pt idx="11">
                  <c:v>43831</c:v>
                </c:pt>
                <c:pt idx="12">
                  <c:v>43862</c:v>
                </c:pt>
                <c:pt idx="13">
                  <c:v>43891</c:v>
                </c:pt>
                <c:pt idx="14">
                  <c:v>43922</c:v>
                </c:pt>
              </c:numCache>
            </c:numRef>
          </c:cat>
          <c:val>
            <c:numRef>
              <c:f>Sheet1!$C$2:$C$16</c:f>
              <c:numCache>
                <c:formatCode>General</c:formatCode>
                <c:ptCount val="15"/>
                <c:pt idx="0">
                  <c:v>0</c:v>
                </c:pt>
                <c:pt idx="1">
                  <c:v>2</c:v>
                </c:pt>
                <c:pt idx="2">
                  <c:v>3</c:v>
                </c:pt>
                <c:pt idx="3">
                  <c:v>6</c:v>
                </c:pt>
                <c:pt idx="4">
                  <c:v>10</c:v>
                </c:pt>
                <c:pt idx="5">
                  <c:v>15</c:v>
                </c:pt>
                <c:pt idx="6">
                  <c:v>15</c:v>
                </c:pt>
                <c:pt idx="7">
                  <c:v>16</c:v>
                </c:pt>
                <c:pt idx="8">
                  <c:v>17</c:v>
                </c:pt>
                <c:pt idx="9">
                  <c:v>17</c:v>
                </c:pt>
                <c:pt idx="10">
                  <c:v>18</c:v>
                </c:pt>
                <c:pt idx="11">
                  <c:v>18</c:v>
                </c:pt>
                <c:pt idx="12">
                  <c:v>18</c:v>
                </c:pt>
                <c:pt idx="13">
                  <c:v>18</c:v>
                </c:pt>
                <c:pt idx="14">
                  <c:v>18</c:v>
                </c:pt>
              </c:numCache>
            </c:numRef>
          </c:val>
          <c:smooth val="0"/>
          <c:extLst>
            <c:ext xmlns:c16="http://schemas.microsoft.com/office/drawing/2014/chart" uri="{C3380CC4-5D6E-409C-BE32-E72D297353CC}">
              <c16:uniqueId val="{00000000-1FE5-4A2E-A68D-57A30D04233A}"/>
            </c:ext>
          </c:extLst>
        </c:ser>
        <c:ser>
          <c:idx val="2"/>
          <c:order val="2"/>
          <c:tx>
            <c:strRef>
              <c:f>Sheet1!$D$1</c:f>
              <c:strCache>
                <c:ptCount val="1"/>
                <c:pt idx="0">
                  <c:v>Case studies completed</c:v>
                </c:pt>
              </c:strCache>
            </c:strRef>
          </c:tx>
          <c:spPr>
            <a:ln w="31750" cap="rnd">
              <a:solidFill>
                <a:schemeClr val="accent3"/>
              </a:solidFill>
              <a:round/>
            </a:ln>
            <a:effectLst/>
          </c:spPr>
          <c:marker>
            <c:symbol val="none"/>
          </c:marker>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2"/>
                    </a:solidFill>
                    <a:latin typeface="+mn-lt"/>
                    <a:ea typeface="+mn-ea"/>
                    <a:cs typeface="+mn-cs"/>
                  </a:defRPr>
                </a:pPr>
                <a:endParaRPr lang="en-US"/>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2">
                          <a:lumMod val="35000"/>
                          <a:lumOff val="65000"/>
                        </a:schemeClr>
                      </a:solidFill>
                    </a:ln>
                    <a:effectLst/>
                  </c:spPr>
                </c15:leaderLines>
              </c:ext>
            </c:extLst>
          </c:dLbls>
          <c:cat>
            <c:numRef>
              <c:f>Sheet1!$A$2:$A$16</c:f>
              <c:numCache>
                <c:formatCode>mmm\-yy</c:formatCode>
                <c:ptCount val="15"/>
                <c:pt idx="0">
                  <c:v>43497</c:v>
                </c:pt>
                <c:pt idx="1">
                  <c:v>43525</c:v>
                </c:pt>
                <c:pt idx="2">
                  <c:v>43556</c:v>
                </c:pt>
                <c:pt idx="3">
                  <c:v>43586</c:v>
                </c:pt>
                <c:pt idx="4">
                  <c:v>43617</c:v>
                </c:pt>
                <c:pt idx="5">
                  <c:v>43647</c:v>
                </c:pt>
                <c:pt idx="6">
                  <c:v>43678</c:v>
                </c:pt>
                <c:pt idx="7">
                  <c:v>43709</c:v>
                </c:pt>
                <c:pt idx="8">
                  <c:v>43739</c:v>
                </c:pt>
                <c:pt idx="9">
                  <c:v>43770</c:v>
                </c:pt>
                <c:pt idx="10">
                  <c:v>43800</c:v>
                </c:pt>
                <c:pt idx="11">
                  <c:v>43831</c:v>
                </c:pt>
                <c:pt idx="12">
                  <c:v>43862</c:v>
                </c:pt>
                <c:pt idx="13">
                  <c:v>43891</c:v>
                </c:pt>
                <c:pt idx="14">
                  <c:v>43922</c:v>
                </c:pt>
              </c:numCache>
            </c:numRef>
          </c:cat>
          <c:val>
            <c:numRef>
              <c:f>Sheet1!$D$2:$D$16</c:f>
              <c:numCache>
                <c:formatCode>General</c:formatCode>
                <c:ptCount val="15"/>
                <c:pt idx="7">
                  <c:v>2</c:v>
                </c:pt>
                <c:pt idx="8">
                  <c:v>2</c:v>
                </c:pt>
                <c:pt idx="9">
                  <c:v>4</c:v>
                </c:pt>
                <c:pt idx="10">
                  <c:v>4</c:v>
                </c:pt>
                <c:pt idx="11">
                  <c:v>4</c:v>
                </c:pt>
                <c:pt idx="12">
                  <c:v>5</c:v>
                </c:pt>
                <c:pt idx="13">
                  <c:v>15</c:v>
                </c:pt>
                <c:pt idx="14">
                  <c:v>18</c:v>
                </c:pt>
              </c:numCache>
            </c:numRef>
          </c:val>
          <c:smooth val="0"/>
          <c:extLst>
            <c:ext xmlns:c16="http://schemas.microsoft.com/office/drawing/2014/chart" uri="{C3380CC4-5D6E-409C-BE32-E72D297353CC}">
              <c16:uniqueId val="{00000001-1FE5-4A2E-A68D-57A30D04233A}"/>
            </c:ext>
          </c:extLst>
        </c:ser>
        <c:dLbls>
          <c:dLblPos val="ctr"/>
          <c:showLegendKey val="0"/>
          <c:showVal val="1"/>
          <c:showCatName val="0"/>
          <c:showSerName val="0"/>
          <c:showPercent val="0"/>
          <c:showBubbleSize val="0"/>
        </c:dLbls>
        <c:smooth val="0"/>
        <c:axId val="507223728"/>
        <c:axId val="512420416"/>
        <c:extLst>
          <c:ext xmlns:c15="http://schemas.microsoft.com/office/drawing/2012/chart" uri="{02D57815-91ED-43cb-92C2-25804820EDAC}">
            <c15:filteredLineSeries>
              <c15:ser>
                <c:idx val="0"/>
                <c:order val="0"/>
                <c:tx>
                  <c:strRef>
                    <c:extLst>
                      <c:ext uri="{02D57815-91ED-43cb-92C2-25804820EDAC}">
                        <c15:formulaRef>
                          <c15:sqref>Sheet1!$B$1</c15:sqref>
                        </c15:formulaRef>
                      </c:ext>
                    </c:extLst>
                    <c:strCache>
                      <c:ptCount val="1"/>
                    </c:strCache>
                  </c:strRef>
                </c:tx>
                <c:spPr>
                  <a:ln w="31750" cap="rnd">
                    <a:solidFill>
                      <a:schemeClr val="accent1"/>
                    </a:solidFill>
                    <a:round/>
                  </a:ln>
                  <a:effectLst/>
                </c:spPr>
                <c:marker>
                  <c:symbol val="none"/>
                </c:marker>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2"/>
                          </a:solidFill>
                          <a:latin typeface="+mn-lt"/>
                          <a:ea typeface="+mn-ea"/>
                          <a:cs typeface="+mn-cs"/>
                        </a:defRPr>
                      </a:pPr>
                      <a:endParaRPr lang="en-US"/>
                    </a:p>
                  </c:txPr>
                  <c:dLblPos val="ctr"/>
                  <c:showLegendKey val="0"/>
                  <c:showVal val="1"/>
                  <c:showCatName val="0"/>
                  <c:showSerName val="0"/>
                  <c:showPercent val="0"/>
                  <c:showBubbleSize val="0"/>
                  <c:showLeaderLines val="0"/>
                  <c:extLst>
                    <c:ext uri="{CE6537A1-D6FC-4f65-9D91-7224C49458BB}">
                      <c15:showLeaderLines val="1"/>
                      <c15:leaderLines>
                        <c:spPr>
                          <a:ln w="9525">
                            <a:solidFill>
                              <a:schemeClr val="tx2">
                                <a:lumMod val="35000"/>
                                <a:lumOff val="65000"/>
                              </a:schemeClr>
                            </a:solidFill>
                          </a:ln>
                          <a:effectLst/>
                        </c:spPr>
                      </c15:leaderLines>
                    </c:ext>
                  </c:extLst>
                </c:dLbls>
                <c:cat>
                  <c:numRef>
                    <c:extLst>
                      <c:ext uri="{02D57815-91ED-43cb-92C2-25804820EDAC}">
                        <c15:formulaRef>
                          <c15:sqref>Sheet1!$A$2:$A$16</c15:sqref>
                        </c15:formulaRef>
                      </c:ext>
                    </c:extLst>
                    <c:numCache>
                      <c:formatCode>mmm\-yy</c:formatCode>
                      <c:ptCount val="15"/>
                      <c:pt idx="0">
                        <c:v>43497</c:v>
                      </c:pt>
                      <c:pt idx="1">
                        <c:v>43525</c:v>
                      </c:pt>
                      <c:pt idx="2">
                        <c:v>43556</c:v>
                      </c:pt>
                      <c:pt idx="3">
                        <c:v>43586</c:v>
                      </c:pt>
                      <c:pt idx="4">
                        <c:v>43617</c:v>
                      </c:pt>
                      <c:pt idx="5">
                        <c:v>43647</c:v>
                      </c:pt>
                      <c:pt idx="6">
                        <c:v>43678</c:v>
                      </c:pt>
                      <c:pt idx="7">
                        <c:v>43709</c:v>
                      </c:pt>
                      <c:pt idx="8">
                        <c:v>43739</c:v>
                      </c:pt>
                      <c:pt idx="9">
                        <c:v>43770</c:v>
                      </c:pt>
                      <c:pt idx="10">
                        <c:v>43800</c:v>
                      </c:pt>
                      <c:pt idx="11">
                        <c:v>43831</c:v>
                      </c:pt>
                      <c:pt idx="12">
                        <c:v>43862</c:v>
                      </c:pt>
                      <c:pt idx="13">
                        <c:v>43891</c:v>
                      </c:pt>
                      <c:pt idx="14">
                        <c:v>43922</c:v>
                      </c:pt>
                    </c:numCache>
                  </c:numRef>
                </c:cat>
                <c:val>
                  <c:numRef>
                    <c:extLst>
                      <c:ext uri="{02D57815-91ED-43cb-92C2-25804820EDAC}">
                        <c15:formulaRef>
                          <c15:sqref>Sheet1!$B$2:$B$16</c15:sqref>
                        </c15:formulaRef>
                      </c:ext>
                    </c:extLst>
                    <c:numCache>
                      <c:formatCode>General</c:formatCode>
                      <c:ptCount val="15"/>
                    </c:numCache>
                  </c:numRef>
                </c:val>
                <c:smooth val="0"/>
                <c:extLst>
                  <c:ext xmlns:c16="http://schemas.microsoft.com/office/drawing/2014/chart" uri="{C3380CC4-5D6E-409C-BE32-E72D297353CC}">
                    <c16:uniqueId val="{00000002-1FE5-4A2E-A68D-57A30D04233A}"/>
                  </c:ext>
                </c:extLst>
              </c15:ser>
            </c15:filteredLineSeries>
            <c15:filteredLineSeries>
              <c15:ser>
                <c:idx val="3"/>
                <c:order val="3"/>
                <c:tx>
                  <c:strRef>
                    <c:extLst xmlns:c15="http://schemas.microsoft.com/office/drawing/2012/chart">
                      <c:ext xmlns:c15="http://schemas.microsoft.com/office/drawing/2012/chart" uri="{02D57815-91ED-43cb-92C2-25804820EDAC}">
                        <c15:formulaRef>
                          <c15:sqref>Sheet1!$E$1</c15:sqref>
                        </c15:formulaRef>
                      </c:ext>
                    </c:extLst>
                    <c:strCache>
                      <c:ptCount val="1"/>
                    </c:strCache>
                  </c:strRef>
                </c:tx>
                <c:spPr>
                  <a:ln w="31750" cap="rnd">
                    <a:solidFill>
                      <a:schemeClr val="accent4"/>
                    </a:solidFill>
                    <a:round/>
                  </a:ln>
                  <a:effectLst/>
                </c:spPr>
                <c:marker>
                  <c:symbol val="none"/>
                </c:marker>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2"/>
                          </a:solidFill>
                          <a:latin typeface="+mn-lt"/>
                          <a:ea typeface="+mn-ea"/>
                          <a:cs typeface="+mn-cs"/>
                        </a:defRPr>
                      </a:pPr>
                      <a:endParaRPr lang="en-US"/>
                    </a:p>
                  </c:txPr>
                  <c:dLblPos val="ctr"/>
                  <c:showLegendKey val="0"/>
                  <c:showVal val="1"/>
                  <c:showCatName val="0"/>
                  <c:showSerName val="0"/>
                  <c:showPercent val="0"/>
                  <c:showBubbleSize val="0"/>
                  <c:showLeaderLines val="0"/>
                  <c:extLst xmlns:c15="http://schemas.microsoft.com/office/drawing/2012/chart">
                    <c:ext xmlns:c15="http://schemas.microsoft.com/office/drawing/2012/chart" uri="{CE6537A1-D6FC-4f65-9D91-7224C49458BB}">
                      <c15:showLeaderLines val="1"/>
                      <c15:leaderLines>
                        <c:spPr>
                          <a:ln w="9525">
                            <a:solidFill>
                              <a:schemeClr val="tx2">
                                <a:lumMod val="35000"/>
                                <a:lumOff val="65000"/>
                              </a:schemeClr>
                            </a:solidFill>
                          </a:ln>
                          <a:effectLst/>
                        </c:spPr>
                      </c15:leaderLines>
                    </c:ext>
                  </c:extLst>
                </c:dLbls>
                <c:cat>
                  <c:numRef>
                    <c:extLst xmlns:c15="http://schemas.microsoft.com/office/drawing/2012/chart">
                      <c:ext xmlns:c15="http://schemas.microsoft.com/office/drawing/2012/chart" uri="{02D57815-91ED-43cb-92C2-25804820EDAC}">
                        <c15:formulaRef>
                          <c15:sqref>Sheet1!$A$2:$A$16</c15:sqref>
                        </c15:formulaRef>
                      </c:ext>
                    </c:extLst>
                    <c:numCache>
                      <c:formatCode>mmm\-yy</c:formatCode>
                      <c:ptCount val="15"/>
                      <c:pt idx="0">
                        <c:v>43497</c:v>
                      </c:pt>
                      <c:pt idx="1">
                        <c:v>43525</c:v>
                      </c:pt>
                      <c:pt idx="2">
                        <c:v>43556</c:v>
                      </c:pt>
                      <c:pt idx="3">
                        <c:v>43586</c:v>
                      </c:pt>
                      <c:pt idx="4">
                        <c:v>43617</c:v>
                      </c:pt>
                      <c:pt idx="5">
                        <c:v>43647</c:v>
                      </c:pt>
                      <c:pt idx="6">
                        <c:v>43678</c:v>
                      </c:pt>
                      <c:pt idx="7">
                        <c:v>43709</c:v>
                      </c:pt>
                      <c:pt idx="8">
                        <c:v>43739</c:v>
                      </c:pt>
                      <c:pt idx="9">
                        <c:v>43770</c:v>
                      </c:pt>
                      <c:pt idx="10">
                        <c:v>43800</c:v>
                      </c:pt>
                      <c:pt idx="11">
                        <c:v>43831</c:v>
                      </c:pt>
                      <c:pt idx="12">
                        <c:v>43862</c:v>
                      </c:pt>
                      <c:pt idx="13">
                        <c:v>43891</c:v>
                      </c:pt>
                      <c:pt idx="14">
                        <c:v>43922</c:v>
                      </c:pt>
                    </c:numCache>
                  </c:numRef>
                </c:cat>
                <c:val>
                  <c:numRef>
                    <c:extLst xmlns:c15="http://schemas.microsoft.com/office/drawing/2012/chart">
                      <c:ext xmlns:c15="http://schemas.microsoft.com/office/drawing/2012/chart" uri="{02D57815-91ED-43cb-92C2-25804820EDAC}">
                        <c15:formulaRef>
                          <c15:sqref>Sheet1!$E$2:$E$16</c15:sqref>
                        </c15:formulaRef>
                      </c:ext>
                    </c:extLst>
                    <c:numCache>
                      <c:formatCode>General</c:formatCode>
                      <c:ptCount val="15"/>
                    </c:numCache>
                  </c:numRef>
                </c:val>
                <c:smooth val="0"/>
                <c:extLst xmlns:c15="http://schemas.microsoft.com/office/drawing/2012/chart">
                  <c:ext xmlns:c16="http://schemas.microsoft.com/office/drawing/2014/chart" uri="{C3380CC4-5D6E-409C-BE32-E72D297353CC}">
                    <c16:uniqueId val="{00000003-1FE5-4A2E-A68D-57A30D04233A}"/>
                  </c:ext>
                </c:extLst>
              </c15:ser>
            </c15:filteredLineSeries>
            <c15:filteredLineSeries>
              <c15:ser>
                <c:idx val="4"/>
                <c:order val="4"/>
                <c:tx>
                  <c:strRef>
                    <c:extLst xmlns:c15="http://schemas.microsoft.com/office/drawing/2012/chart">
                      <c:ext xmlns:c15="http://schemas.microsoft.com/office/drawing/2012/chart" uri="{02D57815-91ED-43cb-92C2-25804820EDAC}">
                        <c15:formulaRef>
                          <c15:sqref>Sheet1!$F$1</c15:sqref>
                        </c15:formulaRef>
                      </c:ext>
                    </c:extLst>
                    <c:strCache>
                      <c:ptCount val="1"/>
                    </c:strCache>
                  </c:strRef>
                </c:tx>
                <c:spPr>
                  <a:ln w="31750" cap="rnd">
                    <a:solidFill>
                      <a:schemeClr val="accent5"/>
                    </a:solidFill>
                    <a:round/>
                  </a:ln>
                  <a:effectLst/>
                </c:spPr>
                <c:marker>
                  <c:symbol val="none"/>
                </c:marker>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2"/>
                          </a:solidFill>
                          <a:latin typeface="+mn-lt"/>
                          <a:ea typeface="+mn-ea"/>
                          <a:cs typeface="+mn-cs"/>
                        </a:defRPr>
                      </a:pPr>
                      <a:endParaRPr lang="en-US"/>
                    </a:p>
                  </c:txPr>
                  <c:dLblPos val="ctr"/>
                  <c:showLegendKey val="0"/>
                  <c:showVal val="1"/>
                  <c:showCatName val="0"/>
                  <c:showSerName val="0"/>
                  <c:showPercent val="0"/>
                  <c:showBubbleSize val="0"/>
                  <c:showLeaderLines val="0"/>
                  <c:extLst xmlns:c15="http://schemas.microsoft.com/office/drawing/2012/chart">
                    <c:ext xmlns:c15="http://schemas.microsoft.com/office/drawing/2012/chart" uri="{CE6537A1-D6FC-4f65-9D91-7224C49458BB}">
                      <c15:showLeaderLines val="1"/>
                      <c15:leaderLines>
                        <c:spPr>
                          <a:ln w="9525">
                            <a:solidFill>
                              <a:schemeClr val="tx2">
                                <a:lumMod val="35000"/>
                                <a:lumOff val="65000"/>
                              </a:schemeClr>
                            </a:solidFill>
                          </a:ln>
                          <a:effectLst/>
                        </c:spPr>
                      </c15:leaderLines>
                    </c:ext>
                  </c:extLst>
                </c:dLbls>
                <c:cat>
                  <c:numRef>
                    <c:extLst xmlns:c15="http://schemas.microsoft.com/office/drawing/2012/chart">
                      <c:ext xmlns:c15="http://schemas.microsoft.com/office/drawing/2012/chart" uri="{02D57815-91ED-43cb-92C2-25804820EDAC}">
                        <c15:formulaRef>
                          <c15:sqref>Sheet1!$A$2:$A$16</c15:sqref>
                        </c15:formulaRef>
                      </c:ext>
                    </c:extLst>
                    <c:numCache>
                      <c:formatCode>mmm\-yy</c:formatCode>
                      <c:ptCount val="15"/>
                      <c:pt idx="0">
                        <c:v>43497</c:v>
                      </c:pt>
                      <c:pt idx="1">
                        <c:v>43525</c:v>
                      </c:pt>
                      <c:pt idx="2">
                        <c:v>43556</c:v>
                      </c:pt>
                      <c:pt idx="3">
                        <c:v>43586</c:v>
                      </c:pt>
                      <c:pt idx="4">
                        <c:v>43617</c:v>
                      </c:pt>
                      <c:pt idx="5">
                        <c:v>43647</c:v>
                      </c:pt>
                      <c:pt idx="6">
                        <c:v>43678</c:v>
                      </c:pt>
                      <c:pt idx="7">
                        <c:v>43709</c:v>
                      </c:pt>
                      <c:pt idx="8">
                        <c:v>43739</c:v>
                      </c:pt>
                      <c:pt idx="9">
                        <c:v>43770</c:v>
                      </c:pt>
                      <c:pt idx="10">
                        <c:v>43800</c:v>
                      </c:pt>
                      <c:pt idx="11">
                        <c:v>43831</c:v>
                      </c:pt>
                      <c:pt idx="12">
                        <c:v>43862</c:v>
                      </c:pt>
                      <c:pt idx="13">
                        <c:v>43891</c:v>
                      </c:pt>
                      <c:pt idx="14">
                        <c:v>43922</c:v>
                      </c:pt>
                    </c:numCache>
                  </c:numRef>
                </c:cat>
                <c:val>
                  <c:numRef>
                    <c:extLst xmlns:c15="http://schemas.microsoft.com/office/drawing/2012/chart">
                      <c:ext xmlns:c15="http://schemas.microsoft.com/office/drawing/2012/chart" uri="{02D57815-91ED-43cb-92C2-25804820EDAC}">
                        <c15:formulaRef>
                          <c15:sqref>Sheet1!$F$2:$F$16</c15:sqref>
                        </c15:formulaRef>
                      </c:ext>
                    </c:extLst>
                    <c:numCache>
                      <c:formatCode>General</c:formatCode>
                      <c:ptCount val="15"/>
                    </c:numCache>
                  </c:numRef>
                </c:val>
                <c:smooth val="0"/>
                <c:extLst xmlns:c15="http://schemas.microsoft.com/office/drawing/2012/chart">
                  <c:ext xmlns:c16="http://schemas.microsoft.com/office/drawing/2014/chart" uri="{C3380CC4-5D6E-409C-BE32-E72D297353CC}">
                    <c16:uniqueId val="{00000004-1FE5-4A2E-A68D-57A30D04233A}"/>
                  </c:ext>
                </c:extLst>
              </c15:ser>
            </c15:filteredLineSeries>
          </c:ext>
        </c:extLst>
      </c:lineChart>
      <c:dateAx>
        <c:axId val="507223728"/>
        <c:scaling>
          <c:orientation val="minMax"/>
        </c:scaling>
        <c:delete val="0"/>
        <c:axPos val="b"/>
        <c:numFmt formatCode="mmm\-yy" sourceLinked="1"/>
        <c:majorTickMark val="none"/>
        <c:minorTickMark val="none"/>
        <c:tickLblPos val="nextTo"/>
        <c:spPr>
          <a:noFill/>
          <a:ln w="9525" cap="flat" cmpd="sng" algn="ctr">
            <a:solidFill>
              <a:schemeClr val="tx2">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en-US"/>
          </a:p>
        </c:txPr>
        <c:crossAx val="512420416"/>
        <c:crosses val="autoZero"/>
        <c:auto val="1"/>
        <c:lblOffset val="100"/>
        <c:baseTimeUnit val="months"/>
      </c:dateAx>
      <c:valAx>
        <c:axId val="512420416"/>
        <c:scaling>
          <c:orientation val="minMax"/>
        </c:scaling>
        <c:delete val="0"/>
        <c:axPos val="l"/>
        <c:majorGridlines>
          <c:spPr>
            <a:ln w="9525" cap="flat" cmpd="sng" algn="ctr">
              <a:solidFill>
                <a:schemeClr val="tx2">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en-US"/>
          </a:p>
        </c:txPr>
        <c:crossAx val="507223728"/>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2">
          <a:lumMod val="15000"/>
          <a:lumOff val="85000"/>
        </a:schemeClr>
      </a:solidFill>
      <a:round/>
    </a:ln>
    <a:effectLst/>
  </c:spPr>
  <c:txPr>
    <a:bodyPr/>
    <a:lstStyle/>
    <a:p>
      <a:pPr>
        <a:defRPr/>
      </a:pPr>
      <a:endParaRPr lang="en-US"/>
    </a:p>
  </c:txPr>
  <c:externalData r:id="rId4">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Sheet2!$B$1</c:f>
              <c:strCache>
                <c:ptCount val="1"/>
                <c:pt idx="0">
                  <c:v>Participants Recruited</c:v>
                </c:pt>
              </c:strCache>
            </c:strRef>
          </c:tx>
          <c:spPr>
            <a:ln w="28575" cap="rnd">
              <a:solidFill>
                <a:schemeClr val="accent1"/>
              </a:solidFill>
              <a:round/>
            </a:ln>
            <a:effectLst/>
          </c:spPr>
          <c:marker>
            <c:symbol val="none"/>
          </c:marker>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Sheet2!$A$2:$A$17</c:f>
              <c:numCache>
                <c:formatCode>mmm\-yy</c:formatCode>
                <c:ptCount val="16"/>
                <c:pt idx="0">
                  <c:v>43497</c:v>
                </c:pt>
                <c:pt idx="1">
                  <c:v>43525</c:v>
                </c:pt>
                <c:pt idx="2">
                  <c:v>43556</c:v>
                </c:pt>
                <c:pt idx="3">
                  <c:v>43586</c:v>
                </c:pt>
                <c:pt idx="4">
                  <c:v>43617</c:v>
                </c:pt>
                <c:pt idx="5">
                  <c:v>43647</c:v>
                </c:pt>
                <c:pt idx="6">
                  <c:v>43678</c:v>
                </c:pt>
                <c:pt idx="7">
                  <c:v>43709</c:v>
                </c:pt>
                <c:pt idx="8">
                  <c:v>43739</c:v>
                </c:pt>
                <c:pt idx="9">
                  <c:v>43770</c:v>
                </c:pt>
                <c:pt idx="10">
                  <c:v>43800</c:v>
                </c:pt>
                <c:pt idx="11">
                  <c:v>43831</c:v>
                </c:pt>
                <c:pt idx="12">
                  <c:v>43862</c:v>
                </c:pt>
                <c:pt idx="13">
                  <c:v>43891</c:v>
                </c:pt>
                <c:pt idx="14">
                  <c:v>43922</c:v>
                </c:pt>
                <c:pt idx="15">
                  <c:v>43952</c:v>
                </c:pt>
              </c:numCache>
            </c:numRef>
          </c:cat>
          <c:val>
            <c:numRef>
              <c:f>Sheet2!$B$2:$B$17</c:f>
              <c:numCache>
                <c:formatCode>General</c:formatCode>
                <c:ptCount val="16"/>
                <c:pt idx="0">
                  <c:v>0</c:v>
                </c:pt>
                <c:pt idx="1">
                  <c:v>3</c:v>
                </c:pt>
                <c:pt idx="2">
                  <c:v>4</c:v>
                </c:pt>
                <c:pt idx="3">
                  <c:v>6</c:v>
                </c:pt>
                <c:pt idx="4">
                  <c:v>9</c:v>
                </c:pt>
                <c:pt idx="5">
                  <c:v>11</c:v>
                </c:pt>
                <c:pt idx="6">
                  <c:v>12</c:v>
                </c:pt>
                <c:pt idx="7">
                  <c:v>12</c:v>
                </c:pt>
                <c:pt idx="8">
                  <c:v>12</c:v>
                </c:pt>
                <c:pt idx="9">
                  <c:v>13</c:v>
                </c:pt>
                <c:pt idx="10">
                  <c:v>16</c:v>
                </c:pt>
                <c:pt idx="11">
                  <c:v>16</c:v>
                </c:pt>
                <c:pt idx="12">
                  <c:v>16</c:v>
                </c:pt>
                <c:pt idx="13">
                  <c:v>17</c:v>
                </c:pt>
                <c:pt idx="14">
                  <c:v>18</c:v>
                </c:pt>
                <c:pt idx="15">
                  <c:v>19</c:v>
                </c:pt>
              </c:numCache>
            </c:numRef>
          </c:val>
          <c:smooth val="0"/>
          <c:extLst>
            <c:ext xmlns:c16="http://schemas.microsoft.com/office/drawing/2014/chart" uri="{C3380CC4-5D6E-409C-BE32-E72D297353CC}">
              <c16:uniqueId val="{00000000-0E3C-45EB-BABF-BF611EFDA43C}"/>
            </c:ext>
          </c:extLst>
        </c:ser>
        <c:dLbls>
          <c:dLblPos val="ctr"/>
          <c:showLegendKey val="0"/>
          <c:showVal val="1"/>
          <c:showCatName val="0"/>
          <c:showSerName val="0"/>
          <c:showPercent val="0"/>
          <c:showBubbleSize val="0"/>
        </c:dLbls>
        <c:smooth val="0"/>
        <c:axId val="1657543136"/>
        <c:axId val="1652117008"/>
        <c:extLst>
          <c:ext xmlns:c15="http://schemas.microsoft.com/office/drawing/2012/chart" uri="{02D57815-91ED-43cb-92C2-25804820EDAC}">
            <c15:filteredLineSeries>
              <c15:ser>
                <c:idx val="1"/>
                <c:order val="1"/>
                <c:tx>
                  <c:strRef>
                    <c:extLst>
                      <c:ext uri="{02D57815-91ED-43cb-92C2-25804820EDAC}">
                        <c15:formulaRef>
                          <c15:sqref>Sheet2!$C$1</c15:sqref>
                        </c15:formulaRef>
                      </c:ext>
                    </c:extLst>
                    <c:strCache>
                      <c:ptCount val="1"/>
                    </c:strCache>
                  </c:strRef>
                </c:tx>
                <c:spPr>
                  <a:ln w="28575" cap="rnd">
                    <a:solidFill>
                      <a:schemeClr val="accent2"/>
                    </a:solidFill>
                    <a:round/>
                  </a:ln>
                  <a:effectLst/>
                </c:spPr>
                <c:marker>
                  <c:symbol val="none"/>
                </c:marker>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ctr"/>
                  <c:showLegendKey val="0"/>
                  <c:showVal val="1"/>
                  <c:showCatName val="0"/>
                  <c:showSerName val="0"/>
                  <c:showPercent val="0"/>
                  <c:showBubbleSize val="0"/>
                  <c:showLeaderLines val="0"/>
                  <c:extLst>
                    <c:ext uri="{CE6537A1-D6FC-4f65-9D91-7224C49458BB}">
                      <c15:showLeaderLines val="1"/>
                      <c15:leaderLines>
                        <c:spPr>
                          <a:ln w="9525" cap="flat" cmpd="sng" algn="ctr">
                            <a:solidFill>
                              <a:schemeClr val="tx1">
                                <a:lumMod val="35000"/>
                                <a:lumOff val="65000"/>
                              </a:schemeClr>
                            </a:solidFill>
                            <a:round/>
                          </a:ln>
                          <a:effectLst/>
                        </c:spPr>
                      </c15:leaderLines>
                    </c:ext>
                  </c:extLst>
                </c:dLbls>
                <c:cat>
                  <c:numRef>
                    <c:extLst>
                      <c:ext uri="{02D57815-91ED-43cb-92C2-25804820EDAC}">
                        <c15:formulaRef>
                          <c15:sqref>Sheet2!$A$2:$A$17</c15:sqref>
                        </c15:formulaRef>
                      </c:ext>
                    </c:extLst>
                    <c:numCache>
                      <c:formatCode>mmm\-yy</c:formatCode>
                      <c:ptCount val="16"/>
                      <c:pt idx="0">
                        <c:v>43497</c:v>
                      </c:pt>
                      <c:pt idx="1">
                        <c:v>43525</c:v>
                      </c:pt>
                      <c:pt idx="2">
                        <c:v>43556</c:v>
                      </c:pt>
                      <c:pt idx="3">
                        <c:v>43586</c:v>
                      </c:pt>
                      <c:pt idx="4">
                        <c:v>43617</c:v>
                      </c:pt>
                      <c:pt idx="5">
                        <c:v>43647</c:v>
                      </c:pt>
                      <c:pt idx="6">
                        <c:v>43678</c:v>
                      </c:pt>
                      <c:pt idx="7">
                        <c:v>43709</c:v>
                      </c:pt>
                      <c:pt idx="8">
                        <c:v>43739</c:v>
                      </c:pt>
                      <c:pt idx="9">
                        <c:v>43770</c:v>
                      </c:pt>
                      <c:pt idx="10">
                        <c:v>43800</c:v>
                      </c:pt>
                      <c:pt idx="11">
                        <c:v>43831</c:v>
                      </c:pt>
                      <c:pt idx="12">
                        <c:v>43862</c:v>
                      </c:pt>
                      <c:pt idx="13">
                        <c:v>43891</c:v>
                      </c:pt>
                      <c:pt idx="14">
                        <c:v>43922</c:v>
                      </c:pt>
                      <c:pt idx="15">
                        <c:v>43952</c:v>
                      </c:pt>
                    </c:numCache>
                  </c:numRef>
                </c:cat>
                <c:val>
                  <c:numRef>
                    <c:extLst>
                      <c:ext uri="{02D57815-91ED-43cb-92C2-25804820EDAC}">
                        <c15:formulaRef>
                          <c15:sqref>Sheet2!$C$2:$C$17</c15:sqref>
                        </c15:formulaRef>
                      </c:ext>
                    </c:extLst>
                    <c:numCache>
                      <c:formatCode>General</c:formatCode>
                      <c:ptCount val="16"/>
                    </c:numCache>
                  </c:numRef>
                </c:val>
                <c:smooth val="0"/>
                <c:extLst>
                  <c:ext xmlns:c16="http://schemas.microsoft.com/office/drawing/2014/chart" uri="{C3380CC4-5D6E-409C-BE32-E72D297353CC}">
                    <c16:uniqueId val="{00000001-0E3C-45EB-BABF-BF611EFDA43C}"/>
                  </c:ext>
                </c:extLst>
              </c15:ser>
            </c15:filteredLineSeries>
            <c15:filteredLineSeries>
              <c15:ser>
                <c:idx val="2"/>
                <c:order val="2"/>
                <c:tx>
                  <c:strRef>
                    <c:extLst xmlns:c15="http://schemas.microsoft.com/office/drawing/2012/chart">
                      <c:ext xmlns:c15="http://schemas.microsoft.com/office/drawing/2012/chart" uri="{02D57815-91ED-43cb-92C2-25804820EDAC}">
                        <c15:formulaRef>
                          <c15:sqref>Sheet2!$D$1</c15:sqref>
                        </c15:formulaRef>
                      </c:ext>
                    </c:extLst>
                    <c:strCache>
                      <c:ptCount val="1"/>
                    </c:strCache>
                  </c:strRef>
                </c:tx>
                <c:spPr>
                  <a:ln w="28575" cap="rnd">
                    <a:solidFill>
                      <a:schemeClr val="accent3"/>
                    </a:solidFill>
                    <a:round/>
                  </a:ln>
                  <a:effectLst/>
                </c:spPr>
                <c:marker>
                  <c:symbol val="none"/>
                </c:marker>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ctr"/>
                  <c:showLegendKey val="0"/>
                  <c:showVal val="1"/>
                  <c:showCatName val="0"/>
                  <c:showSerName val="0"/>
                  <c:showPercent val="0"/>
                  <c:showBubbleSize val="0"/>
                  <c:showLeaderLines val="0"/>
                  <c:extLst xmlns:c15="http://schemas.microsoft.com/office/drawing/2012/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extLst xmlns:c15="http://schemas.microsoft.com/office/drawing/2012/chart">
                      <c:ext xmlns:c15="http://schemas.microsoft.com/office/drawing/2012/chart" uri="{02D57815-91ED-43cb-92C2-25804820EDAC}">
                        <c15:formulaRef>
                          <c15:sqref>Sheet2!$A$2:$A$17</c15:sqref>
                        </c15:formulaRef>
                      </c:ext>
                    </c:extLst>
                    <c:numCache>
                      <c:formatCode>mmm\-yy</c:formatCode>
                      <c:ptCount val="16"/>
                      <c:pt idx="0">
                        <c:v>43497</c:v>
                      </c:pt>
                      <c:pt idx="1">
                        <c:v>43525</c:v>
                      </c:pt>
                      <c:pt idx="2">
                        <c:v>43556</c:v>
                      </c:pt>
                      <c:pt idx="3">
                        <c:v>43586</c:v>
                      </c:pt>
                      <c:pt idx="4">
                        <c:v>43617</c:v>
                      </c:pt>
                      <c:pt idx="5">
                        <c:v>43647</c:v>
                      </c:pt>
                      <c:pt idx="6">
                        <c:v>43678</c:v>
                      </c:pt>
                      <c:pt idx="7">
                        <c:v>43709</c:v>
                      </c:pt>
                      <c:pt idx="8">
                        <c:v>43739</c:v>
                      </c:pt>
                      <c:pt idx="9">
                        <c:v>43770</c:v>
                      </c:pt>
                      <c:pt idx="10">
                        <c:v>43800</c:v>
                      </c:pt>
                      <c:pt idx="11">
                        <c:v>43831</c:v>
                      </c:pt>
                      <c:pt idx="12">
                        <c:v>43862</c:v>
                      </c:pt>
                      <c:pt idx="13">
                        <c:v>43891</c:v>
                      </c:pt>
                      <c:pt idx="14">
                        <c:v>43922</c:v>
                      </c:pt>
                      <c:pt idx="15">
                        <c:v>43952</c:v>
                      </c:pt>
                    </c:numCache>
                  </c:numRef>
                </c:cat>
                <c:val>
                  <c:numRef>
                    <c:extLst xmlns:c15="http://schemas.microsoft.com/office/drawing/2012/chart">
                      <c:ext xmlns:c15="http://schemas.microsoft.com/office/drawing/2012/chart" uri="{02D57815-91ED-43cb-92C2-25804820EDAC}">
                        <c15:formulaRef>
                          <c15:sqref>Sheet2!$D$2:$D$17</c15:sqref>
                        </c15:formulaRef>
                      </c:ext>
                    </c:extLst>
                    <c:numCache>
                      <c:formatCode>General</c:formatCode>
                      <c:ptCount val="16"/>
                    </c:numCache>
                  </c:numRef>
                </c:val>
                <c:smooth val="0"/>
                <c:extLst xmlns:c15="http://schemas.microsoft.com/office/drawing/2012/chart">
                  <c:ext xmlns:c16="http://schemas.microsoft.com/office/drawing/2014/chart" uri="{C3380CC4-5D6E-409C-BE32-E72D297353CC}">
                    <c16:uniqueId val="{00000002-0E3C-45EB-BABF-BF611EFDA43C}"/>
                  </c:ext>
                </c:extLst>
              </c15:ser>
            </c15:filteredLineSeries>
          </c:ext>
        </c:extLst>
      </c:lineChart>
      <c:dateAx>
        <c:axId val="1657543136"/>
        <c:scaling>
          <c:orientation val="minMax"/>
        </c:scaling>
        <c:delete val="0"/>
        <c:axPos val="b"/>
        <c:numFmt formatCode="mmm\-yy" sourceLinked="1"/>
        <c:majorTickMark val="out"/>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652117008"/>
        <c:crosses val="autoZero"/>
        <c:auto val="1"/>
        <c:lblOffset val="100"/>
        <c:baseTimeUnit val="months"/>
      </c:dateAx>
      <c:valAx>
        <c:axId val="1652117008"/>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657543136"/>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tx>
            <c:strRef>
              <c:f>Sheet1!$B$1</c:f>
              <c:strCache>
                <c:ptCount val="1"/>
                <c:pt idx="0">
                  <c:v>Before</c:v>
                </c:pt>
              </c:strCache>
            </c:strRef>
          </c:tx>
          <c:spPr>
            <a:solidFill>
              <a:schemeClr val="accent1"/>
            </a:solidFill>
            <a:ln>
              <a:noFill/>
            </a:ln>
            <a:effectLst/>
          </c:spPr>
          <c:invertIfNegative val="0"/>
          <c:cat>
            <c:strRef>
              <c:f>Sheet1!$A$2:$A$5</c:f>
              <c:strCache>
                <c:ptCount val="4"/>
                <c:pt idx="0">
                  <c:v>I know what a hospice is and the services they provide</c:v>
                </c:pt>
                <c:pt idx="1">
                  <c:v>I know about EOL services</c:v>
                </c:pt>
                <c:pt idx="2">
                  <c:v>I understand what the ReSPECT form is all about</c:v>
                </c:pt>
                <c:pt idx="3">
                  <c:v>How likely is it that you will plan ahead about your health care </c:v>
                </c:pt>
              </c:strCache>
            </c:strRef>
          </c:cat>
          <c:val>
            <c:numRef>
              <c:f>Sheet1!$B$2:$B$5</c:f>
              <c:numCache>
                <c:formatCode>General</c:formatCode>
                <c:ptCount val="4"/>
                <c:pt idx="0">
                  <c:v>4.5</c:v>
                </c:pt>
                <c:pt idx="1">
                  <c:v>4.2</c:v>
                </c:pt>
                <c:pt idx="2">
                  <c:v>2.2999999999999998</c:v>
                </c:pt>
                <c:pt idx="3">
                  <c:v>4.7</c:v>
                </c:pt>
              </c:numCache>
            </c:numRef>
          </c:val>
          <c:extLst>
            <c:ext xmlns:c16="http://schemas.microsoft.com/office/drawing/2014/chart" uri="{C3380CC4-5D6E-409C-BE32-E72D297353CC}">
              <c16:uniqueId val="{00000000-AAB9-4B05-8C4B-F03055BE52F6}"/>
            </c:ext>
          </c:extLst>
        </c:ser>
        <c:ser>
          <c:idx val="1"/>
          <c:order val="1"/>
          <c:tx>
            <c:strRef>
              <c:f>Sheet1!$C$1</c:f>
              <c:strCache>
                <c:ptCount val="1"/>
                <c:pt idx="0">
                  <c:v>After</c:v>
                </c:pt>
              </c:strCache>
            </c:strRef>
          </c:tx>
          <c:spPr>
            <a:solidFill>
              <a:schemeClr val="accent2"/>
            </a:solidFill>
            <a:ln>
              <a:noFill/>
            </a:ln>
            <a:effectLst/>
          </c:spPr>
          <c:invertIfNegative val="0"/>
          <c:cat>
            <c:strRef>
              <c:f>Sheet1!$A$2:$A$5</c:f>
              <c:strCache>
                <c:ptCount val="4"/>
                <c:pt idx="0">
                  <c:v>I know what a hospice is and the services they provide</c:v>
                </c:pt>
                <c:pt idx="1">
                  <c:v>I know about EOL services</c:v>
                </c:pt>
                <c:pt idx="2">
                  <c:v>I understand what the ReSPECT form is all about</c:v>
                </c:pt>
                <c:pt idx="3">
                  <c:v>How likely is it that you will plan ahead about your health care </c:v>
                </c:pt>
              </c:strCache>
            </c:strRef>
          </c:cat>
          <c:val>
            <c:numRef>
              <c:f>Sheet1!$C$2:$C$5</c:f>
              <c:numCache>
                <c:formatCode>General</c:formatCode>
                <c:ptCount val="4"/>
                <c:pt idx="0">
                  <c:v>7.5</c:v>
                </c:pt>
                <c:pt idx="1">
                  <c:v>7.5</c:v>
                </c:pt>
                <c:pt idx="2">
                  <c:v>7.8</c:v>
                </c:pt>
                <c:pt idx="3">
                  <c:v>7.8</c:v>
                </c:pt>
              </c:numCache>
            </c:numRef>
          </c:val>
          <c:extLst>
            <c:ext xmlns:c16="http://schemas.microsoft.com/office/drawing/2014/chart" uri="{C3380CC4-5D6E-409C-BE32-E72D297353CC}">
              <c16:uniqueId val="{00000001-AAB9-4B05-8C4B-F03055BE52F6}"/>
            </c:ext>
          </c:extLst>
        </c:ser>
        <c:dLbls>
          <c:showLegendKey val="0"/>
          <c:showVal val="0"/>
          <c:showCatName val="0"/>
          <c:showSerName val="0"/>
          <c:showPercent val="0"/>
          <c:showBubbleSize val="0"/>
        </c:dLbls>
        <c:gapWidth val="219"/>
        <c:overlap val="-27"/>
        <c:axId val="102660959"/>
        <c:axId val="294033407"/>
      </c:barChart>
      <c:catAx>
        <c:axId val="102660959"/>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94033407"/>
        <c:crosses val="autoZero"/>
        <c:auto val="1"/>
        <c:lblAlgn val="ctr"/>
        <c:lblOffset val="100"/>
        <c:noMultiLvlLbl val="0"/>
      </c:catAx>
      <c:valAx>
        <c:axId val="294033407"/>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02660959"/>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12700" cap="flat" cmpd="sng" algn="ctr">
      <a:solidFill>
        <a:schemeClr val="accent1"/>
      </a:solidFill>
      <a:round/>
    </a:ln>
    <a:effectLst/>
  </c:spPr>
  <c:txPr>
    <a:bodyPr/>
    <a:lstStyle/>
    <a:p>
      <a:pPr>
        <a:defRPr/>
      </a:pPr>
      <a:endParaRPr lang="en-US"/>
    </a:p>
  </c:txPr>
  <c:externalData r:id="rId4">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31">
  <cs:axisTitle>
    <cs:lnRef idx="0"/>
    <cs:fillRef idx="0"/>
    <cs:effectRef idx="0"/>
    <cs:fontRef idx="minor">
      <a:schemeClr val="tx2"/>
    </cs:fontRef>
    <cs:defRPr sz="900" b="1" kern="1200"/>
  </cs:axisTitle>
  <cs:categoryAxis>
    <cs:lnRef idx="0"/>
    <cs:fillRef idx="0"/>
    <cs:effectRef idx="0"/>
    <cs:fontRef idx="minor">
      <a:schemeClr val="tx2"/>
    </cs:fontRef>
    <cs:spPr>
      <a:ln w="9525" cap="flat" cmpd="sng" algn="ctr">
        <a:solidFill>
          <a:schemeClr val="tx2">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2">
            <a:lumMod val="15000"/>
            <a:lumOff val="85000"/>
          </a:schemeClr>
        </a:solidFill>
        <a:round/>
      </a:ln>
    </cs:spPr>
    <cs:defRPr sz="900" kern="1200"/>
  </cs:chartArea>
  <cs:dataLabel>
    <cs:lnRef idx="0"/>
    <cs:fillRef idx="0"/>
    <cs:effectRef idx="0"/>
    <cs:fontRef idx="minor">
      <a:schemeClr val="tx2"/>
    </cs:fontRef>
    <cs:defRPr sz="900" kern="1200"/>
  </cs:dataLabel>
  <cs:dataLabelCallout>
    <cs:lnRef idx="0"/>
    <cs:fillRef idx="0"/>
    <cs:effectRef idx="0"/>
    <cs:fontRef idx="minor">
      <a:schemeClr val="dk2">
        <a:lumMod val="7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2"/>
    <cs:fontRef idx="minor">
      <a:schemeClr val="tx2"/>
    </cs:fontRef>
  </cs:dataPoint>
  <cs:dataPoint3D>
    <cs:lnRef idx="0"/>
    <cs:fillRef idx="3">
      <cs:styleClr val="auto"/>
    </cs:fillRef>
    <cs:effectRef idx="2"/>
    <cs:fontRef idx="minor">
      <a:schemeClr val="tx2"/>
    </cs:fontRef>
  </cs:dataPoint3D>
  <cs:dataPointLine>
    <cs:lnRef idx="0">
      <cs:styleClr val="auto"/>
    </cs:lnRef>
    <cs:fillRef idx="3"/>
    <cs:effectRef idx="2"/>
    <cs:fontRef idx="minor">
      <a:schemeClr val="tx2"/>
    </cs:fontRef>
    <cs:spPr>
      <a:ln w="31750" cap="rnd">
        <a:solidFill>
          <a:schemeClr val="phClr"/>
        </a:solidFill>
        <a:round/>
      </a:ln>
    </cs:spPr>
  </cs:dataPointLine>
  <cs:dataPointMarker>
    <cs:lnRef idx="0"/>
    <cs:fillRef idx="3">
      <cs:styleClr val="auto"/>
    </cs:fillRef>
    <cs:effectRef idx="2"/>
    <cs:fontRef idx="minor">
      <a:schemeClr val="tx2"/>
    </cs:fontRef>
    <cs:spPr>
      <a:ln w="12700">
        <a:solidFill>
          <a:schemeClr val="lt2"/>
        </a:solidFill>
        <a:round/>
      </a:ln>
    </cs:spPr>
  </cs:dataPointMarker>
  <cs:dataPointMarkerLayout symbol="circle" size="6"/>
  <cs:dataPointWireframe>
    <cs:lnRef idx="0">
      <cs:styleClr val="auto"/>
    </cs:lnRef>
    <cs:fillRef idx="3"/>
    <cs:effectRef idx="2"/>
    <cs:fontRef idx="minor">
      <a:schemeClr val="tx2"/>
    </cs:fontRef>
    <cs:spPr>
      <a:ln w="9525" cap="rnd">
        <a:solidFill>
          <a:schemeClr val="phClr"/>
        </a:solidFill>
        <a:round/>
      </a:ln>
    </cs:spPr>
  </cs:dataPointWireframe>
  <cs:dataTable>
    <cs:lnRef idx="0"/>
    <cs:fillRef idx="0"/>
    <cs:effectRef idx="0"/>
    <cs:fontRef idx="minor">
      <a:schemeClr val="tx2"/>
    </cs:fontRef>
    <cs:spPr>
      <a:ln w="9525">
        <a:solidFill>
          <a:schemeClr val="tx2">
            <a:lumMod val="15000"/>
            <a:lumOff val="85000"/>
          </a:schemeClr>
        </a:solidFill>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2"/>
    </cs:fontRef>
    <cs:spPr>
      <a:ln w="9525">
        <a:solidFill>
          <a:schemeClr val="tx2">
            <a:lumMod val="60000"/>
            <a:lumOff val="40000"/>
          </a:schemeClr>
        </a:solidFill>
        <a:prstDash val="dash"/>
      </a:ln>
    </cs:spPr>
  </cs:dropLine>
  <cs:errorBar>
    <cs:lnRef idx="0"/>
    <cs:fillRef idx="0"/>
    <cs:effectRef idx="0"/>
    <cs:fontRef idx="minor">
      <a:schemeClr val="tx2"/>
    </cs:fontRef>
    <cs:spPr>
      <a:ln w="9525">
        <a:solidFill>
          <a:schemeClr val="tx2">
            <a:lumMod val="75000"/>
          </a:schemeClr>
        </a:solidFill>
        <a:round/>
      </a:ln>
    </cs:spPr>
  </cs:errorBar>
  <cs:floor>
    <cs:lnRef idx="0"/>
    <cs:fillRef idx="0"/>
    <cs:effectRef idx="0"/>
    <cs:fontRef idx="minor">
      <a:schemeClr val="tx2"/>
    </cs:fontRef>
  </cs:floor>
  <cs:gridlineMajor>
    <cs:lnRef idx="0"/>
    <cs:fillRef idx="0"/>
    <cs:effectRef idx="0"/>
    <cs:fontRef idx="minor">
      <a:schemeClr val="tx2"/>
    </cs:fontRef>
    <cs:spPr>
      <a:ln w="9525" cap="flat" cmpd="sng" algn="ctr">
        <a:solidFill>
          <a:schemeClr val="tx2">
            <a:lumMod val="15000"/>
            <a:lumOff val="85000"/>
          </a:schemeClr>
        </a:solidFill>
        <a:round/>
      </a:ln>
    </cs:spPr>
  </cs:gridlineMajor>
  <cs:gridlineMinor>
    <cs:lnRef idx="0"/>
    <cs:fillRef idx="0"/>
    <cs:effectRef idx="0"/>
    <cs:fontRef idx="minor">
      <a:schemeClr val="tx2"/>
    </cs:fontRef>
    <cs:spPr>
      <a:ln>
        <a:solidFill>
          <a:schemeClr val="tx2">
            <a:lumMod val="5000"/>
            <a:lumOff val="95000"/>
          </a:schemeClr>
        </a:solidFill>
      </a:ln>
    </cs:spPr>
  </cs:gridlineMinor>
  <cs:hiLoLine>
    <cs:lnRef idx="0"/>
    <cs:fillRef idx="0"/>
    <cs:effectRef idx="0"/>
    <cs:fontRef idx="minor">
      <a:schemeClr val="tx2"/>
    </cs:fontRef>
    <cs:spPr>
      <a:ln w="9525">
        <a:solidFill>
          <a:schemeClr val="tx2">
            <a:lumMod val="60000"/>
            <a:lumOff val="40000"/>
          </a:schemeClr>
        </a:solidFill>
        <a:prstDash val="dash"/>
      </a:ln>
    </cs:spPr>
  </cs:hiLoLine>
  <cs:leaderLine>
    <cs:lnRef idx="0"/>
    <cs:fillRef idx="0"/>
    <cs:effectRef idx="0"/>
    <cs:fontRef idx="minor">
      <a:schemeClr val="tx2"/>
    </cs:fontRef>
    <cs:spPr>
      <a:ln w="9525">
        <a:solidFill>
          <a:schemeClr val="tx2">
            <a:lumMod val="35000"/>
            <a:lumOff val="65000"/>
          </a:schemeClr>
        </a:solidFill>
      </a:ln>
    </cs:spPr>
  </cs:leaderLine>
  <cs:legend>
    <cs:lnRef idx="0"/>
    <cs:fillRef idx="0"/>
    <cs:effectRef idx="0"/>
    <cs:fontRef idx="minor">
      <a:schemeClr val="tx2"/>
    </cs:fontRef>
    <cs:defRPr sz="900" kern="1200"/>
  </cs:legend>
  <cs:plotArea>
    <cs:lnRef idx="0"/>
    <cs:fillRef idx="0"/>
    <cs:effectRef idx="0"/>
    <cs:fontRef idx="minor">
      <a:schemeClr val="tx2"/>
    </cs:fontRef>
  </cs:plotArea>
  <cs:plotArea3D>
    <cs:lnRef idx="0"/>
    <cs:fillRef idx="0"/>
    <cs:effectRef idx="0"/>
    <cs:fontRef idx="minor">
      <a:schemeClr val="tx2"/>
    </cs:fontRef>
  </cs:plotArea3D>
  <cs:seriesAxis>
    <cs:lnRef idx="0"/>
    <cs:fillRef idx="0"/>
    <cs:effectRef idx="0"/>
    <cs:fontRef idx="minor">
      <a:schemeClr val="tx2"/>
    </cs:fontRef>
    <cs:spPr>
      <a:ln w="9525" cap="flat" cmpd="sng" algn="ctr">
        <a:solidFill>
          <a:schemeClr val="tx2">
            <a:lumMod val="15000"/>
            <a:lumOff val="85000"/>
          </a:schemeClr>
        </a:solidFill>
        <a:round/>
      </a:ln>
    </cs:spPr>
    <cs:defRPr sz="900" kern="1200"/>
  </cs:seriesAxis>
  <cs:seriesLine>
    <cs:lnRef idx="0"/>
    <cs:fillRef idx="0"/>
    <cs:effectRef idx="0"/>
    <cs:fontRef idx="minor">
      <a:schemeClr val="tx2"/>
    </cs:fontRef>
    <cs:spPr>
      <a:ln w="9525">
        <a:solidFill>
          <a:schemeClr val="tx2">
            <a:lumMod val="60000"/>
            <a:lumOff val="40000"/>
          </a:schemeClr>
        </a:solidFill>
        <a:prstDash val="dash"/>
      </a:ln>
    </cs:spPr>
  </cs:seriesLine>
  <cs:title>
    <cs:lnRef idx="0"/>
    <cs:fillRef idx="0"/>
    <cs:effectRef idx="0"/>
    <cs:fontRef idx="minor">
      <a:schemeClr val="tx2"/>
    </cs:fontRef>
    <cs:defRPr sz="1600" b="1" kern="1200"/>
  </cs:title>
  <cs:trendline>
    <cs:lnRef idx="0">
      <cs:styleClr val="auto"/>
    </cs:lnRef>
    <cs:fillRef idx="0"/>
    <cs:effectRef idx="0"/>
    <cs:fontRef idx="minor">
      <a:schemeClr val="tx2"/>
    </cs:fontRef>
    <cs:spPr>
      <a:ln w="19050" cap="rnd">
        <a:solidFill>
          <a:schemeClr val="phClr"/>
        </a:solidFill>
        <a:prstDash val="sysDash"/>
      </a:ln>
    </cs:spPr>
  </cs:trendline>
  <cs:trendlineLabel>
    <cs:lnRef idx="0"/>
    <cs:fillRef idx="0"/>
    <cs:effectRef idx="0"/>
    <cs:fontRef idx="minor">
      <a:schemeClr val="tx2"/>
    </cs:fontRef>
    <cs:defRPr sz="900" kern="1200"/>
  </cs:trendlineLabel>
  <cs:upBar>
    <cs:lnRef idx="0"/>
    <cs:fillRef idx="0"/>
    <cs:effectRef idx="0"/>
    <cs:fontRef idx="minor">
      <a:schemeClr val="tx2"/>
    </cs:fontRef>
    <cs:spPr>
      <a:solidFill>
        <a:schemeClr val="lt1"/>
      </a:solidFill>
      <a:ln w="9525">
        <a:solidFill>
          <a:schemeClr val="tx1">
            <a:lumMod val="15000"/>
            <a:lumOff val="85000"/>
          </a:schemeClr>
        </a:solidFill>
      </a:ln>
    </cs:spPr>
  </cs:upBar>
  <cs:valueAxis>
    <cs:lnRef idx="0"/>
    <cs:fillRef idx="0"/>
    <cs:effectRef idx="0"/>
    <cs:fontRef idx="minor">
      <a:schemeClr val="tx2"/>
    </cs:fontRef>
    <cs:defRPr sz="900" kern="1200"/>
  </cs:valueAxis>
  <cs:wall>
    <cs:lnRef idx="0"/>
    <cs:fillRef idx="0"/>
    <cs:effectRef idx="0"/>
    <cs:fontRef idx="minor">
      <a:schemeClr val="tx2"/>
    </cs:fontRef>
  </cs:wall>
</cs:chartStyle>
</file>

<file path=word/charts/style2.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diagrams/colors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6CF64B8E-ECF9-44DA-BF53-01F52CE79D61}" type="doc">
      <dgm:prSet loTypeId="urn:microsoft.com/office/officeart/2005/8/layout/target3" loCatId="relationship" qsTypeId="urn:microsoft.com/office/officeart/2005/8/quickstyle/simple1" qsCatId="simple" csTypeId="urn:microsoft.com/office/officeart/2005/8/colors/accent1_2" csCatId="accent1" phldr="1"/>
      <dgm:spPr/>
      <dgm:t>
        <a:bodyPr/>
        <a:lstStyle/>
        <a:p>
          <a:endParaRPr lang="en-US"/>
        </a:p>
      </dgm:t>
    </dgm:pt>
    <dgm:pt modelId="{F6DC3E6C-7AD1-4F4C-A34D-8F055202F821}">
      <dgm:prSet phldrT="[Text]" custT="1"/>
      <dgm:spPr>
        <a:xfrm>
          <a:off x="881062" y="0"/>
          <a:ext cx="3386137" cy="1762125"/>
        </a:xfrm>
        <a:prstGeom prst="rect">
          <a:avLst/>
        </a:prstGeom>
        <a:solidFill>
          <a:sysClr val="window" lastClr="FFFFFF">
            <a:alpha val="90000"/>
            <a:hueOff val="0"/>
            <a:satOff val="0"/>
            <a:lumOff val="0"/>
            <a:alphaOff val="0"/>
          </a:sysClr>
        </a:solidFill>
        <a:ln w="12700" cap="flat" cmpd="sng" algn="ctr">
          <a:solidFill>
            <a:srgbClr val="4472C4">
              <a:hueOff val="0"/>
              <a:satOff val="0"/>
              <a:lumOff val="0"/>
              <a:alphaOff val="0"/>
            </a:srgbClr>
          </a:solidFill>
          <a:prstDash val="solid"/>
          <a:miter lim="800000"/>
        </a:ln>
        <a:effectLst/>
      </dgm:spPr>
      <dgm:t>
        <a:bodyPr/>
        <a:lstStyle/>
        <a:p>
          <a:pPr>
            <a:buNone/>
          </a:pPr>
          <a:r>
            <a:rPr lang="en-US" sz="1800">
              <a:solidFill>
                <a:sysClr val="windowText" lastClr="000000">
                  <a:hueOff val="0"/>
                  <a:satOff val="0"/>
                  <a:lumOff val="0"/>
                  <a:alphaOff val="0"/>
                </a:sysClr>
              </a:solidFill>
              <a:latin typeface="Calibri" panose="020F0502020204030204"/>
              <a:ea typeface="+mn-ea"/>
              <a:cs typeface="+mn-cs"/>
            </a:rPr>
            <a:t>HCP</a:t>
          </a:r>
        </a:p>
      </dgm:t>
    </dgm:pt>
    <dgm:pt modelId="{5153E212-0151-4BB4-8AF3-34A65F0048A4}" type="parTrans" cxnId="{3FE137CB-9CB1-45AA-BADD-CCFE5502A504}">
      <dgm:prSet/>
      <dgm:spPr/>
      <dgm:t>
        <a:bodyPr/>
        <a:lstStyle/>
        <a:p>
          <a:endParaRPr lang="en-US"/>
        </a:p>
      </dgm:t>
    </dgm:pt>
    <dgm:pt modelId="{F02BE522-FFA5-4AFE-90E3-159BF426BCF5}" type="sibTrans" cxnId="{3FE137CB-9CB1-45AA-BADD-CCFE5502A504}">
      <dgm:prSet/>
      <dgm:spPr/>
      <dgm:t>
        <a:bodyPr/>
        <a:lstStyle/>
        <a:p>
          <a:endParaRPr lang="en-US"/>
        </a:p>
      </dgm:t>
    </dgm:pt>
    <dgm:pt modelId="{8183A612-9B17-4343-80E5-66AE7A8BFF6D}">
      <dgm:prSet phldrT="[Text]"/>
      <dgm:spPr>
        <a:xfrm>
          <a:off x="2574131" y="0"/>
          <a:ext cx="1693068" cy="528638"/>
        </a:xfrm>
        <a:prstGeom prst="rect">
          <a:avLst/>
        </a:prstGeom>
        <a:noFill/>
        <a:ln w="12700" cap="flat" cmpd="sng" algn="ctr">
          <a:noFill/>
          <a:prstDash val="solid"/>
          <a:miter lim="800000"/>
        </a:ln>
        <a:effectLst/>
        <a:sp3d/>
      </dgm:spPr>
      <dgm:t>
        <a:bodyPr/>
        <a:lstStyle/>
        <a:p>
          <a:pPr>
            <a:buChar char="•"/>
          </a:pPr>
          <a:r>
            <a:rPr lang="en-US">
              <a:solidFill>
                <a:sysClr val="windowText" lastClr="000000">
                  <a:hueOff val="0"/>
                  <a:satOff val="0"/>
                  <a:lumOff val="0"/>
                  <a:alphaOff val="0"/>
                </a:sysClr>
              </a:solidFill>
              <a:latin typeface="Calibri" panose="020F0502020204030204"/>
              <a:ea typeface="+mn-ea"/>
              <a:cs typeface="+mn-cs"/>
            </a:rPr>
            <a:t>Interviews</a:t>
          </a:r>
        </a:p>
      </dgm:t>
    </dgm:pt>
    <dgm:pt modelId="{B658675A-30A0-4643-A901-3760EBE27D2C}" type="parTrans" cxnId="{6159159C-5475-443E-B9AE-BD4CE4B44289}">
      <dgm:prSet/>
      <dgm:spPr/>
      <dgm:t>
        <a:bodyPr/>
        <a:lstStyle/>
        <a:p>
          <a:endParaRPr lang="en-US"/>
        </a:p>
      </dgm:t>
    </dgm:pt>
    <dgm:pt modelId="{74C31BE5-F886-48D7-8DBE-AF623A7768E5}" type="sibTrans" cxnId="{6159159C-5475-443E-B9AE-BD4CE4B44289}">
      <dgm:prSet/>
      <dgm:spPr/>
      <dgm:t>
        <a:bodyPr/>
        <a:lstStyle/>
        <a:p>
          <a:endParaRPr lang="en-US"/>
        </a:p>
      </dgm:t>
    </dgm:pt>
    <dgm:pt modelId="{61144C3F-111A-4921-8DCF-AC6636B86325}">
      <dgm:prSet phldrT="[Text]" custT="1"/>
      <dgm:spPr>
        <a:xfrm>
          <a:off x="881062" y="528638"/>
          <a:ext cx="3386137" cy="1145380"/>
        </a:xfrm>
        <a:prstGeom prst="rect">
          <a:avLst/>
        </a:prstGeom>
        <a:solidFill>
          <a:sysClr val="window" lastClr="FFFFFF">
            <a:alpha val="90000"/>
            <a:hueOff val="0"/>
            <a:satOff val="0"/>
            <a:lumOff val="0"/>
            <a:alphaOff val="0"/>
          </a:sysClr>
        </a:solidFill>
        <a:ln w="12700" cap="flat" cmpd="sng" algn="ctr">
          <a:solidFill>
            <a:srgbClr val="4472C4">
              <a:hueOff val="0"/>
              <a:satOff val="0"/>
              <a:lumOff val="0"/>
              <a:alphaOff val="0"/>
            </a:srgbClr>
          </a:solidFill>
          <a:prstDash val="solid"/>
          <a:miter lim="800000"/>
        </a:ln>
        <a:effectLst/>
      </dgm:spPr>
      <dgm:t>
        <a:bodyPr/>
        <a:lstStyle/>
        <a:p>
          <a:pPr>
            <a:buNone/>
          </a:pPr>
          <a:r>
            <a:rPr lang="en-US" sz="1800">
              <a:solidFill>
                <a:sysClr val="windowText" lastClr="000000">
                  <a:hueOff val="0"/>
                  <a:satOff val="0"/>
                  <a:lumOff val="0"/>
                  <a:alphaOff val="0"/>
                </a:sysClr>
              </a:solidFill>
              <a:latin typeface="Calibri" panose="020F0502020204030204"/>
              <a:ea typeface="+mn-ea"/>
              <a:cs typeface="+mn-cs"/>
            </a:rPr>
            <a:t>FCGs</a:t>
          </a:r>
        </a:p>
      </dgm:t>
    </dgm:pt>
    <dgm:pt modelId="{8CD0E7FE-CC60-49BE-BB3F-C204213F2167}" type="parTrans" cxnId="{F33EEA2E-17A3-4204-9282-B1ECC044ED10}">
      <dgm:prSet/>
      <dgm:spPr/>
      <dgm:t>
        <a:bodyPr/>
        <a:lstStyle/>
        <a:p>
          <a:endParaRPr lang="en-US"/>
        </a:p>
      </dgm:t>
    </dgm:pt>
    <dgm:pt modelId="{DD03320C-219F-4322-8A45-75A6B7DB3889}" type="sibTrans" cxnId="{F33EEA2E-17A3-4204-9282-B1ECC044ED10}">
      <dgm:prSet/>
      <dgm:spPr/>
      <dgm:t>
        <a:bodyPr/>
        <a:lstStyle/>
        <a:p>
          <a:endParaRPr lang="en-US"/>
        </a:p>
      </dgm:t>
    </dgm:pt>
    <dgm:pt modelId="{6401573E-BB91-44A7-98EA-E5A046986201}">
      <dgm:prSet phldrT="[Text]"/>
      <dgm:spPr>
        <a:xfrm>
          <a:off x="2574131" y="528638"/>
          <a:ext cx="1693068" cy="528636"/>
        </a:xfrm>
        <a:prstGeom prst="rect">
          <a:avLst/>
        </a:prstGeom>
        <a:noFill/>
        <a:ln w="12700" cap="flat" cmpd="sng" algn="ctr">
          <a:noFill/>
          <a:prstDash val="solid"/>
          <a:miter lim="800000"/>
        </a:ln>
        <a:effectLst/>
        <a:sp3d/>
      </dgm:spPr>
      <dgm:t>
        <a:bodyPr/>
        <a:lstStyle/>
        <a:p>
          <a:pPr>
            <a:buChar char="•"/>
          </a:pPr>
          <a:r>
            <a:rPr lang="en-US">
              <a:solidFill>
                <a:sysClr val="windowText" lastClr="000000">
                  <a:hueOff val="0"/>
                  <a:satOff val="0"/>
                  <a:lumOff val="0"/>
                  <a:alphaOff val="0"/>
                </a:sysClr>
              </a:solidFill>
              <a:latin typeface="Calibri" panose="020F0502020204030204"/>
              <a:ea typeface="+mn-ea"/>
              <a:cs typeface="+mn-cs"/>
            </a:rPr>
            <a:t>Interviews</a:t>
          </a:r>
        </a:p>
      </dgm:t>
    </dgm:pt>
    <dgm:pt modelId="{5E458BE0-0440-4DBB-9E8F-491EFB674281}" type="parTrans" cxnId="{FE8C1970-F6B9-45CC-B9A4-16611E6E44E1}">
      <dgm:prSet/>
      <dgm:spPr/>
      <dgm:t>
        <a:bodyPr/>
        <a:lstStyle/>
        <a:p>
          <a:endParaRPr lang="en-US"/>
        </a:p>
      </dgm:t>
    </dgm:pt>
    <dgm:pt modelId="{239F6979-B125-401A-BAD5-B255268091F1}" type="sibTrans" cxnId="{FE8C1970-F6B9-45CC-B9A4-16611E6E44E1}">
      <dgm:prSet/>
      <dgm:spPr/>
      <dgm:t>
        <a:bodyPr/>
        <a:lstStyle/>
        <a:p>
          <a:endParaRPr lang="en-US"/>
        </a:p>
      </dgm:t>
    </dgm:pt>
    <dgm:pt modelId="{D8A0459A-A188-4779-8E0F-8E83BB6CDDC7}">
      <dgm:prSet phldrT="[Text]" custT="1"/>
      <dgm:spPr>
        <a:xfrm>
          <a:off x="881062" y="1057275"/>
          <a:ext cx="3386137" cy="528636"/>
        </a:xfrm>
        <a:prstGeom prst="rect">
          <a:avLst/>
        </a:prstGeom>
        <a:solidFill>
          <a:sysClr val="window" lastClr="FFFFFF">
            <a:alpha val="90000"/>
            <a:hueOff val="0"/>
            <a:satOff val="0"/>
            <a:lumOff val="0"/>
            <a:alphaOff val="0"/>
          </a:sysClr>
        </a:solidFill>
        <a:ln w="12700" cap="flat" cmpd="sng" algn="ctr">
          <a:solidFill>
            <a:srgbClr val="4472C4">
              <a:hueOff val="0"/>
              <a:satOff val="0"/>
              <a:lumOff val="0"/>
              <a:alphaOff val="0"/>
            </a:srgbClr>
          </a:solidFill>
          <a:prstDash val="solid"/>
          <a:miter lim="800000"/>
        </a:ln>
        <a:effectLst/>
      </dgm:spPr>
      <dgm:t>
        <a:bodyPr/>
        <a:lstStyle/>
        <a:p>
          <a:pPr>
            <a:buNone/>
          </a:pPr>
          <a:r>
            <a:rPr lang="en-US" sz="1800">
              <a:solidFill>
                <a:sysClr val="windowText" lastClr="000000">
                  <a:hueOff val="0"/>
                  <a:satOff val="0"/>
                  <a:lumOff val="0"/>
                  <a:alphaOff val="0"/>
                </a:sysClr>
              </a:solidFill>
              <a:latin typeface="Calibri" panose="020F0502020204030204"/>
              <a:ea typeface="+mn-ea"/>
              <a:cs typeface="+mn-cs"/>
            </a:rPr>
            <a:t>Patient</a:t>
          </a:r>
        </a:p>
      </dgm:t>
    </dgm:pt>
    <dgm:pt modelId="{EC7716E3-F851-4CA1-AF03-11DCA3F211FA}" type="parTrans" cxnId="{4CF4DA75-E96B-4057-BF86-F742AAB5AF6F}">
      <dgm:prSet/>
      <dgm:spPr/>
      <dgm:t>
        <a:bodyPr/>
        <a:lstStyle/>
        <a:p>
          <a:endParaRPr lang="en-US"/>
        </a:p>
      </dgm:t>
    </dgm:pt>
    <dgm:pt modelId="{0635A249-741F-43D0-8389-C9FF5ECB2267}" type="sibTrans" cxnId="{4CF4DA75-E96B-4057-BF86-F742AAB5AF6F}">
      <dgm:prSet/>
      <dgm:spPr/>
      <dgm:t>
        <a:bodyPr/>
        <a:lstStyle/>
        <a:p>
          <a:endParaRPr lang="en-US"/>
        </a:p>
      </dgm:t>
    </dgm:pt>
    <dgm:pt modelId="{0596E8A4-AFA0-4A1A-BF05-9EA79ECEB469}">
      <dgm:prSet phldrT="[Text]"/>
      <dgm:spPr>
        <a:xfrm>
          <a:off x="2574131" y="1057275"/>
          <a:ext cx="1693068" cy="528636"/>
        </a:xfrm>
        <a:prstGeom prst="rect">
          <a:avLst/>
        </a:prstGeom>
        <a:noFill/>
        <a:ln w="12700" cap="flat" cmpd="sng" algn="ctr">
          <a:noFill/>
          <a:prstDash val="solid"/>
          <a:miter lim="800000"/>
        </a:ln>
        <a:effectLst/>
        <a:sp3d/>
      </dgm:spPr>
      <dgm:t>
        <a:bodyPr/>
        <a:lstStyle/>
        <a:p>
          <a:pPr>
            <a:buChar char="•"/>
          </a:pPr>
          <a:r>
            <a:rPr lang="en-US">
              <a:solidFill>
                <a:sysClr val="windowText" lastClr="000000">
                  <a:hueOff val="0"/>
                  <a:satOff val="0"/>
                  <a:lumOff val="0"/>
                  <a:alphaOff val="0"/>
                </a:sysClr>
              </a:solidFill>
              <a:latin typeface="Calibri" panose="020F0502020204030204"/>
              <a:ea typeface="+mn-ea"/>
              <a:cs typeface="+mn-cs"/>
            </a:rPr>
            <a:t>Interviews</a:t>
          </a:r>
        </a:p>
      </dgm:t>
    </dgm:pt>
    <dgm:pt modelId="{A7D4F500-D6B1-462A-9194-A02440B8A79E}" type="parTrans" cxnId="{4B6A8A81-B909-4BC3-8F30-B3FBD90B7086}">
      <dgm:prSet/>
      <dgm:spPr/>
      <dgm:t>
        <a:bodyPr/>
        <a:lstStyle/>
        <a:p>
          <a:endParaRPr lang="en-US"/>
        </a:p>
      </dgm:t>
    </dgm:pt>
    <dgm:pt modelId="{65293844-3CC5-49EC-8C60-CABA0CF94849}" type="sibTrans" cxnId="{4B6A8A81-B909-4BC3-8F30-B3FBD90B7086}">
      <dgm:prSet/>
      <dgm:spPr/>
      <dgm:t>
        <a:bodyPr/>
        <a:lstStyle/>
        <a:p>
          <a:endParaRPr lang="en-US"/>
        </a:p>
      </dgm:t>
    </dgm:pt>
    <dgm:pt modelId="{2EE73963-91E8-43CB-A87E-D6407C9768BC}">
      <dgm:prSet phldrT="[Text]"/>
      <dgm:spPr>
        <a:xfrm>
          <a:off x="2574131" y="1057275"/>
          <a:ext cx="1693068" cy="528636"/>
        </a:xfrm>
        <a:prstGeom prst="rect">
          <a:avLst/>
        </a:prstGeom>
        <a:noFill/>
        <a:ln w="12700" cap="flat" cmpd="sng" algn="ctr">
          <a:noFill/>
          <a:prstDash val="solid"/>
          <a:miter lim="800000"/>
        </a:ln>
        <a:effectLst/>
        <a:sp3d/>
      </dgm:spPr>
      <dgm:t>
        <a:bodyPr/>
        <a:lstStyle/>
        <a:p>
          <a:pPr>
            <a:buChar char="•"/>
          </a:pPr>
          <a:r>
            <a:rPr lang="en-US">
              <a:solidFill>
                <a:sysClr val="windowText" lastClr="000000">
                  <a:hueOff val="0"/>
                  <a:satOff val="0"/>
                  <a:lumOff val="0"/>
                  <a:alphaOff val="0"/>
                </a:sysClr>
              </a:solidFill>
              <a:latin typeface="Calibri" panose="020F0502020204030204"/>
              <a:ea typeface="+mn-ea"/>
              <a:cs typeface="+mn-cs"/>
            </a:rPr>
            <a:t>Medical Records review</a:t>
          </a:r>
        </a:p>
      </dgm:t>
    </dgm:pt>
    <dgm:pt modelId="{B7034824-FA9B-49BE-945C-073F575CD4ED}" type="parTrans" cxnId="{DC51FB37-22F1-4998-A5E5-186E1A19021D}">
      <dgm:prSet/>
      <dgm:spPr/>
      <dgm:t>
        <a:bodyPr/>
        <a:lstStyle/>
        <a:p>
          <a:endParaRPr lang="en-US"/>
        </a:p>
      </dgm:t>
    </dgm:pt>
    <dgm:pt modelId="{9F4633E2-6C51-4C91-81D1-8904FC38B91A}" type="sibTrans" cxnId="{DC51FB37-22F1-4998-A5E5-186E1A19021D}">
      <dgm:prSet/>
      <dgm:spPr/>
      <dgm:t>
        <a:bodyPr/>
        <a:lstStyle/>
        <a:p>
          <a:endParaRPr lang="en-US"/>
        </a:p>
      </dgm:t>
    </dgm:pt>
    <dgm:pt modelId="{09FE0079-D319-4AB5-99BD-4121FDC03800}" type="pres">
      <dgm:prSet presAssocID="{6CF64B8E-ECF9-44DA-BF53-01F52CE79D61}" presName="Name0" presStyleCnt="0">
        <dgm:presLayoutVars>
          <dgm:chMax val="7"/>
          <dgm:dir/>
          <dgm:animLvl val="lvl"/>
          <dgm:resizeHandles val="exact"/>
        </dgm:presLayoutVars>
      </dgm:prSet>
      <dgm:spPr/>
    </dgm:pt>
    <dgm:pt modelId="{05915A26-1321-4E94-ACEF-433CDC010B22}" type="pres">
      <dgm:prSet presAssocID="{F6DC3E6C-7AD1-4F4C-A34D-8F055202F821}" presName="circle1" presStyleLbl="node1" presStyleIdx="0" presStyleCnt="3"/>
      <dgm:spPr>
        <a:xfrm>
          <a:off x="0" y="0"/>
          <a:ext cx="1762125" cy="1762125"/>
        </a:xfrm>
        <a:prstGeom prst="pie">
          <a:avLst>
            <a:gd name="adj1" fmla="val 5400000"/>
            <a:gd name="adj2" fmla="val 16200000"/>
          </a:avLst>
        </a:prstGeom>
        <a:solidFill>
          <a:srgbClr val="4472C4">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pt>
    <dgm:pt modelId="{0C3E0E13-3AE2-468F-90F0-88705F1E6524}" type="pres">
      <dgm:prSet presAssocID="{F6DC3E6C-7AD1-4F4C-A34D-8F055202F821}" presName="space" presStyleCnt="0"/>
      <dgm:spPr/>
    </dgm:pt>
    <dgm:pt modelId="{3D900422-547A-4CC8-A507-37DCB82ECE0C}" type="pres">
      <dgm:prSet presAssocID="{F6DC3E6C-7AD1-4F4C-A34D-8F055202F821}" presName="rect1" presStyleLbl="alignAcc1" presStyleIdx="0" presStyleCnt="3" custLinFactNeighborX="41991" custLinFactNeighborY="-54578"/>
      <dgm:spPr/>
    </dgm:pt>
    <dgm:pt modelId="{56B325CE-2F2A-451A-BA35-3DC29312CC3A}" type="pres">
      <dgm:prSet presAssocID="{61144C3F-111A-4921-8DCF-AC6636B86325}" presName="vertSpace2" presStyleLbl="node1" presStyleIdx="0" presStyleCnt="3"/>
      <dgm:spPr/>
    </dgm:pt>
    <dgm:pt modelId="{1FEBCA01-460B-48F9-9268-D1A5242E60C2}" type="pres">
      <dgm:prSet presAssocID="{61144C3F-111A-4921-8DCF-AC6636B86325}" presName="circle2" presStyleLbl="node1" presStyleIdx="1" presStyleCnt="3"/>
      <dgm:spPr>
        <a:xfrm>
          <a:off x="308372" y="528638"/>
          <a:ext cx="1145380" cy="1145380"/>
        </a:xfrm>
        <a:prstGeom prst="pie">
          <a:avLst>
            <a:gd name="adj1" fmla="val 5400000"/>
            <a:gd name="adj2" fmla="val 16200000"/>
          </a:avLst>
        </a:prstGeom>
        <a:solidFill>
          <a:srgbClr val="4472C4">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pt>
    <dgm:pt modelId="{D4A7FB93-04A6-4E0D-ABE4-66A290FC97C0}" type="pres">
      <dgm:prSet presAssocID="{61144C3F-111A-4921-8DCF-AC6636B86325}" presName="rect2" presStyleLbl="alignAcc1" presStyleIdx="1" presStyleCnt="3"/>
      <dgm:spPr/>
    </dgm:pt>
    <dgm:pt modelId="{E4B64195-3D3C-498D-A462-43021BBDDD9F}" type="pres">
      <dgm:prSet presAssocID="{D8A0459A-A188-4779-8E0F-8E83BB6CDDC7}" presName="vertSpace3" presStyleLbl="node1" presStyleIdx="1" presStyleCnt="3"/>
      <dgm:spPr/>
    </dgm:pt>
    <dgm:pt modelId="{A7A9FBA8-63BD-41FE-A96E-788E9D80C913}" type="pres">
      <dgm:prSet presAssocID="{D8A0459A-A188-4779-8E0F-8E83BB6CDDC7}" presName="circle3" presStyleLbl="node1" presStyleIdx="2" presStyleCnt="3"/>
      <dgm:spPr>
        <a:xfrm>
          <a:off x="616744" y="1057275"/>
          <a:ext cx="528636" cy="528636"/>
        </a:xfrm>
        <a:prstGeom prst="pie">
          <a:avLst>
            <a:gd name="adj1" fmla="val 5400000"/>
            <a:gd name="adj2" fmla="val 16200000"/>
          </a:avLst>
        </a:prstGeom>
        <a:solidFill>
          <a:srgbClr val="4472C4">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pt>
    <dgm:pt modelId="{72F8EFD5-23D4-4EC4-A051-F833135253A9}" type="pres">
      <dgm:prSet presAssocID="{D8A0459A-A188-4779-8E0F-8E83BB6CDDC7}" presName="rect3" presStyleLbl="alignAcc1" presStyleIdx="2" presStyleCnt="3"/>
      <dgm:spPr/>
    </dgm:pt>
    <dgm:pt modelId="{93CD6F48-4EA1-47D6-A582-CFA5835A3D6C}" type="pres">
      <dgm:prSet presAssocID="{F6DC3E6C-7AD1-4F4C-A34D-8F055202F821}" presName="rect1ParTx" presStyleLbl="alignAcc1" presStyleIdx="2" presStyleCnt="3">
        <dgm:presLayoutVars>
          <dgm:chMax val="1"/>
          <dgm:bulletEnabled val="1"/>
        </dgm:presLayoutVars>
      </dgm:prSet>
      <dgm:spPr/>
    </dgm:pt>
    <dgm:pt modelId="{E8446E0C-4508-495D-82D4-A0A2604D0F80}" type="pres">
      <dgm:prSet presAssocID="{F6DC3E6C-7AD1-4F4C-A34D-8F055202F821}" presName="rect1ChTx" presStyleLbl="alignAcc1" presStyleIdx="2" presStyleCnt="3">
        <dgm:presLayoutVars>
          <dgm:bulletEnabled val="1"/>
        </dgm:presLayoutVars>
      </dgm:prSet>
      <dgm:spPr/>
    </dgm:pt>
    <dgm:pt modelId="{56B13D29-FD49-468F-9A1B-6F69F4537307}" type="pres">
      <dgm:prSet presAssocID="{61144C3F-111A-4921-8DCF-AC6636B86325}" presName="rect2ParTx" presStyleLbl="alignAcc1" presStyleIdx="2" presStyleCnt="3">
        <dgm:presLayoutVars>
          <dgm:chMax val="1"/>
          <dgm:bulletEnabled val="1"/>
        </dgm:presLayoutVars>
      </dgm:prSet>
      <dgm:spPr/>
    </dgm:pt>
    <dgm:pt modelId="{1D4EB4AA-9515-4F58-85A3-985088DA272A}" type="pres">
      <dgm:prSet presAssocID="{61144C3F-111A-4921-8DCF-AC6636B86325}" presName="rect2ChTx" presStyleLbl="alignAcc1" presStyleIdx="2" presStyleCnt="3">
        <dgm:presLayoutVars>
          <dgm:bulletEnabled val="1"/>
        </dgm:presLayoutVars>
      </dgm:prSet>
      <dgm:spPr/>
    </dgm:pt>
    <dgm:pt modelId="{2E20E45A-026E-4F1E-A1FE-3A8A488D0EB6}" type="pres">
      <dgm:prSet presAssocID="{D8A0459A-A188-4779-8E0F-8E83BB6CDDC7}" presName="rect3ParTx" presStyleLbl="alignAcc1" presStyleIdx="2" presStyleCnt="3">
        <dgm:presLayoutVars>
          <dgm:chMax val="1"/>
          <dgm:bulletEnabled val="1"/>
        </dgm:presLayoutVars>
      </dgm:prSet>
      <dgm:spPr/>
    </dgm:pt>
    <dgm:pt modelId="{B4070BDC-0DC3-4320-897D-78DCE9157C7F}" type="pres">
      <dgm:prSet presAssocID="{D8A0459A-A188-4779-8E0F-8E83BB6CDDC7}" presName="rect3ChTx" presStyleLbl="alignAcc1" presStyleIdx="2" presStyleCnt="3">
        <dgm:presLayoutVars>
          <dgm:bulletEnabled val="1"/>
        </dgm:presLayoutVars>
      </dgm:prSet>
      <dgm:spPr/>
    </dgm:pt>
  </dgm:ptLst>
  <dgm:cxnLst>
    <dgm:cxn modelId="{7C98E204-7741-4079-8EAD-209E29FF83E5}" type="presOf" srcId="{61144C3F-111A-4921-8DCF-AC6636B86325}" destId="{D4A7FB93-04A6-4E0D-ABE4-66A290FC97C0}" srcOrd="0" destOrd="0" presId="urn:microsoft.com/office/officeart/2005/8/layout/target3"/>
    <dgm:cxn modelId="{9C437B0D-1D6B-4A01-BF41-C494A82C2989}" type="presOf" srcId="{D8A0459A-A188-4779-8E0F-8E83BB6CDDC7}" destId="{72F8EFD5-23D4-4EC4-A051-F833135253A9}" srcOrd="0" destOrd="0" presId="urn:microsoft.com/office/officeart/2005/8/layout/target3"/>
    <dgm:cxn modelId="{39BAB925-5ED2-430E-8B8F-6CFA1D46C9A6}" type="presOf" srcId="{2EE73963-91E8-43CB-A87E-D6407C9768BC}" destId="{B4070BDC-0DC3-4320-897D-78DCE9157C7F}" srcOrd="0" destOrd="1" presId="urn:microsoft.com/office/officeart/2005/8/layout/target3"/>
    <dgm:cxn modelId="{F33EEA2E-17A3-4204-9282-B1ECC044ED10}" srcId="{6CF64B8E-ECF9-44DA-BF53-01F52CE79D61}" destId="{61144C3F-111A-4921-8DCF-AC6636B86325}" srcOrd="1" destOrd="0" parTransId="{8CD0E7FE-CC60-49BE-BB3F-C204213F2167}" sibTransId="{DD03320C-219F-4322-8A45-75A6B7DB3889}"/>
    <dgm:cxn modelId="{DC51FB37-22F1-4998-A5E5-186E1A19021D}" srcId="{D8A0459A-A188-4779-8E0F-8E83BB6CDDC7}" destId="{2EE73963-91E8-43CB-A87E-D6407C9768BC}" srcOrd="1" destOrd="0" parTransId="{B7034824-FA9B-49BE-945C-073F575CD4ED}" sibTransId="{9F4633E2-6C51-4C91-81D1-8904FC38B91A}"/>
    <dgm:cxn modelId="{0FB3863B-5956-4C21-BB69-37376E349DE1}" type="presOf" srcId="{D8A0459A-A188-4779-8E0F-8E83BB6CDDC7}" destId="{2E20E45A-026E-4F1E-A1FE-3A8A488D0EB6}" srcOrd="1" destOrd="0" presId="urn:microsoft.com/office/officeart/2005/8/layout/target3"/>
    <dgm:cxn modelId="{8E995D5E-3E25-4D2C-AFC0-A4C425B0A57C}" type="presOf" srcId="{F6DC3E6C-7AD1-4F4C-A34D-8F055202F821}" destId="{3D900422-547A-4CC8-A507-37DCB82ECE0C}" srcOrd="0" destOrd="0" presId="urn:microsoft.com/office/officeart/2005/8/layout/target3"/>
    <dgm:cxn modelId="{FE8C1970-F6B9-45CC-B9A4-16611E6E44E1}" srcId="{61144C3F-111A-4921-8DCF-AC6636B86325}" destId="{6401573E-BB91-44A7-98EA-E5A046986201}" srcOrd="0" destOrd="0" parTransId="{5E458BE0-0440-4DBB-9E8F-491EFB674281}" sibTransId="{239F6979-B125-401A-BAD5-B255268091F1}"/>
    <dgm:cxn modelId="{4CF4DA75-E96B-4057-BF86-F742AAB5AF6F}" srcId="{6CF64B8E-ECF9-44DA-BF53-01F52CE79D61}" destId="{D8A0459A-A188-4779-8E0F-8E83BB6CDDC7}" srcOrd="2" destOrd="0" parTransId="{EC7716E3-F851-4CA1-AF03-11DCA3F211FA}" sibTransId="{0635A249-741F-43D0-8389-C9FF5ECB2267}"/>
    <dgm:cxn modelId="{0E756E7A-81CC-4EEB-8F22-CC37EEA610A9}" type="presOf" srcId="{61144C3F-111A-4921-8DCF-AC6636B86325}" destId="{56B13D29-FD49-468F-9A1B-6F69F4537307}" srcOrd="1" destOrd="0" presId="urn:microsoft.com/office/officeart/2005/8/layout/target3"/>
    <dgm:cxn modelId="{016A1E80-4E74-4A09-B0AA-9248294BFE60}" type="presOf" srcId="{0596E8A4-AFA0-4A1A-BF05-9EA79ECEB469}" destId="{B4070BDC-0DC3-4320-897D-78DCE9157C7F}" srcOrd="0" destOrd="0" presId="urn:microsoft.com/office/officeart/2005/8/layout/target3"/>
    <dgm:cxn modelId="{4B6A8A81-B909-4BC3-8F30-B3FBD90B7086}" srcId="{D8A0459A-A188-4779-8E0F-8E83BB6CDDC7}" destId="{0596E8A4-AFA0-4A1A-BF05-9EA79ECEB469}" srcOrd="0" destOrd="0" parTransId="{A7D4F500-D6B1-462A-9194-A02440B8A79E}" sibTransId="{65293844-3CC5-49EC-8C60-CABA0CF94849}"/>
    <dgm:cxn modelId="{6159159C-5475-443E-B9AE-BD4CE4B44289}" srcId="{F6DC3E6C-7AD1-4F4C-A34D-8F055202F821}" destId="{8183A612-9B17-4343-80E5-66AE7A8BFF6D}" srcOrd="0" destOrd="0" parTransId="{B658675A-30A0-4643-A901-3760EBE27D2C}" sibTransId="{74C31BE5-F886-48D7-8DBE-AF623A7768E5}"/>
    <dgm:cxn modelId="{28472DB6-BBAB-4F1F-8A2D-9DE3445261F5}" type="presOf" srcId="{6401573E-BB91-44A7-98EA-E5A046986201}" destId="{1D4EB4AA-9515-4F58-85A3-985088DA272A}" srcOrd="0" destOrd="0" presId="urn:microsoft.com/office/officeart/2005/8/layout/target3"/>
    <dgm:cxn modelId="{3FE137CB-9CB1-45AA-BADD-CCFE5502A504}" srcId="{6CF64B8E-ECF9-44DA-BF53-01F52CE79D61}" destId="{F6DC3E6C-7AD1-4F4C-A34D-8F055202F821}" srcOrd="0" destOrd="0" parTransId="{5153E212-0151-4BB4-8AF3-34A65F0048A4}" sibTransId="{F02BE522-FFA5-4AFE-90E3-159BF426BCF5}"/>
    <dgm:cxn modelId="{E4219AD3-0041-4DCD-8954-D0CDED4464CE}" type="presOf" srcId="{6CF64B8E-ECF9-44DA-BF53-01F52CE79D61}" destId="{09FE0079-D319-4AB5-99BD-4121FDC03800}" srcOrd="0" destOrd="0" presId="urn:microsoft.com/office/officeart/2005/8/layout/target3"/>
    <dgm:cxn modelId="{5E190ADD-CFE3-48E9-906A-0739C562218F}" type="presOf" srcId="{F6DC3E6C-7AD1-4F4C-A34D-8F055202F821}" destId="{93CD6F48-4EA1-47D6-A582-CFA5835A3D6C}" srcOrd="1" destOrd="0" presId="urn:microsoft.com/office/officeart/2005/8/layout/target3"/>
    <dgm:cxn modelId="{D4E9DDEC-434E-4B45-BCA6-1707E4ECEB5C}" type="presOf" srcId="{8183A612-9B17-4343-80E5-66AE7A8BFF6D}" destId="{E8446E0C-4508-495D-82D4-A0A2604D0F80}" srcOrd="0" destOrd="0" presId="urn:microsoft.com/office/officeart/2005/8/layout/target3"/>
    <dgm:cxn modelId="{4DA0CC0C-55C9-4B0A-B335-4B7390E23054}" type="presParOf" srcId="{09FE0079-D319-4AB5-99BD-4121FDC03800}" destId="{05915A26-1321-4E94-ACEF-433CDC010B22}" srcOrd="0" destOrd="0" presId="urn:microsoft.com/office/officeart/2005/8/layout/target3"/>
    <dgm:cxn modelId="{FD4933B9-6A0E-4C46-8ED7-DCED4152BBF3}" type="presParOf" srcId="{09FE0079-D319-4AB5-99BD-4121FDC03800}" destId="{0C3E0E13-3AE2-468F-90F0-88705F1E6524}" srcOrd="1" destOrd="0" presId="urn:microsoft.com/office/officeart/2005/8/layout/target3"/>
    <dgm:cxn modelId="{C3F771AE-F90E-4D6F-84DF-41E29E7A5F0B}" type="presParOf" srcId="{09FE0079-D319-4AB5-99BD-4121FDC03800}" destId="{3D900422-547A-4CC8-A507-37DCB82ECE0C}" srcOrd="2" destOrd="0" presId="urn:microsoft.com/office/officeart/2005/8/layout/target3"/>
    <dgm:cxn modelId="{8295D9B7-C349-4F26-8496-53BD0F1D8204}" type="presParOf" srcId="{09FE0079-D319-4AB5-99BD-4121FDC03800}" destId="{56B325CE-2F2A-451A-BA35-3DC29312CC3A}" srcOrd="3" destOrd="0" presId="urn:microsoft.com/office/officeart/2005/8/layout/target3"/>
    <dgm:cxn modelId="{5AAFCF21-B7E4-41C9-B5D2-3B0462A05209}" type="presParOf" srcId="{09FE0079-D319-4AB5-99BD-4121FDC03800}" destId="{1FEBCA01-460B-48F9-9268-D1A5242E60C2}" srcOrd="4" destOrd="0" presId="urn:microsoft.com/office/officeart/2005/8/layout/target3"/>
    <dgm:cxn modelId="{C0228E1B-64CB-4C1D-9F57-684979878A41}" type="presParOf" srcId="{09FE0079-D319-4AB5-99BD-4121FDC03800}" destId="{D4A7FB93-04A6-4E0D-ABE4-66A290FC97C0}" srcOrd="5" destOrd="0" presId="urn:microsoft.com/office/officeart/2005/8/layout/target3"/>
    <dgm:cxn modelId="{E37058B7-F6D8-4ADA-8CE2-E4688FE669C0}" type="presParOf" srcId="{09FE0079-D319-4AB5-99BD-4121FDC03800}" destId="{E4B64195-3D3C-498D-A462-43021BBDDD9F}" srcOrd="6" destOrd="0" presId="urn:microsoft.com/office/officeart/2005/8/layout/target3"/>
    <dgm:cxn modelId="{29022E4F-93BC-41B2-BFD7-1B5EE780C2AB}" type="presParOf" srcId="{09FE0079-D319-4AB5-99BD-4121FDC03800}" destId="{A7A9FBA8-63BD-41FE-A96E-788E9D80C913}" srcOrd="7" destOrd="0" presId="urn:microsoft.com/office/officeart/2005/8/layout/target3"/>
    <dgm:cxn modelId="{211D13FE-4213-4D51-B33C-6022C65D303A}" type="presParOf" srcId="{09FE0079-D319-4AB5-99BD-4121FDC03800}" destId="{72F8EFD5-23D4-4EC4-A051-F833135253A9}" srcOrd="8" destOrd="0" presId="urn:microsoft.com/office/officeart/2005/8/layout/target3"/>
    <dgm:cxn modelId="{639FF220-4306-426F-8A6F-6202EDE0F648}" type="presParOf" srcId="{09FE0079-D319-4AB5-99BD-4121FDC03800}" destId="{93CD6F48-4EA1-47D6-A582-CFA5835A3D6C}" srcOrd="9" destOrd="0" presId="urn:microsoft.com/office/officeart/2005/8/layout/target3"/>
    <dgm:cxn modelId="{16E6ACA8-B19E-43E3-B518-D18357EA48E8}" type="presParOf" srcId="{09FE0079-D319-4AB5-99BD-4121FDC03800}" destId="{E8446E0C-4508-495D-82D4-A0A2604D0F80}" srcOrd="10" destOrd="0" presId="urn:microsoft.com/office/officeart/2005/8/layout/target3"/>
    <dgm:cxn modelId="{41CBADB8-94CA-4B7E-93AA-D8D388363505}" type="presParOf" srcId="{09FE0079-D319-4AB5-99BD-4121FDC03800}" destId="{56B13D29-FD49-468F-9A1B-6F69F4537307}" srcOrd="11" destOrd="0" presId="urn:microsoft.com/office/officeart/2005/8/layout/target3"/>
    <dgm:cxn modelId="{7DE8B5E8-CB44-4B8C-81AE-2209CDF08A87}" type="presParOf" srcId="{09FE0079-D319-4AB5-99BD-4121FDC03800}" destId="{1D4EB4AA-9515-4F58-85A3-985088DA272A}" srcOrd="12" destOrd="0" presId="urn:microsoft.com/office/officeart/2005/8/layout/target3"/>
    <dgm:cxn modelId="{9F2038C2-328A-4F59-AE6C-BADF98797847}" type="presParOf" srcId="{09FE0079-D319-4AB5-99BD-4121FDC03800}" destId="{2E20E45A-026E-4F1E-A1FE-3A8A488D0EB6}" srcOrd="13" destOrd="0" presId="urn:microsoft.com/office/officeart/2005/8/layout/target3"/>
    <dgm:cxn modelId="{DC7BA9B4-2748-4089-AA24-968907E5AD6F}" type="presParOf" srcId="{09FE0079-D319-4AB5-99BD-4121FDC03800}" destId="{B4070BDC-0DC3-4320-897D-78DCE9157C7F}" srcOrd="14" destOrd="0" presId="urn:microsoft.com/office/officeart/2005/8/layout/target3"/>
  </dgm:cxnLst>
  <dgm:bg/>
  <dgm:whole/>
  <dgm:extLst>
    <a:ext uri="http://schemas.microsoft.com/office/drawing/2008/diagram">
      <dsp:dataModelExt xmlns:dsp="http://schemas.microsoft.com/office/drawing/2008/diagram" relId="rId23"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05915A26-1321-4E94-ACEF-433CDC010B22}">
      <dsp:nvSpPr>
        <dsp:cNvPr id="0" name=""/>
        <dsp:cNvSpPr/>
      </dsp:nvSpPr>
      <dsp:spPr>
        <a:xfrm>
          <a:off x="0" y="0"/>
          <a:ext cx="1762125" cy="1762125"/>
        </a:xfrm>
        <a:prstGeom prst="pie">
          <a:avLst>
            <a:gd name="adj1" fmla="val 5400000"/>
            <a:gd name="adj2" fmla="val 16200000"/>
          </a:avLst>
        </a:prstGeom>
        <a:solidFill>
          <a:srgbClr val="4472C4">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3D900422-547A-4CC8-A507-37DCB82ECE0C}">
      <dsp:nvSpPr>
        <dsp:cNvPr id="0" name=""/>
        <dsp:cNvSpPr/>
      </dsp:nvSpPr>
      <dsp:spPr>
        <a:xfrm>
          <a:off x="881062" y="0"/>
          <a:ext cx="3386137" cy="1762125"/>
        </a:xfrm>
        <a:prstGeom prst="rect">
          <a:avLst/>
        </a:prstGeom>
        <a:solidFill>
          <a:sysClr val="window" lastClr="FFFFFF">
            <a:alpha val="90000"/>
            <a:hueOff val="0"/>
            <a:satOff val="0"/>
            <a:lumOff val="0"/>
            <a:alphaOff val="0"/>
          </a:sysClr>
        </a:solidFill>
        <a:ln w="12700" cap="flat" cmpd="sng" algn="ctr">
          <a:solidFill>
            <a:srgbClr val="4472C4">
              <a:hueOff val="0"/>
              <a:satOff val="0"/>
              <a:lumOff val="0"/>
              <a:alphaOff val="0"/>
            </a:srgb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68580" tIns="68580" rIns="68580" bIns="68580" numCol="1" spcCol="1270" anchor="ctr" anchorCtr="0">
          <a:noAutofit/>
        </a:bodyPr>
        <a:lstStyle/>
        <a:p>
          <a:pPr marL="0" lvl="0" indent="0" algn="ctr" defTabSz="800100">
            <a:lnSpc>
              <a:spcPct val="90000"/>
            </a:lnSpc>
            <a:spcBef>
              <a:spcPct val="0"/>
            </a:spcBef>
            <a:spcAft>
              <a:spcPct val="35000"/>
            </a:spcAft>
            <a:buNone/>
          </a:pPr>
          <a:r>
            <a:rPr lang="en-US" sz="1800" kern="1200">
              <a:solidFill>
                <a:sysClr val="windowText" lastClr="000000">
                  <a:hueOff val="0"/>
                  <a:satOff val="0"/>
                  <a:lumOff val="0"/>
                  <a:alphaOff val="0"/>
                </a:sysClr>
              </a:solidFill>
              <a:latin typeface="Calibri" panose="020F0502020204030204"/>
              <a:ea typeface="+mn-ea"/>
              <a:cs typeface="+mn-cs"/>
            </a:rPr>
            <a:t>HCP</a:t>
          </a:r>
        </a:p>
      </dsp:txBody>
      <dsp:txXfrm>
        <a:off x="881062" y="0"/>
        <a:ext cx="1693068" cy="528638"/>
      </dsp:txXfrm>
    </dsp:sp>
    <dsp:sp modelId="{1FEBCA01-460B-48F9-9268-D1A5242E60C2}">
      <dsp:nvSpPr>
        <dsp:cNvPr id="0" name=""/>
        <dsp:cNvSpPr/>
      </dsp:nvSpPr>
      <dsp:spPr>
        <a:xfrm>
          <a:off x="308372" y="528638"/>
          <a:ext cx="1145380" cy="1145380"/>
        </a:xfrm>
        <a:prstGeom prst="pie">
          <a:avLst>
            <a:gd name="adj1" fmla="val 5400000"/>
            <a:gd name="adj2" fmla="val 16200000"/>
          </a:avLst>
        </a:prstGeom>
        <a:solidFill>
          <a:srgbClr val="4472C4">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D4A7FB93-04A6-4E0D-ABE4-66A290FC97C0}">
      <dsp:nvSpPr>
        <dsp:cNvPr id="0" name=""/>
        <dsp:cNvSpPr/>
      </dsp:nvSpPr>
      <dsp:spPr>
        <a:xfrm>
          <a:off x="881062" y="528638"/>
          <a:ext cx="3386137" cy="1145380"/>
        </a:xfrm>
        <a:prstGeom prst="rect">
          <a:avLst/>
        </a:prstGeom>
        <a:solidFill>
          <a:sysClr val="window" lastClr="FFFFFF">
            <a:alpha val="90000"/>
            <a:hueOff val="0"/>
            <a:satOff val="0"/>
            <a:lumOff val="0"/>
            <a:alphaOff val="0"/>
          </a:sysClr>
        </a:solidFill>
        <a:ln w="12700" cap="flat" cmpd="sng" algn="ctr">
          <a:solidFill>
            <a:srgbClr val="4472C4">
              <a:hueOff val="0"/>
              <a:satOff val="0"/>
              <a:lumOff val="0"/>
              <a:alphaOff val="0"/>
            </a:srgb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68580" tIns="68580" rIns="68580" bIns="68580" numCol="1" spcCol="1270" anchor="ctr" anchorCtr="0">
          <a:noAutofit/>
        </a:bodyPr>
        <a:lstStyle/>
        <a:p>
          <a:pPr marL="0" lvl="0" indent="0" algn="ctr" defTabSz="800100">
            <a:lnSpc>
              <a:spcPct val="90000"/>
            </a:lnSpc>
            <a:spcBef>
              <a:spcPct val="0"/>
            </a:spcBef>
            <a:spcAft>
              <a:spcPct val="35000"/>
            </a:spcAft>
            <a:buNone/>
          </a:pPr>
          <a:r>
            <a:rPr lang="en-US" sz="1800" kern="1200">
              <a:solidFill>
                <a:sysClr val="windowText" lastClr="000000">
                  <a:hueOff val="0"/>
                  <a:satOff val="0"/>
                  <a:lumOff val="0"/>
                  <a:alphaOff val="0"/>
                </a:sysClr>
              </a:solidFill>
              <a:latin typeface="Calibri" panose="020F0502020204030204"/>
              <a:ea typeface="+mn-ea"/>
              <a:cs typeface="+mn-cs"/>
            </a:rPr>
            <a:t>FCGs</a:t>
          </a:r>
        </a:p>
      </dsp:txBody>
      <dsp:txXfrm>
        <a:off x="881062" y="528638"/>
        <a:ext cx="1693068" cy="528636"/>
      </dsp:txXfrm>
    </dsp:sp>
    <dsp:sp modelId="{A7A9FBA8-63BD-41FE-A96E-788E9D80C913}">
      <dsp:nvSpPr>
        <dsp:cNvPr id="0" name=""/>
        <dsp:cNvSpPr/>
      </dsp:nvSpPr>
      <dsp:spPr>
        <a:xfrm>
          <a:off x="616744" y="1057275"/>
          <a:ext cx="528636" cy="528636"/>
        </a:xfrm>
        <a:prstGeom prst="pie">
          <a:avLst>
            <a:gd name="adj1" fmla="val 5400000"/>
            <a:gd name="adj2" fmla="val 16200000"/>
          </a:avLst>
        </a:prstGeom>
        <a:solidFill>
          <a:srgbClr val="4472C4">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72F8EFD5-23D4-4EC4-A051-F833135253A9}">
      <dsp:nvSpPr>
        <dsp:cNvPr id="0" name=""/>
        <dsp:cNvSpPr/>
      </dsp:nvSpPr>
      <dsp:spPr>
        <a:xfrm>
          <a:off x="881062" y="1057275"/>
          <a:ext cx="3386137" cy="528636"/>
        </a:xfrm>
        <a:prstGeom prst="rect">
          <a:avLst/>
        </a:prstGeom>
        <a:solidFill>
          <a:sysClr val="window" lastClr="FFFFFF">
            <a:alpha val="90000"/>
            <a:hueOff val="0"/>
            <a:satOff val="0"/>
            <a:lumOff val="0"/>
            <a:alphaOff val="0"/>
          </a:sysClr>
        </a:solidFill>
        <a:ln w="12700" cap="flat" cmpd="sng" algn="ctr">
          <a:solidFill>
            <a:srgbClr val="4472C4">
              <a:hueOff val="0"/>
              <a:satOff val="0"/>
              <a:lumOff val="0"/>
              <a:alphaOff val="0"/>
            </a:srgb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68580" tIns="68580" rIns="68580" bIns="68580" numCol="1" spcCol="1270" anchor="ctr" anchorCtr="0">
          <a:noAutofit/>
        </a:bodyPr>
        <a:lstStyle/>
        <a:p>
          <a:pPr marL="0" lvl="0" indent="0" algn="ctr" defTabSz="800100">
            <a:lnSpc>
              <a:spcPct val="90000"/>
            </a:lnSpc>
            <a:spcBef>
              <a:spcPct val="0"/>
            </a:spcBef>
            <a:spcAft>
              <a:spcPct val="35000"/>
            </a:spcAft>
            <a:buNone/>
          </a:pPr>
          <a:r>
            <a:rPr lang="en-US" sz="1800" kern="1200">
              <a:solidFill>
                <a:sysClr val="windowText" lastClr="000000">
                  <a:hueOff val="0"/>
                  <a:satOff val="0"/>
                  <a:lumOff val="0"/>
                  <a:alphaOff val="0"/>
                </a:sysClr>
              </a:solidFill>
              <a:latin typeface="Calibri" panose="020F0502020204030204"/>
              <a:ea typeface="+mn-ea"/>
              <a:cs typeface="+mn-cs"/>
            </a:rPr>
            <a:t>Patient</a:t>
          </a:r>
        </a:p>
      </dsp:txBody>
      <dsp:txXfrm>
        <a:off x="881062" y="1057275"/>
        <a:ext cx="1693068" cy="528636"/>
      </dsp:txXfrm>
    </dsp:sp>
    <dsp:sp modelId="{E8446E0C-4508-495D-82D4-A0A2604D0F80}">
      <dsp:nvSpPr>
        <dsp:cNvPr id="0" name=""/>
        <dsp:cNvSpPr/>
      </dsp:nvSpPr>
      <dsp:spPr>
        <a:xfrm>
          <a:off x="2574131" y="0"/>
          <a:ext cx="1693068" cy="528638"/>
        </a:xfrm>
        <a:prstGeom prst="rect">
          <a:avLst/>
        </a:prstGeom>
        <a:noFill/>
        <a:ln w="12700" cap="flat" cmpd="sng" algn="ctr">
          <a:noFill/>
          <a:prstDash val="solid"/>
          <a:miter lim="800000"/>
        </a:ln>
        <a:effectLst/>
        <a:sp3d/>
      </dsp:spPr>
      <dsp:style>
        <a:lnRef idx="2">
          <a:scrgbClr r="0" g="0" b="0"/>
        </a:lnRef>
        <a:fillRef idx="1">
          <a:scrgbClr r="0" g="0" b="0"/>
        </a:fillRef>
        <a:effectRef idx="0">
          <a:scrgbClr r="0" g="0" b="0"/>
        </a:effectRef>
        <a:fontRef idx="minor"/>
      </dsp:style>
      <dsp:txBody>
        <a:bodyPr spcFirstLastPara="0" vert="horz" wrap="square" lIns="45720" tIns="45720" rIns="45720" bIns="45720" numCol="1" spcCol="1270" anchor="ctr" anchorCtr="0">
          <a:noAutofit/>
        </a:bodyPr>
        <a:lstStyle/>
        <a:p>
          <a:pPr marL="114300" lvl="1" indent="-114300" algn="l" defTabSz="533400">
            <a:lnSpc>
              <a:spcPct val="90000"/>
            </a:lnSpc>
            <a:spcBef>
              <a:spcPct val="0"/>
            </a:spcBef>
            <a:spcAft>
              <a:spcPct val="15000"/>
            </a:spcAft>
            <a:buChar char="•"/>
          </a:pPr>
          <a:r>
            <a:rPr lang="en-US" sz="1200" kern="1200">
              <a:solidFill>
                <a:sysClr val="windowText" lastClr="000000">
                  <a:hueOff val="0"/>
                  <a:satOff val="0"/>
                  <a:lumOff val="0"/>
                  <a:alphaOff val="0"/>
                </a:sysClr>
              </a:solidFill>
              <a:latin typeface="Calibri" panose="020F0502020204030204"/>
              <a:ea typeface="+mn-ea"/>
              <a:cs typeface="+mn-cs"/>
            </a:rPr>
            <a:t>Interviews</a:t>
          </a:r>
        </a:p>
      </dsp:txBody>
      <dsp:txXfrm>
        <a:off x="2574131" y="0"/>
        <a:ext cx="1693068" cy="528638"/>
      </dsp:txXfrm>
    </dsp:sp>
    <dsp:sp modelId="{1D4EB4AA-9515-4F58-85A3-985088DA272A}">
      <dsp:nvSpPr>
        <dsp:cNvPr id="0" name=""/>
        <dsp:cNvSpPr/>
      </dsp:nvSpPr>
      <dsp:spPr>
        <a:xfrm>
          <a:off x="2574131" y="528638"/>
          <a:ext cx="1693068" cy="528636"/>
        </a:xfrm>
        <a:prstGeom prst="rect">
          <a:avLst/>
        </a:prstGeom>
        <a:noFill/>
        <a:ln w="12700" cap="flat" cmpd="sng" algn="ctr">
          <a:noFill/>
          <a:prstDash val="solid"/>
          <a:miter lim="800000"/>
        </a:ln>
        <a:effectLst/>
        <a:sp3d/>
      </dsp:spPr>
      <dsp:style>
        <a:lnRef idx="2">
          <a:scrgbClr r="0" g="0" b="0"/>
        </a:lnRef>
        <a:fillRef idx="1">
          <a:scrgbClr r="0" g="0" b="0"/>
        </a:fillRef>
        <a:effectRef idx="0">
          <a:scrgbClr r="0" g="0" b="0"/>
        </a:effectRef>
        <a:fontRef idx="minor"/>
      </dsp:style>
      <dsp:txBody>
        <a:bodyPr spcFirstLastPara="0" vert="horz" wrap="square" lIns="45720" tIns="45720" rIns="45720" bIns="45720" numCol="1" spcCol="1270" anchor="ctr" anchorCtr="0">
          <a:noAutofit/>
        </a:bodyPr>
        <a:lstStyle/>
        <a:p>
          <a:pPr marL="114300" lvl="1" indent="-114300" algn="l" defTabSz="533400">
            <a:lnSpc>
              <a:spcPct val="90000"/>
            </a:lnSpc>
            <a:spcBef>
              <a:spcPct val="0"/>
            </a:spcBef>
            <a:spcAft>
              <a:spcPct val="15000"/>
            </a:spcAft>
            <a:buChar char="•"/>
          </a:pPr>
          <a:r>
            <a:rPr lang="en-US" sz="1200" kern="1200">
              <a:solidFill>
                <a:sysClr val="windowText" lastClr="000000">
                  <a:hueOff val="0"/>
                  <a:satOff val="0"/>
                  <a:lumOff val="0"/>
                  <a:alphaOff val="0"/>
                </a:sysClr>
              </a:solidFill>
              <a:latin typeface="Calibri" panose="020F0502020204030204"/>
              <a:ea typeface="+mn-ea"/>
              <a:cs typeface="+mn-cs"/>
            </a:rPr>
            <a:t>Interviews</a:t>
          </a:r>
        </a:p>
      </dsp:txBody>
      <dsp:txXfrm>
        <a:off x="2574131" y="528638"/>
        <a:ext cx="1693068" cy="528636"/>
      </dsp:txXfrm>
    </dsp:sp>
    <dsp:sp modelId="{B4070BDC-0DC3-4320-897D-78DCE9157C7F}">
      <dsp:nvSpPr>
        <dsp:cNvPr id="0" name=""/>
        <dsp:cNvSpPr/>
      </dsp:nvSpPr>
      <dsp:spPr>
        <a:xfrm>
          <a:off x="2574131" y="1057275"/>
          <a:ext cx="1693068" cy="528636"/>
        </a:xfrm>
        <a:prstGeom prst="rect">
          <a:avLst/>
        </a:prstGeom>
        <a:noFill/>
        <a:ln w="12700" cap="flat" cmpd="sng" algn="ctr">
          <a:noFill/>
          <a:prstDash val="solid"/>
          <a:miter lim="800000"/>
        </a:ln>
        <a:effectLst/>
        <a:sp3d/>
      </dsp:spPr>
      <dsp:style>
        <a:lnRef idx="2">
          <a:scrgbClr r="0" g="0" b="0"/>
        </a:lnRef>
        <a:fillRef idx="1">
          <a:scrgbClr r="0" g="0" b="0"/>
        </a:fillRef>
        <a:effectRef idx="0">
          <a:scrgbClr r="0" g="0" b="0"/>
        </a:effectRef>
        <a:fontRef idx="minor"/>
      </dsp:style>
      <dsp:txBody>
        <a:bodyPr spcFirstLastPara="0" vert="horz" wrap="square" lIns="45720" tIns="45720" rIns="45720" bIns="45720" numCol="1" spcCol="1270" anchor="ctr" anchorCtr="0">
          <a:noAutofit/>
        </a:bodyPr>
        <a:lstStyle/>
        <a:p>
          <a:pPr marL="114300" lvl="1" indent="-114300" algn="l" defTabSz="533400">
            <a:lnSpc>
              <a:spcPct val="90000"/>
            </a:lnSpc>
            <a:spcBef>
              <a:spcPct val="0"/>
            </a:spcBef>
            <a:spcAft>
              <a:spcPct val="15000"/>
            </a:spcAft>
            <a:buChar char="•"/>
          </a:pPr>
          <a:r>
            <a:rPr lang="en-US" sz="1200" kern="1200">
              <a:solidFill>
                <a:sysClr val="windowText" lastClr="000000">
                  <a:hueOff val="0"/>
                  <a:satOff val="0"/>
                  <a:lumOff val="0"/>
                  <a:alphaOff val="0"/>
                </a:sysClr>
              </a:solidFill>
              <a:latin typeface="Calibri" panose="020F0502020204030204"/>
              <a:ea typeface="+mn-ea"/>
              <a:cs typeface="+mn-cs"/>
            </a:rPr>
            <a:t>Interviews</a:t>
          </a:r>
        </a:p>
        <a:p>
          <a:pPr marL="114300" lvl="1" indent="-114300" algn="l" defTabSz="533400">
            <a:lnSpc>
              <a:spcPct val="90000"/>
            </a:lnSpc>
            <a:spcBef>
              <a:spcPct val="0"/>
            </a:spcBef>
            <a:spcAft>
              <a:spcPct val="15000"/>
            </a:spcAft>
            <a:buChar char="•"/>
          </a:pPr>
          <a:r>
            <a:rPr lang="en-US" sz="1200" kern="1200">
              <a:solidFill>
                <a:sysClr val="windowText" lastClr="000000">
                  <a:hueOff val="0"/>
                  <a:satOff val="0"/>
                  <a:lumOff val="0"/>
                  <a:alphaOff val="0"/>
                </a:sysClr>
              </a:solidFill>
              <a:latin typeface="Calibri" panose="020F0502020204030204"/>
              <a:ea typeface="+mn-ea"/>
              <a:cs typeface="+mn-cs"/>
            </a:rPr>
            <a:t>Medical Records review</a:t>
          </a:r>
        </a:p>
      </dsp:txBody>
      <dsp:txXfrm>
        <a:off x="2574131" y="1057275"/>
        <a:ext cx="1693068" cy="528636"/>
      </dsp:txXfrm>
    </dsp:sp>
  </dsp:spTree>
</dsp:drawing>
</file>

<file path=word/diagrams/layout1.xml><?xml version="1.0" encoding="utf-8"?>
<dgm:layoutDef xmlns:dgm="http://schemas.openxmlformats.org/drawingml/2006/diagram" xmlns:a="http://schemas.openxmlformats.org/drawingml/2006/main" uniqueId="urn:microsoft.com/office/officeart/2005/8/layout/target3">
  <dgm:title val=""/>
  <dgm:desc val=""/>
  <dgm:catLst>
    <dgm:cat type="relationship" pri="11000"/>
    <dgm:cat type="list" pri="22000"/>
    <dgm:cat type="convert" pri="4000"/>
  </dgm:catLst>
  <dgm:sampData>
    <dgm:dataModel>
      <dgm:ptLst>
        <dgm:pt modelId="0" type="doc"/>
        <dgm:pt modelId="1">
          <dgm:prSet phldr="1"/>
        </dgm:pt>
        <dgm:pt modelId="11">
          <dgm:prSet phldr="1"/>
        </dgm:pt>
        <dgm:pt modelId="12">
          <dgm:prSet phldr="1"/>
        </dgm:pt>
        <dgm:pt modelId="2">
          <dgm:prSet phldr="1"/>
        </dgm:pt>
        <dgm:pt modelId="21">
          <dgm:prSet phldr="1"/>
        </dgm:pt>
        <dgm:pt modelId="22">
          <dgm:prSet phldr="1"/>
        </dgm:pt>
        <dgm:pt modelId="3">
          <dgm:prSet phldr="1"/>
        </dgm:pt>
        <dgm:pt modelId="31">
          <dgm:prSet phldr="1"/>
        </dgm:pt>
        <dgm:pt modelId="32">
          <dgm:prSet phldr="1"/>
        </dgm:pt>
      </dgm:ptLst>
      <dgm:cxnLst>
        <dgm:cxn modelId="4" srcId="0" destId="1" srcOrd="0" destOrd="0"/>
        <dgm:cxn modelId="5" srcId="0" destId="2" srcOrd="1" destOrd="0"/>
        <dgm:cxn modelId="6" srcId="0" destId="3" srcOrd="2" destOrd="0"/>
        <dgm:cxn modelId="41" srcId="1" destId="11" srcOrd="0" destOrd="0"/>
        <dgm:cxn modelId="42" srcId="1" destId="12" srcOrd="1" destOrd="0"/>
        <dgm:cxn modelId="51" srcId="2" destId="21" srcOrd="0" destOrd="0"/>
        <dgm:cxn modelId="52" srcId="2" destId="22" srcOrd="1" destOrd="0"/>
        <dgm:cxn modelId="61" srcId="3" destId="31" srcOrd="0" destOrd="0"/>
        <dgm:cxn modelId="62" srcId="3" destId="32" srcOrd="1" destOrd="0"/>
      </dgm:cxnLst>
      <dgm:bg/>
      <dgm:whole/>
    </dgm:dataModel>
  </dgm:sampData>
  <dgm:styleData>
    <dgm:dataModel>
      <dgm:ptLst>
        <dgm:pt modelId="0" type="doc"/>
        <dgm:pt modelId="1"/>
        <dgm:pt modelId="11"/>
        <dgm:pt modelId="12"/>
        <dgm:pt modelId="2"/>
        <dgm:pt modelId="21"/>
        <dgm:pt modelId="22"/>
        <dgm:pt modelId="3"/>
        <dgm:pt modelId="31"/>
        <dgm:pt modelId="32"/>
      </dgm:ptLst>
      <dgm:cxnLst>
        <dgm:cxn modelId="4" srcId="0" destId="1" srcOrd="0" destOrd="0"/>
        <dgm:cxn modelId="5" srcId="0" destId="2" srcOrd="1" destOrd="0"/>
        <dgm:cxn modelId="6" srcId="0" destId="3" srcOrd="2" destOrd="0"/>
        <dgm:cxn modelId="41" srcId="1" destId="11" srcOrd="0" destOrd="0"/>
        <dgm:cxn modelId="42" srcId="1" destId="12" srcOrd="1" destOrd="0"/>
        <dgm:cxn modelId="51" srcId="2" destId="21" srcOrd="0" destOrd="0"/>
        <dgm:cxn modelId="52" srcId="2" destId="22" srcOrd="1" destOrd="0"/>
        <dgm:cxn modelId="61" srcId="3" destId="31" srcOrd="0" destOrd="0"/>
        <dgm:cxn modelId="62" srcId="3" destId="32" srcOrd="1" destOrd="0"/>
      </dgm:cxnLst>
      <dgm:bg/>
      <dgm:whole/>
    </dgm:dataModel>
  </dgm:styleData>
  <dgm:clrData>
    <dgm:dataModel>
      <dgm:ptLst>
        <dgm:pt modelId="0" type="doc"/>
        <dgm:pt modelId="1"/>
        <dgm:pt modelId="11"/>
        <dgm:pt modelId="12"/>
        <dgm:pt modelId="2"/>
        <dgm:pt modelId="21"/>
        <dgm:pt modelId="22"/>
        <dgm:pt modelId="3"/>
        <dgm:pt modelId="31"/>
        <dgm:pt modelId="32"/>
      </dgm:ptLst>
      <dgm:cxnLst>
        <dgm:cxn modelId="4" srcId="0" destId="1" srcOrd="0" destOrd="0"/>
        <dgm:cxn modelId="5" srcId="0" destId="2" srcOrd="1" destOrd="0"/>
        <dgm:cxn modelId="6" srcId="0" destId="3" srcOrd="2" destOrd="0"/>
        <dgm:cxn modelId="41" srcId="1" destId="11" srcOrd="0" destOrd="0"/>
        <dgm:cxn modelId="42" srcId="1" destId="12" srcOrd="1" destOrd="0"/>
        <dgm:cxn modelId="51" srcId="2" destId="21" srcOrd="0" destOrd="0"/>
        <dgm:cxn modelId="52" srcId="2" destId="22" srcOrd="1" destOrd="0"/>
        <dgm:cxn modelId="61" srcId="3" destId="31" srcOrd="0" destOrd="0"/>
        <dgm:cxn modelId="62" srcId="3" destId="32" srcOrd="1" destOrd="0"/>
      </dgm:cxnLst>
      <dgm:bg/>
      <dgm:whole/>
    </dgm:dataModel>
  </dgm:clrData>
  <dgm:layoutNode name="Name0">
    <dgm:varLst>
      <dgm:chMax val="7"/>
      <dgm:dir/>
      <dgm:animLvl val="lvl"/>
      <dgm:resizeHandles val="exact"/>
    </dgm:varLst>
    <dgm:alg type="composite"/>
    <dgm:shape xmlns:r="http://schemas.openxmlformats.org/officeDocument/2006/relationships" r:blip="">
      <dgm:adjLst/>
    </dgm:shape>
    <dgm:presOf/>
    <dgm:choose name="Name1">
      <dgm:if name="Name2" func="var" arg="dir" op="equ" val="norm">
        <dgm:choose name="Name3">
          <dgm:if name="Name4" axis="ch" ptType="node" func="cnt" op="equ" val="1">
            <dgm:constrLst>
              <dgm:constr type="userA" refType="w" fact="0.3"/>
              <dgm:constr type="w" for="ch" forName="circle1" refType="userA" fact="2"/>
              <dgm:constr type="h" for="ch" forName="circle1" refType="w" refFor="ch" refForName="circle1" op="equ"/>
              <dgm:constr type="l" for="ch" forName="circle1"/>
              <dgm:constr type="ctrY" for="ch" forName="circle1" refType="h" fact="0.5"/>
              <dgm:constr type="l" for="ch" forName="space" refType="ctrX" refFor="ch" refForName="circle1"/>
              <dgm:constr type="w" for="ch" forName="space"/>
              <dgm:constr type="h" for="ch" forName="space" refType="h" refFor="ch" refForName="circle1"/>
              <dgm:constr type="b" for="ch" forName="space" refType="b" refFor="ch" refForName="circle1"/>
              <dgm:constr type="l" for="ch" forName="rect1" refType="r" refFor="ch" refForName="space"/>
              <dgm:constr type="r" for="ch" forName="rect1" refType="w"/>
              <dgm:constr type="h" for="ch" forName="rect1" refType="h" refFor="ch" refForName="circle1"/>
              <dgm:constr type="b" for="ch" forName="rect1" refType="b" refFor="ch" refForName="circle1"/>
              <dgm:constr type="l" for="ch" forName="rect1ParTx" refType="r" refFor="ch" refForName="space"/>
              <dgm:constr type="w" for="ch" forName="rect1ParTx" refType="w" refFor="ch" refForName="rect1" fact="0.5"/>
              <dgm:constr type="t" for="ch" forName="rect1ParTx" refType="t" refFor="ch" refForName="rect1"/>
              <dgm:constr type="b" for="ch" forName="rect1ParTx" refType="b" refFor="ch" refForName="rect1"/>
              <dgm:constr type="l" for="ch" forName="rect1ChTx" refType="r" refFor="ch" refForName="rect1ParTx"/>
              <dgm:constr type="w" for="ch" forName="rect1ChTx" refType="w" refFor="ch" refForName="rect1ParTx"/>
              <dgm:constr type="t" for="ch" forName="rect1ChTx" refType="t" refFor="ch" refForName="rect1ParTx"/>
              <dgm:constr type="b" for="ch" forName="rect1ChTx" refType="b" refFor="ch" refForName="rect1ParTx"/>
              <dgm:constr type="l" for="ch" forName="rect1ParTxNoCh" refType="r" refFor="ch" refForName="space"/>
              <dgm:constr type="w" for="ch" forName="rect1ParTxNoCh" refType="w" refFor="ch" refForName="rect1"/>
              <dgm:constr type="t" for="ch" forName="rect1ParTxNoCh" refType="t" refFor="ch" refForName="rect1"/>
              <dgm:constr type="b" for="ch" forName="rect1ParTxNoCh" refType="b" refFor="ch" refForName="rect1"/>
              <dgm:constr type="primFontSz" for="ch" op="equ" val="65"/>
              <dgm:constr type="secFontSz" for="ch" op="equ" val="65"/>
            </dgm:constrLst>
          </dgm:if>
          <dgm:if name="Name5" axis="ch" ptType="node" func="cnt" op="equ" val="2">
            <dgm:constrLst>
              <dgm:constr type="userA" refType="w" fact="0.3"/>
              <dgm:constr type="w" for="ch" forName="circle1" refType="userA" fact="2"/>
              <dgm:constr type="h" for="ch" forName="circle1" refType="w" refFor="ch" refForName="circle1" op="equ"/>
              <dgm:constr type="l" for="ch" forName="circle1"/>
              <dgm:constr type="ctrY" for="ch" forName="circle1" refType="h" fact="0.5"/>
              <dgm:constr type="l" for="ch" forName="space" refType="ctrX" refFor="ch" refForName="circle1"/>
              <dgm:constr type="w" for="ch" forName="space"/>
              <dgm:constr type="h" for="ch" forName="space" refType="h" refFor="ch" refForName="circle1"/>
              <dgm:constr type="b" for="ch" forName="space" refType="b" refFor="ch" refForName="circle1"/>
              <dgm:constr type="l" for="ch" forName="rect1" refType="r" refFor="ch" refForName="space"/>
              <dgm:constr type="r" for="ch" forName="rect1" refType="w"/>
              <dgm:constr type="h" for="ch" forName="rect1" refType="h" refFor="ch" refForName="circle1"/>
              <dgm:constr type="b" for="ch" forName="rect1" refType="b" refFor="ch" refForName="circle1"/>
              <dgm:constr type="l" for="ch" forName="vertSpace2"/>
              <dgm:constr type="w" for="ch" forName="vertSpace2" refType="w"/>
              <dgm:constr type="h" for="ch" forName="vertSpace2" refType="h" refFor="ch" refForName="circle1" fact="0.05"/>
              <dgm:constr type="b" for="ch" forName="vertSpace2" refType="b" refFor="ch" refForName="circle1"/>
              <dgm:constr type="ctrX" for="ch" forName="circle2" refType="l" refFor="ch" refForName="space"/>
              <dgm:constr type="h" for="ch" forName="circle2" refType="h" refFor="ch" refForName="circle1" fact="0.5"/>
              <dgm:constr type="hOff" for="ch" forName="circle2" refType="h" refFor="ch" refForName="vertSpace2" fact="-0.5"/>
              <dgm:constr type="w" for="ch" forName="circle2" refType="h" refFor="ch" refForName="circle2" op="equ"/>
              <dgm:constr type="wOff" for="ch" forName="circle2" refType="hOff" refFor="ch" refForName="circle2" op="equ"/>
              <dgm:constr type="b" for="ch" forName="circle2" refType="t" refFor="ch" refForName="vertSpace2"/>
              <dgm:constr type="l" for="ch" forName="rect2" refType="r" refFor="ch" refForName="space"/>
              <dgm:constr type="r" for="ch" forName="rect2" refType="w"/>
              <dgm:constr type="h" for="ch" forName="rect2" refType="h" refFor="ch" refForName="circle2"/>
              <dgm:constr type="hOff" for="ch" forName="rect2" refType="hOff" refFor="ch" refForName="circle2"/>
              <dgm:constr type="b" for="ch" forName="rect2" refType="b" refFor="ch" refForName="circle2"/>
              <dgm:constr type="l" for="ch" forName="rect2ParTx" refType="r" refFor="ch" refForName="space"/>
              <dgm:constr type="w" for="ch" forName="rect2ParTx" refType="w" refFor="ch" refForName="rect2" fact="0.5"/>
              <dgm:constr type="t" for="ch" forName="rect2ParTx" refType="t" refFor="ch" refForName="rect2"/>
              <dgm:constr type="b" for="ch" forName="rect2ParTx" refType="b" refFor="ch" refForName="rect2"/>
              <dgm:constr type="l" for="ch" forName="rect2ChTx" refType="r" refFor="ch" refForName="rect2ParTx"/>
              <dgm:constr type="w" for="ch" forName="rect2ChTx" refType="w" refFor="ch" refForName="rect2ParTx"/>
              <dgm:constr type="t" for="ch" forName="rect2ChTx" refType="t" refFor="ch" refForName="rect2ParTx"/>
              <dgm:constr type="b" for="ch" forName="rect2ChTx" refType="b" refFor="ch" refForName="rect2ParTx"/>
              <dgm:constr type="l" for="ch" forName="rect2ParTxNoCh" refType="r" refFor="ch" refForName="space"/>
              <dgm:constr type="w" for="ch" forName="rect2ParTxNoCh" refType="w" refFor="ch" refForName="rect2"/>
              <dgm:constr type="t" for="ch" forName="rect2ParTxNoCh" refType="t" refFor="ch" refForName="rect2"/>
              <dgm:constr type="b" for="ch" forName="rect2ParTxNoCh" refType="b" refFor="ch" refForName="rect2"/>
              <dgm:constr type="l" for="ch" forName="rect1ParTx" refType="r" refFor="ch" refForName="space"/>
              <dgm:constr type="w" for="ch" forName="rect1ParTx" refType="w" refFor="ch" refForName="rect1" fact="0.5"/>
              <dgm:constr type="t" for="ch" forName="rect1ParTx" refType="t" refFor="ch" refForName="rect1"/>
              <dgm:constr type="b" for="ch" forName="rect1ParTx" refType="t" refFor="ch" refForName="rect2"/>
              <dgm:constr type="l" for="ch" forName="rect1ChTx" refType="r" refFor="ch" refForName="rect1ParTx"/>
              <dgm:constr type="w" for="ch" forName="rect1ChTx" refType="w" refFor="ch" refForName="rect1ParTx"/>
              <dgm:constr type="t" for="ch" forName="rect1ChTx" refType="t" refFor="ch" refForName="rect1ParTx"/>
              <dgm:constr type="b" for="ch" forName="rect1ChTx" refType="b" refFor="ch" refForName="rect1ParTx"/>
              <dgm:constr type="l" for="ch" forName="rect1ParTxNoCh" refType="r" refFor="ch" refForName="space"/>
              <dgm:constr type="w" for="ch" forName="rect1ParTxNoCh" refType="w" refFor="ch" refForName="rect1"/>
              <dgm:constr type="t" for="ch" forName="rect1ParTxNoCh" refType="t" refFor="ch" refForName="rect1"/>
              <dgm:constr type="b" for="ch" forName="rect1ParTxNoCh" refType="t" refFor="ch" refForName="rect2"/>
              <dgm:constr type="primFontSz" for="ch" op="equ" val="65"/>
              <dgm:constr type="secFontSz" for="ch" op="equ" val="65"/>
            </dgm:constrLst>
          </dgm:if>
          <dgm:if name="Name6" axis="ch" ptType="node" func="cnt" op="equ" val="3">
            <dgm:constrLst>
              <dgm:constr type="userA" refType="w" fact="0.3"/>
              <dgm:constr type="w" for="ch" forName="circle1" refType="userA" fact="2"/>
              <dgm:constr type="h" for="ch" forName="circle1" refType="w" refFor="ch" refForName="circle1" op="equ"/>
              <dgm:constr type="l" for="ch" forName="circle1"/>
              <dgm:constr type="ctrY" for="ch" forName="circle1" refType="h" fact="0.5"/>
              <dgm:constr type="l" for="ch" forName="space" refType="ctrX" refFor="ch" refForName="circle1"/>
              <dgm:constr type="w" for="ch" forName="space"/>
              <dgm:constr type="h" for="ch" forName="space" refType="h" refFor="ch" refForName="circle1"/>
              <dgm:constr type="b" for="ch" forName="space" refType="b" refFor="ch" refForName="circle1"/>
              <dgm:constr type="l" for="ch" forName="rect1" refType="r" refFor="ch" refForName="space"/>
              <dgm:constr type="r" for="ch" forName="rect1" refType="w"/>
              <dgm:constr type="h" for="ch" forName="rect1" refType="h" refFor="ch" refForName="circle1"/>
              <dgm:constr type="b" for="ch" forName="rect1" refType="b" refFor="ch" refForName="circle1"/>
              <dgm:constr type="l" for="ch" forName="vertSpace2"/>
              <dgm:constr type="w" for="ch" forName="vertSpace2" refType="w"/>
              <dgm:constr type="h" for="ch" forName="vertSpace2" refType="h" refFor="ch" refForName="circle1" fact="0.05"/>
              <dgm:constr type="b" for="ch" forName="vertSpace2" refType="b" refFor="ch" refForName="circle1"/>
              <dgm:constr type="ctrX" for="ch" forName="circle2" refType="l" refFor="ch" refForName="space"/>
              <dgm:constr type="h" for="ch" forName="circle2" refType="h" refFor="ch" refForName="circle1" fact="0.66667"/>
              <dgm:constr type="hOff" for="ch" forName="circle2" refType="h" refFor="ch" refForName="vertSpace2" fact="-0.33333"/>
              <dgm:constr type="w" for="ch" forName="circle2" refType="h" refFor="ch" refForName="circle2" op="equ"/>
              <dgm:constr type="wOff" for="ch" forName="circle2" refType="hOff" refFor="ch" refForName="circle2" op="equ"/>
              <dgm:constr type="b" for="ch" forName="circle2" refType="t" refFor="ch" refForName="vertSpace2"/>
              <dgm:constr type="l" for="ch" forName="rect2" refType="r" refFor="ch" refForName="space"/>
              <dgm:constr type="r" for="ch" forName="rect2" refType="w"/>
              <dgm:constr type="h" for="ch" forName="rect2" refType="h" refFor="ch" refForName="circle2"/>
              <dgm:constr type="hOff" for="ch" forName="rect2" refType="hOff" refFor="ch" refForName="circle2"/>
              <dgm:constr type="b" for="ch" forName="rect2" refType="b" refFor="ch" refForName="circle2"/>
              <dgm:constr type="l" for="ch" forName="vertSpace3"/>
              <dgm:constr type="w" for="ch" forName="vertSpace3" refType="w"/>
              <dgm:constr type="h" for="ch" forName="vertSpace3" refType="h" refFor="ch" refForName="vertSpace2"/>
              <dgm:constr type="b" for="ch" forName="vertSpace3" refType="t" refFor="ch" refForName="vertSpace2"/>
              <dgm:constr type="ctrX" for="ch" forName="circle3" refType="l" refFor="ch" refForName="space"/>
              <dgm:constr type="h" for="ch" forName="circle3" refType="h" refFor="ch" refForName="circle1" fact="0.33333"/>
              <dgm:constr type="hOff" for="ch" forName="circle3" refType="h" refFor="ch" refForName="vertSpace2" fact="-0.66667"/>
              <dgm:constr type="w" for="ch" forName="circle3" refType="h" refFor="ch" refForName="circle3" op="equ"/>
              <dgm:constr type="wOff" for="ch" forName="circle3" refType="hOff" refFor="ch" refForName="circle3" op="equ"/>
              <dgm:constr type="b" for="ch" forName="circle3" refType="t" refFor="ch" refForName="vertSpace3"/>
              <dgm:constr type="l" for="ch" forName="rect3" refType="r" refFor="ch" refForName="space"/>
              <dgm:constr type="r" for="ch" forName="rect3" refType="w"/>
              <dgm:constr type="h" for="ch" forName="rect3" refType="h" refFor="ch" refForName="circle3"/>
              <dgm:constr type="hOff" for="ch" forName="rect3" refType="hOff" refFor="ch" refForName="circle3"/>
              <dgm:constr type="b" for="ch" forName="rect3" refType="b" refFor="ch" refForName="circle3"/>
              <dgm:constr type="l" for="ch" forName="rect3ParTx" refType="r" refFor="ch" refForName="space"/>
              <dgm:constr type="w" for="ch" forName="rect3ParTx" refType="w" refFor="ch" refForName="rect3" fact="0.5"/>
              <dgm:constr type="t" for="ch" forName="rect3ParTx" refType="t" refFor="ch" refForName="rect3"/>
              <dgm:constr type="b" for="ch" forName="rect3ParTx" refType="b" refFor="ch" refForName="rect3"/>
              <dgm:constr type="l" for="ch" forName="rect3ChTx" refType="r" refFor="ch" refForName="rect3ParTx"/>
              <dgm:constr type="w" for="ch" forName="rect3ChTx" refType="w" refFor="ch" refForName="rect3ParTx"/>
              <dgm:constr type="t" for="ch" forName="rect3ChTx" refType="t" refFor="ch" refForName="rect3ParTx"/>
              <dgm:constr type="b" for="ch" forName="rect3ChTx" refType="b" refFor="ch" refForName="rect3ParTx"/>
              <dgm:constr type="l" for="ch" forName="rect3ParTxNoCh" refType="r" refFor="ch" refForName="space"/>
              <dgm:constr type="w" for="ch" forName="rect3ParTxNoCh" refType="w" refFor="ch" refForName="rect3"/>
              <dgm:constr type="t" for="ch" forName="rect3ParTxNoCh" refType="t" refFor="ch" refForName="rect3"/>
              <dgm:constr type="b" for="ch" forName="rect3ParTxNoCh" refType="b" refFor="ch" refForName="rect3"/>
              <dgm:constr type="l" for="ch" forName="rect1ParTx" refType="r" refFor="ch" refForName="space"/>
              <dgm:constr type="w" for="ch" forName="rect1ParTx" refType="w" refFor="ch" refForName="rect1" fact="0.5"/>
              <dgm:constr type="t" for="ch" forName="rect1ParTx" refType="t" refFor="ch" refForName="rect1"/>
              <dgm:constr type="b" for="ch" forName="rect1ParTx" refType="t" refFor="ch" refForName="rect2"/>
              <dgm:constr type="l" for="ch" forName="rect1ChTx" refType="r" refFor="ch" refForName="rect1ParTx"/>
              <dgm:constr type="w" for="ch" forName="rect1ChTx" refType="w" refFor="ch" refForName="rect1ParTx"/>
              <dgm:constr type="t" for="ch" forName="rect1ChTx" refType="t" refFor="ch" refForName="rect1ParTx"/>
              <dgm:constr type="b" for="ch" forName="rect1ChTx" refType="b" refFor="ch" refForName="rect1ParTx"/>
              <dgm:constr type="l" for="ch" forName="rect1ParTxNoCh" refType="r" refFor="ch" refForName="space"/>
              <dgm:constr type="w" for="ch" forName="rect1ParTxNoCh" refType="w" refFor="ch" refForName="rect1"/>
              <dgm:constr type="t" for="ch" forName="rect1ParTxNoCh" refType="t" refFor="ch" refForName="rect1"/>
              <dgm:constr type="b" for="ch" forName="rect1ParTxNoCh" refType="t" refFor="ch" refForName="rect2"/>
              <dgm:constr type="l" for="ch" forName="rect2ParTx" refType="r" refFor="ch" refForName="space"/>
              <dgm:constr type="w" for="ch" forName="rect2ParTx" refType="w" refFor="ch" refForName="rect2" fact="0.5"/>
              <dgm:constr type="t" for="ch" forName="rect2ParTx" refType="t" refFor="ch" refForName="rect2"/>
              <dgm:constr type="b" for="ch" forName="rect2ParTx" refType="t" refFor="ch" refForName="rect3"/>
              <dgm:constr type="l" for="ch" forName="rect2ChTx" refType="r" refFor="ch" refForName="rect2ParTx"/>
              <dgm:constr type="w" for="ch" forName="rect2ChTx" refType="w" refFor="ch" refForName="rect2ParTx"/>
              <dgm:constr type="t" for="ch" forName="rect2ChTx" refType="t" refFor="ch" refForName="rect2ParTx"/>
              <dgm:constr type="b" for="ch" forName="rect2ChTx" refType="b" refFor="ch" refForName="rect2ParTx"/>
              <dgm:constr type="l" for="ch" forName="rect2ParTxNoCh" refType="r" refFor="ch" refForName="space"/>
              <dgm:constr type="w" for="ch" forName="rect2ParTxNoCh" refType="w" refFor="ch" refForName="rect2"/>
              <dgm:constr type="t" for="ch" forName="rect2ParTxNoCh" refType="t" refFor="ch" refForName="rect2"/>
              <dgm:constr type="b" for="ch" forName="rect2ParTxNoCh" refType="t" refFor="ch" refForName="rect3"/>
              <dgm:constr type="primFontSz" for="ch" op="equ" val="65"/>
              <dgm:constr type="secFontSz" for="ch" op="equ" val="65"/>
            </dgm:constrLst>
          </dgm:if>
          <dgm:if name="Name7" axis="ch" ptType="node" func="cnt" op="equ" val="4">
            <dgm:constrLst>
              <dgm:constr type="userA" refType="w" fact="0.3"/>
              <dgm:constr type="w" for="ch" forName="circle1" refType="userA" fact="2"/>
              <dgm:constr type="h" for="ch" forName="circle1" refType="w" refFor="ch" refForName="circle1" op="equ"/>
              <dgm:constr type="l" for="ch" forName="circle1"/>
              <dgm:constr type="ctrY" for="ch" forName="circle1" refType="h" fact="0.5"/>
              <dgm:constr type="l" for="ch" forName="space" refType="ctrX" refFor="ch" refForName="circle1"/>
              <dgm:constr type="w" for="ch" forName="space"/>
              <dgm:constr type="h" for="ch" forName="space" refType="h" refFor="ch" refForName="circle1"/>
              <dgm:constr type="b" for="ch" forName="space" refType="b" refFor="ch" refForName="circle1"/>
              <dgm:constr type="l" for="ch" forName="rect1" refType="r" refFor="ch" refForName="space"/>
              <dgm:constr type="r" for="ch" forName="rect1" refType="w"/>
              <dgm:constr type="h" for="ch" forName="rect1" refType="h" refFor="ch" refForName="circle1"/>
              <dgm:constr type="b" for="ch" forName="rect1" refType="b" refFor="ch" refForName="circle1"/>
              <dgm:constr type="l" for="ch" forName="vertSpace2"/>
              <dgm:constr type="w" for="ch" forName="vertSpace2" refType="w"/>
              <dgm:constr type="h" for="ch" forName="vertSpace2" refType="h" refFor="ch" refForName="circle1" fact="0.05"/>
              <dgm:constr type="b" for="ch" forName="vertSpace2" refType="b" refFor="ch" refForName="circle1"/>
              <dgm:constr type="ctrX" for="ch" forName="circle2" refType="l" refFor="ch" refForName="space"/>
              <dgm:constr type="h" for="ch" forName="circle2" refType="h" refFor="ch" refForName="circle1" fact="0.75"/>
              <dgm:constr type="hOff" for="ch" forName="circle2" refType="h" refFor="ch" refForName="vertSpace2" fact="-0.25"/>
              <dgm:constr type="w" for="ch" forName="circle2" refType="h" refFor="ch" refForName="circle2" op="equ"/>
              <dgm:constr type="wOff" for="ch" forName="circle2" refType="hOff" refFor="ch" refForName="circle2" op="equ"/>
              <dgm:constr type="b" for="ch" forName="circle2" refType="t" refFor="ch" refForName="vertSpace2"/>
              <dgm:constr type="l" for="ch" forName="rect2" refType="r" refFor="ch" refForName="space"/>
              <dgm:constr type="r" for="ch" forName="rect2" refType="w"/>
              <dgm:constr type="h" for="ch" forName="rect2" refType="h" refFor="ch" refForName="circle2"/>
              <dgm:constr type="hOff" for="ch" forName="rect2" refType="hOff" refFor="ch" refForName="circle2"/>
              <dgm:constr type="b" for="ch" forName="rect2" refType="b" refFor="ch" refForName="circle2"/>
              <dgm:constr type="l" for="ch" forName="vertSpace3"/>
              <dgm:constr type="w" for="ch" forName="vertSpace3" refType="w"/>
              <dgm:constr type="h" for="ch" forName="vertSpace3" refType="h" refFor="ch" refForName="vertSpace2"/>
              <dgm:constr type="b" for="ch" forName="vertSpace3" refType="t" refFor="ch" refForName="vertSpace2"/>
              <dgm:constr type="ctrX" for="ch" forName="circle3" refType="l" refFor="ch" refForName="space"/>
              <dgm:constr type="h" for="ch" forName="circle3" refType="h" refFor="ch" refForName="circle1" fact="0.5"/>
              <dgm:constr type="hOff" for="ch" forName="circle3" refType="h" refFor="ch" refForName="vertSpace2" fact="-0.5"/>
              <dgm:constr type="w" for="ch" forName="circle3" refType="h" refFor="ch" refForName="circle3" op="equ"/>
              <dgm:constr type="wOff" for="ch" forName="circle3" refType="hOff" refFor="ch" refForName="circle3" op="equ"/>
              <dgm:constr type="b" for="ch" forName="circle3" refType="t" refFor="ch" refForName="vertSpace3"/>
              <dgm:constr type="l" for="ch" forName="rect3" refType="r" refFor="ch" refForName="space"/>
              <dgm:constr type="r" for="ch" forName="rect3" refType="w"/>
              <dgm:constr type="h" for="ch" forName="rect3" refType="h" refFor="ch" refForName="circle3"/>
              <dgm:constr type="hOff" for="ch" forName="rect3" refType="hOff" refFor="ch" refForName="circle3"/>
              <dgm:constr type="b" for="ch" forName="rect3" refType="b" refFor="ch" refForName="circle3"/>
              <dgm:constr type="l" for="ch" forName="vertSpace4"/>
              <dgm:constr type="w" for="ch" forName="vertSpace4" refType="w"/>
              <dgm:constr type="h" for="ch" forName="vertSpace4" refType="h" refFor="ch" refForName="vertSpace3"/>
              <dgm:constr type="b" for="ch" forName="vertSpace4" refType="t" refFor="ch" refForName="vertSpace3"/>
              <dgm:constr type="ctrX" for="ch" forName="circle4" refType="l" refFor="ch" refForName="space"/>
              <dgm:constr type="h" for="ch" forName="circle4" refType="h" refFor="ch" refForName="circle1" fact="0.25"/>
              <dgm:constr type="hOff" for="ch" forName="circle4" refType="h" refFor="ch" refForName="vertSpace2" fact="-0.75"/>
              <dgm:constr type="w" for="ch" forName="circle4" refType="h" refFor="ch" refForName="circle4" op="equ"/>
              <dgm:constr type="wOff" for="ch" forName="circle4" refType="hOff" refFor="ch" refForName="circle4" op="equ"/>
              <dgm:constr type="b" for="ch" forName="circle4" refType="t" refFor="ch" refForName="vertSpace4"/>
              <dgm:constr type="l" for="ch" forName="rect4" refType="r" refFor="ch" refForName="space"/>
              <dgm:constr type="r" for="ch" forName="rect4" refType="w"/>
              <dgm:constr type="h" for="ch" forName="rect4" refType="h" refFor="ch" refForName="circle4"/>
              <dgm:constr type="hOff" for="ch" forName="rect4" refType="hOff" refFor="ch" refForName="circle4"/>
              <dgm:constr type="b" for="ch" forName="rect4" refType="b" refFor="ch" refForName="circle4"/>
              <dgm:constr type="l" for="ch" forName="rect4ParTx" refType="r" refFor="ch" refForName="space"/>
              <dgm:constr type="w" for="ch" forName="rect4ParTx" refType="w" refFor="ch" refForName="rect4" fact="0.5"/>
              <dgm:constr type="t" for="ch" forName="rect4ParTx" refType="t" refFor="ch" refForName="rect4"/>
              <dgm:constr type="b" for="ch" forName="rect4ParTx" refType="b" refFor="ch" refForName="rect4"/>
              <dgm:constr type="l" for="ch" forName="rect4ChTx" refType="r" refFor="ch" refForName="rect4ParTx"/>
              <dgm:constr type="w" for="ch" forName="rect4ChTx" refType="w" refFor="ch" refForName="rect4ParTx"/>
              <dgm:constr type="t" for="ch" forName="rect4ChTx" refType="t" refFor="ch" refForName="rect4ParTx"/>
              <dgm:constr type="b" for="ch" forName="rect4ChTx" refType="b" refFor="ch" refForName="rect4ParTx"/>
              <dgm:constr type="l" for="ch" forName="rect4ParTxNoCh" refType="r" refFor="ch" refForName="space"/>
              <dgm:constr type="w" for="ch" forName="rect4ParTxNoCh" refType="w" refFor="ch" refForName="rect4"/>
              <dgm:constr type="t" for="ch" forName="rect4ParTxNoCh" refType="t" refFor="ch" refForName="rect4"/>
              <dgm:constr type="b" for="ch" forName="rect4ParTxNoCh" refType="b" refFor="ch" refForName="rect4"/>
              <dgm:constr type="l" for="ch" forName="rect1ParTx" refType="r" refFor="ch" refForName="space"/>
              <dgm:constr type="w" for="ch" forName="rect1ParTx" refType="w" refFor="ch" refForName="rect1" fact="0.5"/>
              <dgm:constr type="t" for="ch" forName="rect1ParTx" refType="t" refFor="ch" refForName="rect1"/>
              <dgm:constr type="b" for="ch" forName="rect1ParTx" refType="t" refFor="ch" refForName="rect2"/>
              <dgm:constr type="l" for="ch" forName="rect1ChTx" refType="r" refFor="ch" refForName="rect1ParTx"/>
              <dgm:constr type="w" for="ch" forName="rect1ChTx" refType="w" refFor="ch" refForName="rect1ParTx"/>
              <dgm:constr type="t" for="ch" forName="rect1ChTx" refType="t" refFor="ch" refForName="rect1ParTx"/>
              <dgm:constr type="b" for="ch" forName="rect1ChTx" refType="b" refFor="ch" refForName="rect1ParTx"/>
              <dgm:constr type="l" for="ch" forName="rect1ParTxNoCh" refType="r" refFor="ch" refForName="space"/>
              <dgm:constr type="w" for="ch" forName="rect1ParTxNoCh" refType="w" refFor="ch" refForName="rect1"/>
              <dgm:constr type="t" for="ch" forName="rect1ParTxNoCh" refType="t" refFor="ch" refForName="rect1"/>
              <dgm:constr type="b" for="ch" forName="rect1ParTxNoCh" refType="t" refFor="ch" refForName="rect2"/>
              <dgm:constr type="l" for="ch" forName="rect2ParTx" refType="r" refFor="ch" refForName="space"/>
              <dgm:constr type="w" for="ch" forName="rect2ParTx" refType="w" refFor="ch" refForName="rect2" fact="0.5"/>
              <dgm:constr type="t" for="ch" forName="rect2ParTx" refType="t" refFor="ch" refForName="rect2"/>
              <dgm:constr type="b" for="ch" forName="rect2ParTx" refType="t" refFor="ch" refForName="rect3"/>
              <dgm:constr type="l" for="ch" forName="rect2ChTx" refType="r" refFor="ch" refForName="rect2ParTx"/>
              <dgm:constr type="w" for="ch" forName="rect2ChTx" refType="w" refFor="ch" refForName="rect2ParTx"/>
              <dgm:constr type="t" for="ch" forName="rect2ChTx" refType="t" refFor="ch" refForName="rect2ParTx"/>
              <dgm:constr type="b" for="ch" forName="rect2ChTx" refType="b" refFor="ch" refForName="rect2ParTx"/>
              <dgm:constr type="l" for="ch" forName="rect2ParTxNoCh" refType="r" refFor="ch" refForName="space"/>
              <dgm:constr type="w" for="ch" forName="rect2ParTxNoCh" refType="w" refFor="ch" refForName="rect2"/>
              <dgm:constr type="t" for="ch" forName="rect2ParTxNoCh" refType="t" refFor="ch" refForName="rect2"/>
              <dgm:constr type="b" for="ch" forName="rect2ParTxNoCh" refType="t" refFor="ch" refForName="rect3"/>
              <dgm:constr type="l" for="ch" forName="rect3ParTx" refType="r" refFor="ch" refForName="space"/>
              <dgm:constr type="w" for="ch" forName="rect3ParTx" refType="w" refFor="ch" refForName="rect3" fact="0.5"/>
              <dgm:constr type="t" for="ch" forName="rect3ParTx" refType="t" refFor="ch" refForName="rect3"/>
              <dgm:constr type="b" for="ch" forName="rect3ParTx" refType="t" refFor="ch" refForName="rect4"/>
              <dgm:constr type="l" for="ch" forName="rect3ChTx" refType="r" refFor="ch" refForName="rect3ParTx"/>
              <dgm:constr type="w" for="ch" forName="rect3ChTx" refType="w" refFor="ch" refForName="rect3ParTx"/>
              <dgm:constr type="t" for="ch" forName="rect3ChTx" refType="t" refFor="ch" refForName="rect3ParTx"/>
              <dgm:constr type="b" for="ch" forName="rect3ChTx" refType="b" refFor="ch" refForName="rect3ParTx"/>
              <dgm:constr type="l" for="ch" forName="rect3ParTxNoCh" refType="r" refFor="ch" refForName="space"/>
              <dgm:constr type="w" for="ch" forName="rect3ParTxNoCh" refType="w" refFor="ch" refForName="rect3"/>
              <dgm:constr type="t" for="ch" forName="rect3ParTxNoCh" refType="t" refFor="ch" refForName="rect3"/>
              <dgm:constr type="b" for="ch" forName="rect3ParTxNoCh" refType="t" refFor="ch" refForName="rect4"/>
              <dgm:constr type="primFontSz" for="ch" op="equ" val="65"/>
              <dgm:constr type="secFontSz" for="ch" op="equ" val="65"/>
            </dgm:constrLst>
          </dgm:if>
          <dgm:if name="Name8" axis="ch" ptType="node" func="cnt" op="equ" val="5">
            <dgm:constrLst>
              <dgm:constr type="userA" refType="w" fact="0.3"/>
              <dgm:constr type="w" for="ch" forName="circle1" refType="userA" fact="2"/>
              <dgm:constr type="h" for="ch" forName="circle1" refType="w" refFor="ch" refForName="circle1" op="equ"/>
              <dgm:constr type="l" for="ch" forName="circle1"/>
              <dgm:constr type="ctrY" for="ch" forName="circle1" refType="h" fact="0.5"/>
              <dgm:constr type="l" for="ch" forName="space" refType="ctrX" refFor="ch" refForName="circle1"/>
              <dgm:constr type="w" for="ch" forName="space"/>
              <dgm:constr type="h" for="ch" forName="space" refType="h" refFor="ch" refForName="circle1"/>
              <dgm:constr type="b" for="ch" forName="space" refType="b" refFor="ch" refForName="circle1"/>
              <dgm:constr type="l" for="ch" forName="rect1" refType="r" refFor="ch" refForName="space"/>
              <dgm:constr type="r" for="ch" forName="rect1" refType="w"/>
              <dgm:constr type="h" for="ch" forName="rect1" refType="h" refFor="ch" refForName="circle1"/>
              <dgm:constr type="b" for="ch" forName="rect1" refType="b" refFor="ch" refForName="circle1"/>
              <dgm:constr type="l" for="ch" forName="vertSpace2"/>
              <dgm:constr type="w" for="ch" forName="vertSpace2" refType="w"/>
              <dgm:constr type="h" for="ch" forName="vertSpace2" refType="h" refFor="ch" refForName="circle1" fact="0.05"/>
              <dgm:constr type="b" for="ch" forName="vertSpace2" refType="b" refFor="ch" refForName="circle1"/>
              <dgm:constr type="ctrX" for="ch" forName="circle2" refType="l" refFor="ch" refForName="space"/>
              <dgm:constr type="h" for="ch" forName="circle2" refType="h" refFor="ch" refForName="circle1" fact="0.8"/>
              <dgm:constr type="hOff" for="ch" forName="circle2" refType="h" refFor="ch" refForName="vertSpace2" fact="-0.2"/>
              <dgm:constr type="w" for="ch" forName="circle2" refType="h" refFor="ch" refForName="circle2" op="equ"/>
              <dgm:constr type="wOff" for="ch" forName="circle2" refType="hOff" refFor="ch" refForName="circle2" op="equ"/>
              <dgm:constr type="b" for="ch" forName="circle2" refType="t" refFor="ch" refForName="vertSpace2"/>
              <dgm:constr type="l" for="ch" forName="rect2" refType="r" refFor="ch" refForName="space"/>
              <dgm:constr type="r" for="ch" forName="rect2" refType="w"/>
              <dgm:constr type="h" for="ch" forName="rect2" refType="h" refFor="ch" refForName="circle2"/>
              <dgm:constr type="hOff" for="ch" forName="rect2" refType="hOff" refFor="ch" refForName="circle2"/>
              <dgm:constr type="b" for="ch" forName="rect2" refType="b" refFor="ch" refForName="circle2"/>
              <dgm:constr type="l" for="ch" forName="vertSpace3"/>
              <dgm:constr type="w" for="ch" forName="vertSpace3" refType="w"/>
              <dgm:constr type="h" for="ch" forName="vertSpace3" refType="h" refFor="ch" refForName="vertSpace2"/>
              <dgm:constr type="b" for="ch" forName="vertSpace3" refType="t" refFor="ch" refForName="vertSpace2"/>
              <dgm:constr type="ctrX" for="ch" forName="circle3" refType="l" refFor="ch" refForName="space"/>
              <dgm:constr type="h" for="ch" forName="circle3" refType="h" refFor="ch" refForName="circle1" fact="0.6"/>
              <dgm:constr type="hOff" for="ch" forName="circle3" refType="h" refFor="ch" refForName="vertSpace2" fact="-0.4"/>
              <dgm:constr type="w" for="ch" forName="circle3" refType="h" refFor="ch" refForName="circle3" op="equ"/>
              <dgm:constr type="wOff" for="ch" forName="circle3" refType="hOff" refFor="ch" refForName="circle3" op="equ"/>
              <dgm:constr type="b" for="ch" forName="circle3" refType="t" refFor="ch" refForName="vertSpace3"/>
              <dgm:constr type="l" for="ch" forName="rect3" refType="r" refFor="ch" refForName="space"/>
              <dgm:constr type="r" for="ch" forName="rect3" refType="w"/>
              <dgm:constr type="h" for="ch" forName="rect3" refType="h" refFor="ch" refForName="circle3"/>
              <dgm:constr type="hOff" for="ch" forName="rect3" refType="hOff" refFor="ch" refForName="circle3"/>
              <dgm:constr type="b" for="ch" forName="rect3" refType="b" refFor="ch" refForName="circle3"/>
              <dgm:constr type="l" for="ch" forName="vertSpace4"/>
              <dgm:constr type="w" for="ch" forName="vertSpace4" refType="w"/>
              <dgm:constr type="h" for="ch" forName="vertSpace4" refType="h" refFor="ch" refForName="vertSpace3"/>
              <dgm:constr type="b" for="ch" forName="vertSpace4" refType="t" refFor="ch" refForName="vertSpace3"/>
              <dgm:constr type="ctrX" for="ch" forName="circle4" refType="l" refFor="ch" refForName="space"/>
              <dgm:constr type="h" for="ch" forName="circle4" refType="h" refFor="ch" refForName="circle1" fact="0.4"/>
              <dgm:constr type="hOff" for="ch" forName="circle4" refType="h" refFor="ch" refForName="vertSpace2" fact="-0.6"/>
              <dgm:constr type="w" for="ch" forName="circle4" refType="h" refFor="ch" refForName="circle4" op="equ"/>
              <dgm:constr type="wOff" for="ch" forName="circle4" refType="hOff" refFor="ch" refForName="circle4" op="equ"/>
              <dgm:constr type="b" for="ch" forName="circle4" refType="t" refFor="ch" refForName="vertSpace4"/>
              <dgm:constr type="l" for="ch" forName="rect4" refType="r" refFor="ch" refForName="space"/>
              <dgm:constr type="r" for="ch" forName="rect4" refType="w"/>
              <dgm:constr type="h" for="ch" forName="rect4" refType="h" refFor="ch" refForName="circle4"/>
              <dgm:constr type="hOff" for="ch" forName="rect4" refType="hOff" refFor="ch" refForName="circle4"/>
              <dgm:constr type="b" for="ch" forName="rect4" refType="b" refFor="ch" refForName="circle4"/>
              <dgm:constr type="l" for="ch" forName="vertSpace5"/>
              <dgm:constr type="w" for="ch" forName="vertSpace5" refType="w"/>
              <dgm:constr type="h" for="ch" forName="vertSpace5" refType="h" refFor="ch" refForName="vertSpace4"/>
              <dgm:constr type="b" for="ch" forName="vertSpace5" refType="t" refFor="ch" refForName="vertSpace4"/>
              <dgm:constr type="ctrX" for="ch" forName="circle5" refType="l" refFor="ch" refForName="space"/>
              <dgm:constr type="h" for="ch" forName="circle5" refType="h" refFor="ch" refForName="circle1" fact="0.2"/>
              <dgm:constr type="hOff" for="ch" forName="circle5" refType="h" refFor="ch" refForName="vertSpace2" fact="-0.8"/>
              <dgm:constr type="w" for="ch" forName="circle5" refType="h" refFor="ch" refForName="circle5" op="equ"/>
              <dgm:constr type="wOff" for="ch" forName="circle5" refType="hOff" refFor="ch" refForName="circle5" op="equ"/>
              <dgm:constr type="b" for="ch" forName="circle5" refType="t" refFor="ch" refForName="vertSpace5"/>
              <dgm:constr type="l" for="ch" forName="rect5" refType="r" refFor="ch" refForName="space"/>
              <dgm:constr type="r" for="ch" forName="rect5" refType="w"/>
              <dgm:constr type="h" for="ch" forName="rect5" refType="h" refFor="ch" refForName="circle5"/>
              <dgm:constr type="hOff" for="ch" forName="rect5" refType="hOff" refFor="ch" refForName="circle5"/>
              <dgm:constr type="b" for="ch" forName="rect5" refType="b" refFor="ch" refForName="circle5"/>
              <dgm:constr type="l" for="ch" forName="rect5ParTx" refType="r" refFor="ch" refForName="space"/>
              <dgm:constr type="w" for="ch" forName="rect5ParTx" refType="w" refFor="ch" refForName="rect5" fact="0.5"/>
              <dgm:constr type="t" for="ch" forName="rect5ParTx" refType="t" refFor="ch" refForName="rect5"/>
              <dgm:constr type="b" for="ch" forName="rect5ParTx" refType="b" refFor="ch" refForName="rect5"/>
              <dgm:constr type="l" for="ch" forName="rect5ChTx" refType="r" refFor="ch" refForName="rect5ParTx"/>
              <dgm:constr type="w" for="ch" forName="rect5ChTx" refType="w" refFor="ch" refForName="rect5ParTx"/>
              <dgm:constr type="t" for="ch" forName="rect5ChTx" refType="t" refFor="ch" refForName="rect5ParTx"/>
              <dgm:constr type="b" for="ch" forName="rect5ChTx" refType="b" refFor="ch" refForName="rect5ParTx"/>
              <dgm:constr type="l" for="ch" forName="rect5ParTxNoCh" refType="r" refFor="ch" refForName="space"/>
              <dgm:constr type="w" for="ch" forName="rect5ParTxNoCh" refType="w" refFor="ch" refForName="rect5"/>
              <dgm:constr type="t" for="ch" forName="rect5ParTxNoCh" refType="t" refFor="ch" refForName="rect5"/>
              <dgm:constr type="b" for="ch" forName="rect5ParTxNoCh" refType="b" refFor="ch" refForName="rect5"/>
              <dgm:constr type="l" for="ch" forName="rect1ParTx" refType="r" refFor="ch" refForName="space"/>
              <dgm:constr type="w" for="ch" forName="rect1ParTx" refType="w" refFor="ch" refForName="rect1" fact="0.5"/>
              <dgm:constr type="t" for="ch" forName="rect1ParTx" refType="t" refFor="ch" refForName="rect1"/>
              <dgm:constr type="b" for="ch" forName="rect1ParTx" refType="t" refFor="ch" refForName="rect2"/>
              <dgm:constr type="l" for="ch" forName="rect1ChTx" refType="r" refFor="ch" refForName="rect1ParTx"/>
              <dgm:constr type="w" for="ch" forName="rect1ChTx" refType="w" refFor="ch" refForName="rect1ParTx"/>
              <dgm:constr type="t" for="ch" forName="rect1ChTx" refType="t" refFor="ch" refForName="rect1ParTx"/>
              <dgm:constr type="b" for="ch" forName="rect1ChTx" refType="b" refFor="ch" refForName="rect1ParTx"/>
              <dgm:constr type="l" for="ch" forName="rect1ParTxNoCh" refType="r" refFor="ch" refForName="space"/>
              <dgm:constr type="w" for="ch" forName="rect1ParTxNoCh" refType="w" refFor="ch" refForName="rect1"/>
              <dgm:constr type="t" for="ch" forName="rect1ParTxNoCh" refType="t" refFor="ch" refForName="rect1"/>
              <dgm:constr type="b" for="ch" forName="rect1ParTxNoCh" refType="t" refFor="ch" refForName="rect2"/>
              <dgm:constr type="l" for="ch" forName="rect2ParTx" refType="r" refFor="ch" refForName="space"/>
              <dgm:constr type="w" for="ch" forName="rect2ParTx" refType="w" refFor="ch" refForName="rect2" fact="0.5"/>
              <dgm:constr type="t" for="ch" forName="rect2ParTx" refType="t" refFor="ch" refForName="rect2"/>
              <dgm:constr type="b" for="ch" forName="rect2ParTx" refType="t" refFor="ch" refForName="rect3"/>
              <dgm:constr type="l" for="ch" forName="rect2ChTx" refType="r" refFor="ch" refForName="rect2ParTx"/>
              <dgm:constr type="w" for="ch" forName="rect2ChTx" refType="w" refFor="ch" refForName="rect2ParTx"/>
              <dgm:constr type="t" for="ch" forName="rect2ChTx" refType="t" refFor="ch" refForName="rect2ParTx"/>
              <dgm:constr type="b" for="ch" forName="rect2ChTx" refType="b" refFor="ch" refForName="rect2ParTx"/>
              <dgm:constr type="l" for="ch" forName="rect2ParTxNoCh" refType="r" refFor="ch" refForName="space"/>
              <dgm:constr type="w" for="ch" forName="rect2ParTxNoCh" refType="w" refFor="ch" refForName="rect2"/>
              <dgm:constr type="t" for="ch" forName="rect2ParTxNoCh" refType="t" refFor="ch" refForName="rect2"/>
              <dgm:constr type="b" for="ch" forName="rect2ParTxNoCh" refType="t" refFor="ch" refForName="rect3"/>
              <dgm:constr type="l" for="ch" forName="rect3ParTx" refType="r" refFor="ch" refForName="space"/>
              <dgm:constr type="w" for="ch" forName="rect3ParTx" refType="w" refFor="ch" refForName="rect3" fact="0.5"/>
              <dgm:constr type="t" for="ch" forName="rect3ParTx" refType="t" refFor="ch" refForName="rect3"/>
              <dgm:constr type="b" for="ch" forName="rect3ParTx" refType="t" refFor="ch" refForName="rect4"/>
              <dgm:constr type="l" for="ch" forName="rect3ChTx" refType="r" refFor="ch" refForName="rect3ParTx"/>
              <dgm:constr type="w" for="ch" forName="rect3ChTx" refType="w" refFor="ch" refForName="rect3ParTx"/>
              <dgm:constr type="t" for="ch" forName="rect3ChTx" refType="t" refFor="ch" refForName="rect3ParTx"/>
              <dgm:constr type="b" for="ch" forName="rect3ChTx" refType="b" refFor="ch" refForName="rect3ParTx"/>
              <dgm:constr type="l" for="ch" forName="rect3ParTxNoCh" refType="r" refFor="ch" refForName="space"/>
              <dgm:constr type="w" for="ch" forName="rect3ParTxNoCh" refType="w" refFor="ch" refForName="rect3"/>
              <dgm:constr type="t" for="ch" forName="rect3ParTxNoCh" refType="t" refFor="ch" refForName="rect3"/>
              <dgm:constr type="b" for="ch" forName="rect3ParTxNoCh" refType="t" refFor="ch" refForName="rect4"/>
              <dgm:constr type="l" for="ch" forName="rect4ParTx" refType="r" refFor="ch" refForName="space"/>
              <dgm:constr type="w" for="ch" forName="rect4ParTx" refType="w" refFor="ch" refForName="rect4" fact="0.5"/>
              <dgm:constr type="t" for="ch" forName="rect4ParTx" refType="t" refFor="ch" refForName="rect4"/>
              <dgm:constr type="b" for="ch" forName="rect4ParTx" refType="t" refFor="ch" refForName="rect5"/>
              <dgm:constr type="l" for="ch" forName="rect4ChTx" refType="r" refFor="ch" refForName="rect4ParTx"/>
              <dgm:constr type="w" for="ch" forName="rect4ChTx" refType="w" refFor="ch" refForName="rect4ParTx"/>
              <dgm:constr type="t" for="ch" forName="rect4ChTx" refType="t" refFor="ch" refForName="rect4ParTx"/>
              <dgm:constr type="b" for="ch" forName="rect4ChTx" refType="b" refFor="ch" refForName="rect4ParTx"/>
              <dgm:constr type="l" for="ch" forName="rect4ParTxNoCh" refType="r" refFor="ch" refForName="space"/>
              <dgm:constr type="w" for="ch" forName="rect4ParTxNoCh" refType="w" refFor="ch" refForName="rect4"/>
              <dgm:constr type="t" for="ch" forName="rect4ParTxNoCh" refType="t" refFor="ch" refForName="rect4"/>
              <dgm:constr type="b" for="ch" forName="rect4ParTxNoCh" refType="t" refFor="ch" refForName="rect5"/>
              <dgm:constr type="primFontSz" for="ch" op="equ" val="65"/>
              <dgm:constr type="secFontSz" for="ch" op="equ" val="65"/>
            </dgm:constrLst>
          </dgm:if>
          <dgm:if name="Name9" axis="ch" ptType="node" func="cnt" op="equ" val="6">
            <dgm:constrLst>
              <dgm:constr type="userA" refType="w" fact="0.3"/>
              <dgm:constr type="w" for="ch" forName="circle1" refType="userA" fact="2"/>
              <dgm:constr type="h" for="ch" forName="circle1" refType="w" refFor="ch" refForName="circle1" op="equ"/>
              <dgm:constr type="l" for="ch" forName="circle1"/>
              <dgm:constr type="ctrY" for="ch" forName="circle1" refType="h" fact="0.5"/>
              <dgm:constr type="l" for="ch" forName="space" refType="ctrX" refFor="ch" refForName="circle1"/>
              <dgm:constr type="w" for="ch" forName="space"/>
              <dgm:constr type="h" for="ch" forName="space" refType="h" refFor="ch" refForName="circle1"/>
              <dgm:constr type="b" for="ch" forName="space" refType="b" refFor="ch" refForName="circle1"/>
              <dgm:constr type="l" for="ch" forName="rect1" refType="r" refFor="ch" refForName="space"/>
              <dgm:constr type="r" for="ch" forName="rect1" refType="w"/>
              <dgm:constr type="h" for="ch" forName="rect1" refType="h" refFor="ch" refForName="circle1"/>
              <dgm:constr type="b" for="ch" forName="rect1" refType="b" refFor="ch" refForName="circle1"/>
              <dgm:constr type="l" for="ch" forName="vertSpace2"/>
              <dgm:constr type="w" for="ch" forName="vertSpace2" refType="w"/>
              <dgm:constr type="h" for="ch" forName="vertSpace2" refType="h" refFor="ch" refForName="circle1" fact="0.05"/>
              <dgm:constr type="b" for="ch" forName="vertSpace2" refType="b" refFor="ch" refForName="circle1"/>
              <dgm:constr type="ctrX" for="ch" forName="circle2" refType="l" refFor="ch" refForName="space"/>
              <dgm:constr type="h" for="ch" forName="circle2" refType="h" refFor="ch" refForName="circle1" fact="0.83333"/>
              <dgm:constr type="hOff" for="ch" forName="circle2" refType="h" refFor="ch" refForName="vertSpace2" fact="-0.16667"/>
              <dgm:constr type="w" for="ch" forName="circle2" refType="h" refFor="ch" refForName="circle2" op="equ"/>
              <dgm:constr type="wOff" for="ch" forName="circle2" refType="hOff" refFor="ch" refForName="circle2" op="equ"/>
              <dgm:constr type="b" for="ch" forName="circle2" refType="t" refFor="ch" refForName="vertSpace2"/>
              <dgm:constr type="l" for="ch" forName="rect2" refType="r" refFor="ch" refForName="space"/>
              <dgm:constr type="r" for="ch" forName="rect2" refType="w"/>
              <dgm:constr type="h" for="ch" forName="rect2" refType="h" refFor="ch" refForName="circle2"/>
              <dgm:constr type="hOff" for="ch" forName="rect2" refType="hOff" refFor="ch" refForName="circle2"/>
              <dgm:constr type="b" for="ch" forName="rect2" refType="b" refFor="ch" refForName="circle2"/>
              <dgm:constr type="l" for="ch" forName="vertSpace3"/>
              <dgm:constr type="w" for="ch" forName="vertSpace3" refType="w"/>
              <dgm:constr type="h" for="ch" forName="vertSpace3" refType="h" refFor="ch" refForName="vertSpace2"/>
              <dgm:constr type="b" for="ch" forName="vertSpace3" refType="t" refFor="ch" refForName="vertSpace2"/>
              <dgm:constr type="ctrX" for="ch" forName="circle3" refType="l" refFor="ch" refForName="space"/>
              <dgm:constr type="h" for="ch" forName="circle3" refType="h" refFor="ch" refForName="circle1" fact="0.66667"/>
              <dgm:constr type="hOff" for="ch" forName="circle3" refType="h" refFor="ch" refForName="vertSpace2" fact="-0.33333"/>
              <dgm:constr type="w" for="ch" forName="circle3" refType="h" refFor="ch" refForName="circle3" op="equ"/>
              <dgm:constr type="wOff" for="ch" forName="circle3" refType="hOff" refFor="ch" refForName="circle3" op="equ"/>
              <dgm:constr type="b" for="ch" forName="circle3" refType="t" refFor="ch" refForName="vertSpace3"/>
              <dgm:constr type="l" for="ch" forName="rect3" refType="r" refFor="ch" refForName="space"/>
              <dgm:constr type="r" for="ch" forName="rect3" refType="w"/>
              <dgm:constr type="h" for="ch" forName="rect3" refType="h" refFor="ch" refForName="circle3"/>
              <dgm:constr type="hOff" for="ch" forName="rect3" refType="hOff" refFor="ch" refForName="circle3"/>
              <dgm:constr type="b" for="ch" forName="rect3" refType="b" refFor="ch" refForName="circle3"/>
              <dgm:constr type="l" for="ch" forName="vertSpace4"/>
              <dgm:constr type="w" for="ch" forName="vertSpace4" refType="w"/>
              <dgm:constr type="h" for="ch" forName="vertSpace4" refType="h" refFor="ch" refForName="vertSpace3"/>
              <dgm:constr type="b" for="ch" forName="vertSpace4" refType="t" refFor="ch" refForName="vertSpace3"/>
              <dgm:constr type="ctrX" for="ch" forName="circle4" refType="l" refFor="ch" refForName="space"/>
              <dgm:constr type="h" for="ch" forName="circle4" refType="h" refFor="ch" refForName="circle1" fact="0.5"/>
              <dgm:constr type="hOff" for="ch" forName="circle4" refType="h" refFor="ch" refForName="vertSpace2" fact="-0.5"/>
              <dgm:constr type="w" for="ch" forName="circle4" refType="h" refFor="ch" refForName="circle4" op="equ"/>
              <dgm:constr type="wOff" for="ch" forName="circle4" refType="hOff" refFor="ch" refForName="circle4" op="equ"/>
              <dgm:constr type="b" for="ch" forName="circle4" refType="t" refFor="ch" refForName="vertSpace4"/>
              <dgm:constr type="l" for="ch" forName="rect4" refType="r" refFor="ch" refForName="space"/>
              <dgm:constr type="r" for="ch" forName="rect4" refType="w"/>
              <dgm:constr type="h" for="ch" forName="rect4" refType="h" refFor="ch" refForName="circle4"/>
              <dgm:constr type="hOff" for="ch" forName="rect4" refType="hOff" refFor="ch" refForName="circle4"/>
              <dgm:constr type="b" for="ch" forName="rect4" refType="b" refFor="ch" refForName="circle4"/>
              <dgm:constr type="l" for="ch" forName="vertSpace5"/>
              <dgm:constr type="w" for="ch" forName="vertSpace5" refType="w"/>
              <dgm:constr type="h" for="ch" forName="vertSpace5" refType="h" refFor="ch" refForName="vertSpace4"/>
              <dgm:constr type="b" for="ch" forName="vertSpace5" refType="t" refFor="ch" refForName="vertSpace4"/>
              <dgm:constr type="ctrX" for="ch" forName="circle5" refType="l" refFor="ch" refForName="space"/>
              <dgm:constr type="h" for="ch" forName="circle5" refType="h" refFor="ch" refForName="circle1" fact="0.33333"/>
              <dgm:constr type="hOff" for="ch" forName="circle5" refType="h" refFor="ch" refForName="vertSpace2" fact="-0.66667"/>
              <dgm:constr type="w" for="ch" forName="circle5" refType="h" refFor="ch" refForName="circle5" op="equ"/>
              <dgm:constr type="wOff" for="ch" forName="circle5" refType="hOff" refFor="ch" refForName="circle5" op="equ"/>
              <dgm:constr type="b" for="ch" forName="circle5" refType="t" refFor="ch" refForName="vertSpace5"/>
              <dgm:constr type="l" for="ch" forName="rect5" refType="r" refFor="ch" refForName="space"/>
              <dgm:constr type="r" for="ch" forName="rect5" refType="w"/>
              <dgm:constr type="h" for="ch" forName="rect5" refType="h" refFor="ch" refForName="circle5"/>
              <dgm:constr type="hOff" for="ch" forName="rect5" refType="hOff" refFor="ch" refForName="circle5"/>
              <dgm:constr type="b" for="ch" forName="rect5" refType="b" refFor="ch" refForName="circle5"/>
              <dgm:constr type="l" for="ch" forName="vertSpace6"/>
              <dgm:constr type="w" for="ch" forName="vertSpace6" refType="w"/>
              <dgm:constr type="h" for="ch" forName="vertSpace6" refType="h" refFor="ch" refForName="vertSpace5"/>
              <dgm:constr type="b" for="ch" forName="vertSpace6" refType="t" refFor="ch" refForName="vertSpace5"/>
              <dgm:constr type="ctrX" for="ch" forName="circle6" refType="l" refFor="ch" refForName="space"/>
              <dgm:constr type="h" for="ch" forName="circle6" refType="h" refFor="ch" refForName="circle1" fact="0.16667"/>
              <dgm:constr type="hOff" for="ch" forName="circle6" refType="h" refFor="ch" refForName="vertSpace2" fact="-0.83333"/>
              <dgm:constr type="w" for="ch" forName="circle6" refType="h" refFor="ch" refForName="circle6" op="equ"/>
              <dgm:constr type="wOff" for="ch" forName="circle6" refType="hOff" refFor="ch" refForName="circle6" op="equ"/>
              <dgm:constr type="b" for="ch" forName="circle6" refType="t" refFor="ch" refForName="vertSpace6"/>
              <dgm:constr type="l" for="ch" forName="rect6" refType="r" refFor="ch" refForName="space"/>
              <dgm:constr type="r" for="ch" forName="rect6" refType="w"/>
              <dgm:constr type="h" for="ch" forName="rect6" refType="h" refFor="ch" refForName="circle6"/>
              <dgm:constr type="hOff" for="ch" forName="rect6" refType="hOff" refFor="ch" refForName="circle6"/>
              <dgm:constr type="b" for="ch" forName="rect6" refType="b" refFor="ch" refForName="circle6"/>
              <dgm:constr type="l" for="ch" forName="rect6ParTx" refType="r" refFor="ch" refForName="space"/>
              <dgm:constr type="w" for="ch" forName="rect6ParTx" refType="w" refFor="ch" refForName="rect6" fact="0.5"/>
              <dgm:constr type="t" for="ch" forName="rect6ParTx" refType="t" refFor="ch" refForName="rect6"/>
              <dgm:constr type="b" for="ch" forName="rect6ParTx" refType="b" refFor="ch" refForName="rect6"/>
              <dgm:constr type="l" for="ch" forName="rect6ChTx" refType="r" refFor="ch" refForName="rect6ParTx"/>
              <dgm:constr type="w" for="ch" forName="rect6ChTx" refType="w" refFor="ch" refForName="rect6ParTx"/>
              <dgm:constr type="t" for="ch" forName="rect6ChTx" refType="t" refFor="ch" refForName="rect6ParTx"/>
              <dgm:constr type="b" for="ch" forName="rect6ChTx" refType="b" refFor="ch" refForName="rect6ParTx"/>
              <dgm:constr type="l" for="ch" forName="rect6ParTxNoCh" refType="r" refFor="ch" refForName="space"/>
              <dgm:constr type="w" for="ch" forName="rect6ParTxNoCh" refType="w" refFor="ch" refForName="rect6"/>
              <dgm:constr type="t" for="ch" forName="rect6ParTxNoCh" refType="t" refFor="ch" refForName="rect6"/>
              <dgm:constr type="b" for="ch" forName="rect6ParTxNoCh" refType="b" refFor="ch" refForName="rect6"/>
              <dgm:constr type="l" for="ch" forName="rect1ParTx" refType="r" refFor="ch" refForName="space"/>
              <dgm:constr type="w" for="ch" forName="rect1ParTx" refType="w" refFor="ch" refForName="rect1" fact="0.5"/>
              <dgm:constr type="t" for="ch" forName="rect1ParTx" refType="t" refFor="ch" refForName="rect1"/>
              <dgm:constr type="b" for="ch" forName="rect1ParTx" refType="t" refFor="ch" refForName="rect2"/>
              <dgm:constr type="l" for="ch" forName="rect1ChTx" refType="r" refFor="ch" refForName="rect1ParTx"/>
              <dgm:constr type="w" for="ch" forName="rect1ChTx" refType="w" refFor="ch" refForName="rect1ParTx"/>
              <dgm:constr type="t" for="ch" forName="rect1ChTx" refType="t" refFor="ch" refForName="rect1ParTx"/>
              <dgm:constr type="b" for="ch" forName="rect1ChTx" refType="b" refFor="ch" refForName="rect1ParTx"/>
              <dgm:constr type="l" for="ch" forName="rect1ParTxNoCh" refType="r" refFor="ch" refForName="space"/>
              <dgm:constr type="w" for="ch" forName="rect1ParTxNoCh" refType="w" refFor="ch" refForName="rect1"/>
              <dgm:constr type="t" for="ch" forName="rect1ParTxNoCh" refType="t" refFor="ch" refForName="rect1"/>
              <dgm:constr type="b" for="ch" forName="rect1ParTxNoCh" refType="t" refFor="ch" refForName="rect2"/>
              <dgm:constr type="l" for="ch" forName="rect2ParTx" refType="r" refFor="ch" refForName="space"/>
              <dgm:constr type="w" for="ch" forName="rect2ParTx" refType="w" refFor="ch" refForName="rect2" fact="0.5"/>
              <dgm:constr type="t" for="ch" forName="rect2ParTx" refType="t" refFor="ch" refForName="rect2"/>
              <dgm:constr type="b" for="ch" forName="rect2ParTx" refType="t" refFor="ch" refForName="rect3"/>
              <dgm:constr type="l" for="ch" forName="rect2ChTx" refType="r" refFor="ch" refForName="rect2ParTx"/>
              <dgm:constr type="w" for="ch" forName="rect2ChTx" refType="w" refFor="ch" refForName="rect2ParTx"/>
              <dgm:constr type="t" for="ch" forName="rect2ChTx" refType="t" refFor="ch" refForName="rect2ParTx"/>
              <dgm:constr type="b" for="ch" forName="rect2ChTx" refType="b" refFor="ch" refForName="rect2ParTx"/>
              <dgm:constr type="l" for="ch" forName="rect2ParTxNoCh" refType="r" refFor="ch" refForName="space"/>
              <dgm:constr type="w" for="ch" forName="rect2ParTxNoCh" refType="w" refFor="ch" refForName="rect2"/>
              <dgm:constr type="t" for="ch" forName="rect2ParTxNoCh" refType="t" refFor="ch" refForName="rect2"/>
              <dgm:constr type="b" for="ch" forName="rect2ParTxNoCh" refType="t" refFor="ch" refForName="rect3"/>
              <dgm:constr type="l" for="ch" forName="rect3ParTx" refType="r" refFor="ch" refForName="space"/>
              <dgm:constr type="w" for="ch" forName="rect3ParTx" refType="w" refFor="ch" refForName="rect3" fact="0.5"/>
              <dgm:constr type="t" for="ch" forName="rect3ParTx" refType="t" refFor="ch" refForName="rect3"/>
              <dgm:constr type="b" for="ch" forName="rect3ParTx" refType="t" refFor="ch" refForName="rect4"/>
              <dgm:constr type="l" for="ch" forName="rect3ChTx" refType="r" refFor="ch" refForName="rect3ParTx"/>
              <dgm:constr type="w" for="ch" forName="rect3ChTx" refType="w" refFor="ch" refForName="rect3ParTx"/>
              <dgm:constr type="t" for="ch" forName="rect3ChTx" refType="t" refFor="ch" refForName="rect3ParTx"/>
              <dgm:constr type="b" for="ch" forName="rect3ChTx" refType="b" refFor="ch" refForName="rect3ParTx"/>
              <dgm:constr type="l" for="ch" forName="rect3ParTxNoCh" refType="r" refFor="ch" refForName="space"/>
              <dgm:constr type="w" for="ch" forName="rect3ParTxNoCh" refType="w" refFor="ch" refForName="rect3"/>
              <dgm:constr type="t" for="ch" forName="rect3ParTxNoCh" refType="t" refFor="ch" refForName="rect3"/>
              <dgm:constr type="b" for="ch" forName="rect3ParTxNoCh" refType="t" refFor="ch" refForName="rect4"/>
              <dgm:constr type="l" for="ch" forName="rect4ParTx" refType="r" refFor="ch" refForName="space"/>
              <dgm:constr type="w" for="ch" forName="rect4ParTx" refType="w" refFor="ch" refForName="rect4" fact="0.5"/>
              <dgm:constr type="t" for="ch" forName="rect4ParTx" refType="t" refFor="ch" refForName="rect4"/>
              <dgm:constr type="b" for="ch" forName="rect4ParTx" refType="t" refFor="ch" refForName="rect5"/>
              <dgm:constr type="l" for="ch" forName="rect4ChTx" refType="r" refFor="ch" refForName="rect4ParTx"/>
              <dgm:constr type="w" for="ch" forName="rect4ChTx" refType="w" refFor="ch" refForName="rect4ParTx"/>
              <dgm:constr type="t" for="ch" forName="rect4ChTx" refType="t" refFor="ch" refForName="rect4ParTx"/>
              <dgm:constr type="b" for="ch" forName="rect4ChTx" refType="b" refFor="ch" refForName="rect4ParTx"/>
              <dgm:constr type="l" for="ch" forName="rect4ParTxNoCh" refType="r" refFor="ch" refForName="space"/>
              <dgm:constr type="w" for="ch" forName="rect4ParTxNoCh" refType="w" refFor="ch" refForName="rect4"/>
              <dgm:constr type="t" for="ch" forName="rect4ParTxNoCh" refType="t" refFor="ch" refForName="rect4"/>
              <dgm:constr type="b" for="ch" forName="rect4ParTxNoCh" refType="t" refFor="ch" refForName="rect5"/>
              <dgm:constr type="l" for="ch" forName="rect5ParTx" refType="r" refFor="ch" refForName="space"/>
              <dgm:constr type="w" for="ch" forName="rect5ParTx" refType="w" refFor="ch" refForName="rect5" fact="0.5"/>
              <dgm:constr type="t" for="ch" forName="rect5ParTx" refType="t" refFor="ch" refForName="rect5"/>
              <dgm:constr type="b" for="ch" forName="rect5ParTx" refType="t" refFor="ch" refForName="rect6"/>
              <dgm:constr type="l" for="ch" forName="rect5ChTx" refType="r" refFor="ch" refForName="rect5ParTx"/>
              <dgm:constr type="w" for="ch" forName="rect5ChTx" refType="w" refFor="ch" refForName="rect5ParTx"/>
              <dgm:constr type="t" for="ch" forName="rect5ChTx" refType="t" refFor="ch" refForName="rect5ParTx"/>
              <dgm:constr type="b" for="ch" forName="rect5ChTx" refType="b" refFor="ch" refForName="rect5ParTx"/>
              <dgm:constr type="l" for="ch" forName="rect5ParTxNoCh" refType="r" refFor="ch" refForName="space"/>
              <dgm:constr type="w" for="ch" forName="rect5ParTxNoCh" refType="w" refFor="ch" refForName="rect5"/>
              <dgm:constr type="t" for="ch" forName="rect5ParTxNoCh" refType="t" refFor="ch" refForName="rect5"/>
              <dgm:constr type="b" for="ch" forName="rect5ParTxNoCh" refType="t" refFor="ch" refForName="rect6"/>
              <dgm:constr type="primFontSz" for="ch" op="equ" val="65"/>
              <dgm:constr type="secFontSz" for="ch" op="equ" val="65"/>
            </dgm:constrLst>
          </dgm:if>
          <dgm:if name="Name10" axis="ch" ptType="node" func="cnt" op="gte" val="7">
            <dgm:constrLst>
              <dgm:constr type="userA" refType="w" fact="0.3"/>
              <dgm:constr type="w" for="ch" forName="circle1" refType="userA" fact="2"/>
              <dgm:constr type="h" for="ch" forName="circle1" refType="w" refFor="ch" refForName="circle1" op="equ"/>
              <dgm:constr type="l" for="ch" forName="circle1"/>
              <dgm:constr type="ctrY" for="ch" forName="circle1" refType="h" fact="0.5"/>
              <dgm:constr type="l" for="ch" forName="space" refType="ctrX" refFor="ch" refForName="circle1"/>
              <dgm:constr type="w" for="ch" forName="space"/>
              <dgm:constr type="h" for="ch" forName="space" refType="h" refFor="ch" refForName="circle1"/>
              <dgm:constr type="b" for="ch" forName="space" refType="b" refFor="ch" refForName="circle1"/>
              <dgm:constr type="l" for="ch" forName="rect1" refType="r" refFor="ch" refForName="space"/>
              <dgm:constr type="r" for="ch" forName="rect1" refType="w"/>
              <dgm:constr type="h" for="ch" forName="rect1" refType="h" refFor="ch" refForName="circle1"/>
              <dgm:constr type="b" for="ch" forName="rect1" refType="b" refFor="ch" refForName="circle1"/>
              <dgm:constr type="l" for="ch" forName="vertSpace2"/>
              <dgm:constr type="w" for="ch" forName="vertSpace2" refType="w"/>
              <dgm:constr type="h" for="ch" forName="vertSpace2" refType="h" refFor="ch" refForName="circle1" fact="0.05"/>
              <dgm:constr type="b" for="ch" forName="vertSpace2" refType="b" refFor="ch" refForName="circle1"/>
              <dgm:constr type="ctrX" for="ch" forName="circle2" refType="l" refFor="ch" refForName="space"/>
              <dgm:constr type="h" for="ch" forName="circle2" refType="h" refFor="ch" refForName="circle1" fact="0.85714"/>
              <dgm:constr type="hOff" for="ch" forName="circle2" refType="h" refFor="ch" refForName="vertSpace2" fact="-0.14286"/>
              <dgm:constr type="w" for="ch" forName="circle2" refType="h" refFor="ch" refForName="circle2" op="equ"/>
              <dgm:constr type="wOff" for="ch" forName="circle2" refType="hOff" refFor="ch" refForName="circle2" op="equ"/>
              <dgm:constr type="b" for="ch" forName="circle2" refType="t" refFor="ch" refForName="vertSpace2"/>
              <dgm:constr type="l" for="ch" forName="rect2" refType="r" refFor="ch" refForName="space"/>
              <dgm:constr type="r" for="ch" forName="rect2" refType="w"/>
              <dgm:constr type="h" for="ch" forName="rect2" refType="h" refFor="ch" refForName="circle2"/>
              <dgm:constr type="hOff" for="ch" forName="rect2" refType="hOff" refFor="ch" refForName="circle2"/>
              <dgm:constr type="b" for="ch" forName="rect2" refType="b" refFor="ch" refForName="circle2"/>
              <dgm:constr type="l" for="ch" forName="vertSpace3"/>
              <dgm:constr type="w" for="ch" forName="vertSpace3" refType="w"/>
              <dgm:constr type="h" for="ch" forName="vertSpace3" refType="h" refFor="ch" refForName="vertSpace2"/>
              <dgm:constr type="b" for="ch" forName="vertSpace3" refType="t" refFor="ch" refForName="vertSpace2"/>
              <dgm:constr type="ctrX" for="ch" forName="circle3" refType="l" refFor="ch" refForName="space"/>
              <dgm:constr type="h" for="ch" forName="circle3" refType="h" refFor="ch" refForName="circle1" fact="0.71429"/>
              <dgm:constr type="hOff" for="ch" forName="circle3" refType="h" refFor="ch" refForName="vertSpace2" fact="-0.28571"/>
              <dgm:constr type="w" for="ch" forName="circle3" refType="h" refFor="ch" refForName="circle3" op="equ"/>
              <dgm:constr type="wOff" for="ch" forName="circle3" refType="hOff" refFor="ch" refForName="circle3" op="equ"/>
              <dgm:constr type="b" for="ch" forName="circle3" refType="t" refFor="ch" refForName="vertSpace3"/>
              <dgm:constr type="l" for="ch" forName="rect3" refType="r" refFor="ch" refForName="space"/>
              <dgm:constr type="r" for="ch" forName="rect3" refType="w"/>
              <dgm:constr type="h" for="ch" forName="rect3" refType="h" refFor="ch" refForName="circle3"/>
              <dgm:constr type="hOff" for="ch" forName="rect3" refType="hOff" refFor="ch" refForName="circle3"/>
              <dgm:constr type="b" for="ch" forName="rect3" refType="b" refFor="ch" refForName="circle3"/>
              <dgm:constr type="l" for="ch" forName="vertSpace4"/>
              <dgm:constr type="w" for="ch" forName="vertSpace4" refType="w"/>
              <dgm:constr type="h" for="ch" forName="vertSpace4" refType="h" refFor="ch" refForName="vertSpace3"/>
              <dgm:constr type="b" for="ch" forName="vertSpace4" refType="t" refFor="ch" refForName="vertSpace3"/>
              <dgm:constr type="ctrX" for="ch" forName="circle4" refType="l" refFor="ch" refForName="space"/>
              <dgm:constr type="h" for="ch" forName="circle4" refType="h" refFor="ch" refForName="circle1" fact="0.57143"/>
              <dgm:constr type="hOff" for="ch" forName="circle4" refType="h" refFor="ch" refForName="vertSpace2" fact="-0.42857"/>
              <dgm:constr type="w" for="ch" forName="circle4" refType="h" refFor="ch" refForName="circle4" op="equ"/>
              <dgm:constr type="wOff" for="ch" forName="circle4" refType="hOff" refFor="ch" refForName="circle4" op="equ"/>
              <dgm:constr type="b" for="ch" forName="circle4" refType="t" refFor="ch" refForName="vertSpace4"/>
              <dgm:constr type="l" for="ch" forName="rect4" refType="r" refFor="ch" refForName="space"/>
              <dgm:constr type="r" for="ch" forName="rect4" refType="w"/>
              <dgm:constr type="h" for="ch" forName="rect4" refType="h" refFor="ch" refForName="circle4"/>
              <dgm:constr type="hOff" for="ch" forName="rect4" refType="hOff" refFor="ch" refForName="circle4"/>
              <dgm:constr type="b" for="ch" forName="rect4" refType="b" refFor="ch" refForName="circle4"/>
              <dgm:constr type="l" for="ch" forName="vertSpace5"/>
              <dgm:constr type="w" for="ch" forName="vertSpace5" refType="w"/>
              <dgm:constr type="h" for="ch" forName="vertSpace5" refType="h" refFor="ch" refForName="vertSpace4"/>
              <dgm:constr type="b" for="ch" forName="vertSpace5" refType="t" refFor="ch" refForName="vertSpace4"/>
              <dgm:constr type="ctrX" for="ch" forName="circle5" refType="l" refFor="ch" refForName="space"/>
              <dgm:constr type="h" for="ch" forName="circle5" refType="h" refFor="ch" refForName="circle1" fact="0.42857"/>
              <dgm:constr type="hOff" for="ch" forName="circle5" refType="h" refFor="ch" refForName="vertSpace2" fact="-0.57143"/>
              <dgm:constr type="w" for="ch" forName="circle5" refType="h" refFor="ch" refForName="circle5" op="equ"/>
              <dgm:constr type="wOff" for="ch" forName="circle5" refType="hOff" refFor="ch" refForName="circle5" op="equ"/>
              <dgm:constr type="b" for="ch" forName="circle5" refType="t" refFor="ch" refForName="vertSpace5"/>
              <dgm:constr type="l" for="ch" forName="rect5" refType="r" refFor="ch" refForName="space"/>
              <dgm:constr type="r" for="ch" forName="rect5" refType="w"/>
              <dgm:constr type="h" for="ch" forName="rect5" refType="h" refFor="ch" refForName="circle5"/>
              <dgm:constr type="hOff" for="ch" forName="rect5" refType="hOff" refFor="ch" refForName="circle5"/>
              <dgm:constr type="b" for="ch" forName="rect5" refType="b" refFor="ch" refForName="circle5"/>
              <dgm:constr type="l" for="ch" forName="vertSpace6"/>
              <dgm:constr type="w" for="ch" forName="vertSpace6" refType="w"/>
              <dgm:constr type="h" for="ch" forName="vertSpace6" refType="h" refFor="ch" refForName="vertSpace5"/>
              <dgm:constr type="b" for="ch" forName="vertSpace6" refType="t" refFor="ch" refForName="vertSpace5"/>
              <dgm:constr type="ctrX" for="ch" forName="circle6" refType="l" refFor="ch" refForName="space"/>
              <dgm:constr type="h" for="ch" forName="circle6" refType="h" refFor="ch" refForName="circle1" fact="0.28571"/>
              <dgm:constr type="hOff" for="ch" forName="circle6" refType="h" refFor="ch" refForName="vertSpace2" fact="-0.71429"/>
              <dgm:constr type="w" for="ch" forName="circle6" refType="h" refFor="ch" refForName="circle6" op="equ"/>
              <dgm:constr type="wOff" for="ch" forName="circle6" refType="hOff" refFor="ch" refForName="circle6" op="equ"/>
              <dgm:constr type="b" for="ch" forName="circle6" refType="t" refFor="ch" refForName="vertSpace6"/>
              <dgm:constr type="l" for="ch" forName="rect6" refType="r" refFor="ch" refForName="space"/>
              <dgm:constr type="r" for="ch" forName="rect6" refType="w"/>
              <dgm:constr type="h" for="ch" forName="rect6" refType="h" refFor="ch" refForName="circle6"/>
              <dgm:constr type="hOff" for="ch" forName="rect6" refType="hOff" refFor="ch" refForName="circle6"/>
              <dgm:constr type="b" for="ch" forName="rect6" refType="b" refFor="ch" refForName="circle6"/>
              <dgm:constr type="l" for="ch" forName="vertSpace7"/>
              <dgm:constr type="w" for="ch" forName="vertSpace7" refType="w"/>
              <dgm:constr type="h" for="ch" forName="vertSpace7" refType="h" refFor="ch" refForName="vertSpace6"/>
              <dgm:constr type="b" for="ch" forName="vertSpace7" refType="t" refFor="ch" refForName="vertSpace6"/>
              <dgm:constr type="ctrX" for="ch" forName="circle7" refType="l" refFor="ch" refForName="space"/>
              <dgm:constr type="h" for="ch" forName="circle7" refType="h" refFor="ch" refForName="circle1" fact="0.14286"/>
              <dgm:constr type="hOff" for="ch" forName="circle7" refType="h" refFor="ch" refForName="vertSpace2" fact="-0.85714"/>
              <dgm:constr type="w" for="ch" forName="circle7" refType="h" refFor="ch" refForName="circle7" op="equ"/>
              <dgm:constr type="wOff" for="ch" forName="circle7" refType="hOff" refFor="ch" refForName="circle7" op="equ"/>
              <dgm:constr type="b" for="ch" forName="circle7" refType="t" refFor="ch" refForName="vertSpace7"/>
              <dgm:constr type="l" for="ch" forName="rect7" refType="r" refFor="ch" refForName="space"/>
              <dgm:constr type="r" for="ch" forName="rect7" refType="w"/>
              <dgm:constr type="h" for="ch" forName="rect7" refType="h" refFor="ch" refForName="circle7"/>
              <dgm:constr type="hOff" for="ch" forName="rect7" refType="hOff" refFor="ch" refForName="circle7"/>
              <dgm:constr type="b" for="ch" forName="rect7" refType="b" refFor="ch" refForName="circle7"/>
              <dgm:constr type="l" for="ch" forName="rect7ParTx" refType="r" refFor="ch" refForName="space"/>
              <dgm:constr type="w" for="ch" forName="rect7ParTx" refType="w" refFor="ch" refForName="rect7" fact="0.5"/>
              <dgm:constr type="t" for="ch" forName="rect7ParTx" refType="t" refFor="ch" refForName="rect7"/>
              <dgm:constr type="b" for="ch" forName="rect7ParTx" refType="b" refFor="ch" refForName="rect7"/>
              <dgm:constr type="l" for="ch" forName="rect7ChTx" refType="r" refFor="ch" refForName="rect7ParTx"/>
              <dgm:constr type="w" for="ch" forName="rect7ChTx" refType="w" refFor="ch" refForName="rect7ParTx"/>
              <dgm:constr type="t" for="ch" forName="rect7ChTx" refType="t" refFor="ch" refForName="rect7ParTx"/>
              <dgm:constr type="b" for="ch" forName="rect7ChTx" refType="b" refFor="ch" refForName="rect7ParTx"/>
              <dgm:constr type="l" for="ch" forName="rect7ParTxNoCh" refType="r" refFor="ch" refForName="space"/>
              <dgm:constr type="w" for="ch" forName="rect7ParTxNoCh" refType="w" refFor="ch" refForName="rect7"/>
              <dgm:constr type="t" for="ch" forName="rect7ParTxNoCh" refType="t" refFor="ch" refForName="rect7"/>
              <dgm:constr type="b" for="ch" forName="rect7ParTxNoCh" refType="b" refFor="ch" refForName="rect7"/>
              <dgm:constr type="l" for="ch" forName="rect1ParTx" refType="r" refFor="ch" refForName="space"/>
              <dgm:constr type="w" for="ch" forName="rect1ParTx" refType="w" refFor="ch" refForName="rect1" fact="0.5"/>
              <dgm:constr type="t" for="ch" forName="rect1ParTx" refType="t" refFor="ch" refForName="rect1"/>
              <dgm:constr type="b" for="ch" forName="rect1ParTx" refType="t" refFor="ch" refForName="rect2"/>
              <dgm:constr type="l" for="ch" forName="rect1ChTx" refType="r" refFor="ch" refForName="rect1ParTx"/>
              <dgm:constr type="w" for="ch" forName="rect1ChTx" refType="w" refFor="ch" refForName="rect1ParTx"/>
              <dgm:constr type="t" for="ch" forName="rect1ChTx" refType="t" refFor="ch" refForName="rect1ParTx"/>
              <dgm:constr type="b" for="ch" forName="rect1ChTx" refType="b" refFor="ch" refForName="rect1ParTx"/>
              <dgm:constr type="l" for="ch" forName="rect1ParTxNoCh" refType="r" refFor="ch" refForName="space"/>
              <dgm:constr type="w" for="ch" forName="rect1ParTxNoCh" refType="w" refFor="ch" refForName="rect1"/>
              <dgm:constr type="t" for="ch" forName="rect1ParTxNoCh" refType="t" refFor="ch" refForName="rect1"/>
              <dgm:constr type="b" for="ch" forName="rect1ParTxNoCh" refType="t" refFor="ch" refForName="rect2"/>
              <dgm:constr type="l" for="ch" forName="rect2ParTx" refType="r" refFor="ch" refForName="space"/>
              <dgm:constr type="w" for="ch" forName="rect2ParTx" refType="w" refFor="ch" refForName="rect2" fact="0.5"/>
              <dgm:constr type="t" for="ch" forName="rect2ParTx" refType="t" refFor="ch" refForName="rect2"/>
              <dgm:constr type="b" for="ch" forName="rect2ParTx" refType="t" refFor="ch" refForName="rect3"/>
              <dgm:constr type="l" for="ch" forName="rect2ChTx" refType="r" refFor="ch" refForName="rect2ParTx"/>
              <dgm:constr type="w" for="ch" forName="rect2ChTx" refType="w" refFor="ch" refForName="rect2ParTx"/>
              <dgm:constr type="t" for="ch" forName="rect2ChTx" refType="t" refFor="ch" refForName="rect2ParTx"/>
              <dgm:constr type="b" for="ch" forName="rect2ChTx" refType="b" refFor="ch" refForName="rect2ParTx"/>
              <dgm:constr type="l" for="ch" forName="rect2ParTxNoCh" refType="r" refFor="ch" refForName="space"/>
              <dgm:constr type="w" for="ch" forName="rect2ParTxNoCh" refType="w" refFor="ch" refForName="rect2"/>
              <dgm:constr type="t" for="ch" forName="rect2ParTxNoCh" refType="t" refFor="ch" refForName="rect2"/>
              <dgm:constr type="b" for="ch" forName="rect2ParTxNoCh" refType="t" refFor="ch" refForName="rect3"/>
              <dgm:constr type="l" for="ch" forName="rect3ParTx" refType="r" refFor="ch" refForName="space"/>
              <dgm:constr type="w" for="ch" forName="rect3ParTx" refType="w" refFor="ch" refForName="rect3" fact="0.5"/>
              <dgm:constr type="t" for="ch" forName="rect3ParTx" refType="t" refFor="ch" refForName="rect3"/>
              <dgm:constr type="b" for="ch" forName="rect3ParTx" refType="t" refFor="ch" refForName="rect4"/>
              <dgm:constr type="l" for="ch" forName="rect3ChTx" refType="r" refFor="ch" refForName="rect3ParTx"/>
              <dgm:constr type="w" for="ch" forName="rect3ChTx" refType="w" refFor="ch" refForName="rect3ParTx"/>
              <dgm:constr type="t" for="ch" forName="rect3ChTx" refType="t" refFor="ch" refForName="rect3ParTx"/>
              <dgm:constr type="b" for="ch" forName="rect3ChTx" refType="b" refFor="ch" refForName="rect3ParTx"/>
              <dgm:constr type="l" for="ch" forName="rect3ParTxNoCh" refType="r" refFor="ch" refForName="space"/>
              <dgm:constr type="w" for="ch" forName="rect3ParTxNoCh" refType="w" refFor="ch" refForName="rect3"/>
              <dgm:constr type="t" for="ch" forName="rect3ParTxNoCh" refType="t" refFor="ch" refForName="rect3"/>
              <dgm:constr type="b" for="ch" forName="rect3ParTxNoCh" refType="t" refFor="ch" refForName="rect4"/>
              <dgm:constr type="l" for="ch" forName="rect4ParTx" refType="r" refFor="ch" refForName="space"/>
              <dgm:constr type="w" for="ch" forName="rect4ParTx" refType="w" refFor="ch" refForName="rect4" fact="0.5"/>
              <dgm:constr type="t" for="ch" forName="rect4ParTx" refType="t" refFor="ch" refForName="rect4"/>
              <dgm:constr type="b" for="ch" forName="rect4ParTx" refType="t" refFor="ch" refForName="rect5"/>
              <dgm:constr type="l" for="ch" forName="rect4ChTx" refType="r" refFor="ch" refForName="rect4ParTx"/>
              <dgm:constr type="w" for="ch" forName="rect4ChTx" refType="w" refFor="ch" refForName="rect4ParTx"/>
              <dgm:constr type="t" for="ch" forName="rect4ChTx" refType="t" refFor="ch" refForName="rect4ParTx"/>
              <dgm:constr type="b" for="ch" forName="rect4ChTx" refType="b" refFor="ch" refForName="rect4ParTx"/>
              <dgm:constr type="l" for="ch" forName="rect4ParTxNoCh" refType="r" refFor="ch" refForName="space"/>
              <dgm:constr type="w" for="ch" forName="rect4ParTxNoCh" refType="w" refFor="ch" refForName="rect4"/>
              <dgm:constr type="t" for="ch" forName="rect4ParTxNoCh" refType="t" refFor="ch" refForName="rect4"/>
              <dgm:constr type="b" for="ch" forName="rect4ParTxNoCh" refType="t" refFor="ch" refForName="rect5"/>
              <dgm:constr type="l" for="ch" forName="rect5ParTx" refType="r" refFor="ch" refForName="space"/>
              <dgm:constr type="w" for="ch" forName="rect5ParTx" refType="w" refFor="ch" refForName="rect5" fact="0.5"/>
              <dgm:constr type="t" for="ch" forName="rect5ParTx" refType="t" refFor="ch" refForName="rect5"/>
              <dgm:constr type="b" for="ch" forName="rect5ParTx" refType="t" refFor="ch" refForName="rect6"/>
              <dgm:constr type="l" for="ch" forName="rect5ChTx" refType="r" refFor="ch" refForName="rect5ParTx"/>
              <dgm:constr type="w" for="ch" forName="rect5ChTx" refType="w" refFor="ch" refForName="rect5ParTx"/>
              <dgm:constr type="t" for="ch" forName="rect5ChTx" refType="t" refFor="ch" refForName="rect5ParTx"/>
              <dgm:constr type="b" for="ch" forName="rect5ChTx" refType="b" refFor="ch" refForName="rect5ParTx"/>
              <dgm:constr type="l" for="ch" forName="rect5ParTxNoCh" refType="r" refFor="ch" refForName="space"/>
              <dgm:constr type="w" for="ch" forName="rect5ParTxNoCh" refType="w" refFor="ch" refForName="rect5"/>
              <dgm:constr type="t" for="ch" forName="rect5ParTxNoCh" refType="t" refFor="ch" refForName="rect5"/>
              <dgm:constr type="b" for="ch" forName="rect5ParTxNoCh" refType="t" refFor="ch" refForName="rect6"/>
              <dgm:constr type="l" for="ch" forName="rect6ParTx" refType="r" refFor="ch" refForName="space"/>
              <dgm:constr type="w" for="ch" forName="rect6ParTx" refType="w" refFor="ch" refForName="rect6" fact="0.5"/>
              <dgm:constr type="t" for="ch" forName="rect6ParTx" refType="t" refFor="ch" refForName="rect6"/>
              <dgm:constr type="b" for="ch" forName="rect6ParTx" refType="t" refFor="ch" refForName="rect7"/>
              <dgm:constr type="l" for="ch" forName="rect6ChTx" refType="r" refFor="ch" refForName="rect6ParTx"/>
              <dgm:constr type="w" for="ch" forName="rect6ChTx" refType="w" refFor="ch" refForName="rect6ParTx"/>
              <dgm:constr type="t" for="ch" forName="rect6ChTx" refType="t" refFor="ch" refForName="rect6ParTx"/>
              <dgm:constr type="b" for="ch" forName="rect6ChTx" refType="b" refFor="ch" refForName="rect6ParTx"/>
              <dgm:constr type="l" for="ch" forName="rect6ParTxNoCh" refType="r" refFor="ch" refForName="space"/>
              <dgm:constr type="w" for="ch" forName="rect6ParTxNoCh" refType="w" refFor="ch" refForName="rect6"/>
              <dgm:constr type="t" for="ch" forName="rect6ParTxNoCh" refType="t" refFor="ch" refForName="rect6"/>
              <dgm:constr type="b" for="ch" forName="rect6ParTxNoCh" refType="t" refFor="ch" refForName="rect7"/>
              <dgm:constr type="primFontSz" for="ch" op="equ" val="65"/>
              <dgm:constr type="secFontSz" for="ch" op="equ" val="65"/>
            </dgm:constrLst>
          </dgm:if>
          <dgm:else name="Name11">
            <dgm:constrLst/>
          </dgm:else>
        </dgm:choose>
      </dgm:if>
      <dgm:else name="Name12">
        <dgm:choose name="Name13">
          <dgm:if name="Name14" axis="ch" ptType="node" func="cnt" op="equ" val="1">
            <dgm:constrLst>
              <dgm:constr type="userA" refType="w" fact="0.3"/>
              <dgm:constr type="w" for="ch" forName="circle1" refType="userA" fact="2"/>
              <dgm:constr type="h" for="ch" forName="circle1" refType="w" refFor="ch" refForName="circle1" op="equ"/>
              <dgm:constr type="r" for="ch" forName="circle1" refType="w"/>
              <dgm:constr type="ctrY" for="ch" forName="circle1" refType="h" fact="0.5"/>
              <dgm:constr type="r" for="ch" forName="space" refType="ctrX" refFor="ch" refForName="circle1"/>
              <dgm:constr type="w" for="ch" forName="space"/>
              <dgm:constr type="h" for="ch" forName="space" refType="h" refFor="ch" refForName="circle1"/>
              <dgm:constr type="b" for="ch" forName="space" refType="b" refFor="ch" refForName="circle1"/>
              <dgm:constr type="r" for="ch" forName="rect1" refType="l" refFor="ch" refForName="space"/>
              <dgm:constr type="l" for="ch" forName="rect1"/>
              <dgm:constr type="h" for="ch" forName="rect1" refType="h" refFor="ch" refForName="circle1"/>
              <dgm:constr type="b" for="ch" forName="rect1" refType="b" refFor="ch" refForName="circle1"/>
              <dgm:constr type="r" for="ch" forName="rect1ParTx" refType="l" refFor="ch" refForName="space"/>
              <dgm:constr type="w" for="ch" forName="rect1ParTx" refType="w" refFor="ch" refForName="rect1" fact="0.5"/>
              <dgm:constr type="t" for="ch" forName="rect1ParTx" refType="t" refFor="ch" refForName="rect1"/>
              <dgm:constr type="b" for="ch" forName="rect1ParTx" refType="b" refFor="ch" refForName="rect1"/>
              <dgm:constr type="r" for="ch" forName="rect1ChTx" refType="l" refFor="ch" refForName="rect1ParTx"/>
              <dgm:constr type="w" for="ch" forName="rect1ChTx" refType="w" refFor="ch" refForName="rect1ParTx"/>
              <dgm:constr type="t" for="ch" forName="rect1ChTx" refType="t" refFor="ch" refForName="rect1ParTx"/>
              <dgm:constr type="b" for="ch" forName="rect1ChTx" refType="b" refFor="ch" refForName="rect1ParTx"/>
              <dgm:constr type="r" for="ch" forName="rect1ParTxNoCh" refType="l" refFor="ch" refForName="space"/>
              <dgm:constr type="w" for="ch" forName="rect1ParTxNoCh" refType="w" refFor="ch" refForName="rect1"/>
              <dgm:constr type="t" for="ch" forName="rect1ParTxNoCh" refType="t" refFor="ch" refForName="rect1"/>
              <dgm:constr type="b" for="ch" forName="rect1ParTxNoCh" refType="b" refFor="ch" refForName="rect1"/>
              <dgm:constr type="primFontSz" for="ch" op="equ" val="65"/>
              <dgm:constr type="secFontSz" for="ch" op="equ" val="65"/>
            </dgm:constrLst>
          </dgm:if>
          <dgm:if name="Name15" axis="ch" ptType="node" func="cnt" op="equ" val="2">
            <dgm:constrLst>
              <dgm:constr type="userA" refType="w" fact="0.3"/>
              <dgm:constr type="w" for="ch" forName="circle1" refType="userA" fact="2"/>
              <dgm:constr type="h" for="ch" forName="circle1" refType="w" refFor="ch" refForName="circle1" op="equ"/>
              <dgm:constr type="r" for="ch" forName="circle1" refType="w"/>
              <dgm:constr type="ctrY" for="ch" forName="circle1" refType="h" fact="0.5"/>
              <dgm:constr type="r" for="ch" forName="space" refType="ctrX" refFor="ch" refForName="circle1"/>
              <dgm:constr type="w" for="ch" forName="space"/>
              <dgm:constr type="h" for="ch" forName="space" refType="h" refFor="ch" refForName="circle1"/>
              <dgm:constr type="b" for="ch" forName="space" refType="b" refFor="ch" refForName="circle1"/>
              <dgm:constr type="r" for="ch" forName="rect1" refType="l" refFor="ch" refForName="space"/>
              <dgm:constr type="l" for="ch" forName="rect1"/>
              <dgm:constr type="h" for="ch" forName="rect1" refType="h" refFor="ch" refForName="circle1"/>
              <dgm:constr type="b" for="ch" forName="rect1" refType="b" refFor="ch" refForName="circle1"/>
              <dgm:constr type="l" for="ch" forName="vertSpace2"/>
              <dgm:constr type="w" for="ch" forName="vertSpace2" refType="w"/>
              <dgm:constr type="h" for="ch" forName="vertSpace2" refType="h" refFor="ch" refForName="circle1" fact="0.05"/>
              <dgm:constr type="b" for="ch" forName="vertSpace2" refType="b" refFor="ch" refForName="circle1"/>
              <dgm:constr type="ctrX" for="ch" forName="circle2" refType="r" refFor="ch" refForName="space"/>
              <dgm:constr type="h" for="ch" forName="circle2" refType="h" refFor="ch" refForName="circle1" fact="0.5"/>
              <dgm:constr type="hOff" for="ch" forName="circle2" refType="h" refFor="ch" refForName="vertSpace2" fact="-0.5"/>
              <dgm:constr type="w" for="ch" forName="circle2" refType="h" refFor="ch" refForName="circle2" op="equ"/>
              <dgm:constr type="wOff" for="ch" forName="circle2" refType="hOff" refFor="ch" refForName="circle2" op="equ"/>
              <dgm:constr type="b" for="ch" forName="circle2" refType="t" refFor="ch" refForName="vertSpace2"/>
              <dgm:constr type="r" for="ch" forName="rect2" refType="l" refFor="ch" refForName="space"/>
              <dgm:constr type="l" for="ch" forName="rect2"/>
              <dgm:constr type="h" for="ch" forName="rect2" refType="h" refFor="ch" refForName="circle2"/>
              <dgm:constr type="hOff" for="ch" forName="rect2" refType="hOff" refFor="ch" refForName="circle2"/>
              <dgm:constr type="b" for="ch" forName="rect2" refType="b" refFor="ch" refForName="circle2"/>
              <dgm:constr type="r" for="ch" forName="rect2ParTx" refType="l" refFor="ch" refForName="space"/>
              <dgm:constr type="w" for="ch" forName="rect2ParTx" refType="w" refFor="ch" refForName="rect2" fact="0.5"/>
              <dgm:constr type="t" for="ch" forName="rect2ParTx" refType="t" refFor="ch" refForName="rect2"/>
              <dgm:constr type="b" for="ch" forName="rect2ParTx" refType="b" refFor="ch" refForName="rect2"/>
              <dgm:constr type="r" for="ch" forName="rect2ChTx" refType="l" refFor="ch" refForName="rect2ParTx"/>
              <dgm:constr type="w" for="ch" forName="rect2ChTx" refType="w" refFor="ch" refForName="rect2ParTx"/>
              <dgm:constr type="t" for="ch" forName="rect2ChTx" refType="t" refFor="ch" refForName="rect2ParTx"/>
              <dgm:constr type="b" for="ch" forName="rect2ChTx" refType="b" refFor="ch" refForName="rect2ParTx"/>
              <dgm:constr type="r" for="ch" forName="rect2ParTxNoCh" refType="l" refFor="ch" refForName="space"/>
              <dgm:constr type="w" for="ch" forName="rect2ParTxNoCh" refType="w" refFor="ch" refForName="rect2"/>
              <dgm:constr type="t" for="ch" forName="rect2ParTxNoCh" refType="t" refFor="ch" refForName="rect2"/>
              <dgm:constr type="b" for="ch" forName="rect2ParTxNoCh" refType="b" refFor="ch" refForName="rect2"/>
              <dgm:constr type="r" for="ch" forName="rect1ParTx" refType="l" refFor="ch" refForName="space"/>
              <dgm:constr type="w" for="ch" forName="rect1ParTx" refType="w" refFor="ch" refForName="rect1" fact="0.5"/>
              <dgm:constr type="t" for="ch" forName="rect1ParTx" refType="t" refFor="ch" refForName="rect1"/>
              <dgm:constr type="b" for="ch" forName="rect1ParTx" refType="t" refFor="ch" refForName="rect2"/>
              <dgm:constr type="r" for="ch" forName="rect1ChTx" refType="l" refFor="ch" refForName="rect1ParTx"/>
              <dgm:constr type="w" for="ch" forName="rect1ChTx" refType="w" refFor="ch" refForName="rect1ParTx"/>
              <dgm:constr type="t" for="ch" forName="rect1ChTx" refType="t" refFor="ch" refForName="rect1ParTx"/>
              <dgm:constr type="b" for="ch" forName="rect1ChTx" refType="b" refFor="ch" refForName="rect1ParTx"/>
              <dgm:constr type="r" for="ch" forName="rect1ParTxNoCh" refType="l" refFor="ch" refForName="space"/>
              <dgm:constr type="w" for="ch" forName="rect1ParTxNoCh" refType="w" refFor="ch" refForName="rect1"/>
              <dgm:constr type="t" for="ch" forName="rect1ParTxNoCh" refType="t" refFor="ch" refForName="rect1"/>
              <dgm:constr type="b" for="ch" forName="rect1ParTxNoCh" refType="t" refFor="ch" refForName="rect2"/>
              <dgm:constr type="primFontSz" for="ch" op="equ" val="65"/>
              <dgm:constr type="secFontSz" for="ch" op="equ" val="65"/>
            </dgm:constrLst>
          </dgm:if>
          <dgm:if name="Name16" axis="ch" ptType="node" func="cnt" op="equ" val="3">
            <dgm:constrLst>
              <dgm:constr type="userA" refType="w" fact="0.3"/>
              <dgm:constr type="w" for="ch" forName="circle1" refType="userA" fact="2"/>
              <dgm:constr type="h" for="ch" forName="circle1" refType="w" refFor="ch" refForName="circle1" op="equ"/>
              <dgm:constr type="r" for="ch" forName="circle1" refType="w"/>
              <dgm:constr type="ctrY" for="ch" forName="circle1" refType="h" fact="0.5"/>
              <dgm:constr type="r" for="ch" forName="space" refType="ctrX" refFor="ch" refForName="circle1"/>
              <dgm:constr type="w" for="ch" forName="space"/>
              <dgm:constr type="h" for="ch" forName="space" refType="h" refFor="ch" refForName="circle1"/>
              <dgm:constr type="b" for="ch" forName="space" refType="b" refFor="ch" refForName="circle1"/>
              <dgm:constr type="r" for="ch" forName="rect1" refType="l" refFor="ch" refForName="space"/>
              <dgm:constr type="l" for="ch" forName="rect1"/>
              <dgm:constr type="h" for="ch" forName="rect1" refType="h" refFor="ch" refForName="circle1"/>
              <dgm:constr type="b" for="ch" forName="rect1" refType="b" refFor="ch" refForName="circle1"/>
              <dgm:constr type="l" for="ch" forName="vertSpace2"/>
              <dgm:constr type="w" for="ch" forName="vertSpace2" refType="w"/>
              <dgm:constr type="h" for="ch" forName="vertSpace2" refType="h" refFor="ch" refForName="circle1" fact="0.05"/>
              <dgm:constr type="b" for="ch" forName="vertSpace2" refType="b" refFor="ch" refForName="circle1"/>
              <dgm:constr type="ctrX" for="ch" forName="circle2" refType="r" refFor="ch" refForName="space"/>
              <dgm:constr type="h" for="ch" forName="circle2" refType="h" refFor="ch" refForName="circle1" fact="0.66667"/>
              <dgm:constr type="hOff" for="ch" forName="circle2" refType="h" refFor="ch" refForName="vertSpace2" fact="-0.33333"/>
              <dgm:constr type="w" for="ch" forName="circle2" refType="h" refFor="ch" refForName="circle2" op="equ"/>
              <dgm:constr type="wOff" for="ch" forName="circle2" refType="hOff" refFor="ch" refForName="circle2" op="equ"/>
              <dgm:constr type="b" for="ch" forName="circle2" refType="t" refFor="ch" refForName="vertSpace2"/>
              <dgm:constr type="r" for="ch" forName="rect2" refType="l" refFor="ch" refForName="space"/>
              <dgm:constr type="l" for="ch" forName="rect2"/>
              <dgm:constr type="h" for="ch" forName="rect2" refType="h" refFor="ch" refForName="circle2"/>
              <dgm:constr type="hOff" for="ch" forName="rect2" refType="hOff" refFor="ch" refForName="circle2"/>
              <dgm:constr type="b" for="ch" forName="rect2" refType="b" refFor="ch" refForName="circle2"/>
              <dgm:constr type="l" for="ch" forName="vertSpace3"/>
              <dgm:constr type="w" for="ch" forName="vertSpace3" refType="w"/>
              <dgm:constr type="h" for="ch" forName="vertSpace3" refType="h" refFor="ch" refForName="vertSpace2"/>
              <dgm:constr type="b" for="ch" forName="vertSpace3" refType="t" refFor="ch" refForName="vertSpace2"/>
              <dgm:constr type="ctrX" for="ch" forName="circle3" refType="r" refFor="ch" refForName="space"/>
              <dgm:constr type="h" for="ch" forName="circle3" refType="h" refFor="ch" refForName="circle1" fact="0.33333"/>
              <dgm:constr type="hOff" for="ch" forName="circle3" refType="h" refFor="ch" refForName="vertSpace2" fact="-0.66667"/>
              <dgm:constr type="w" for="ch" forName="circle3" refType="h" refFor="ch" refForName="circle3" op="equ"/>
              <dgm:constr type="wOff" for="ch" forName="circle3" refType="hOff" refFor="ch" refForName="circle3" op="equ"/>
              <dgm:constr type="b" for="ch" forName="circle3" refType="t" refFor="ch" refForName="vertSpace3"/>
              <dgm:constr type="r" for="ch" forName="rect3" refType="l" refFor="ch" refForName="space"/>
              <dgm:constr type="l" for="ch" forName="rect3"/>
              <dgm:constr type="h" for="ch" forName="rect3" refType="h" refFor="ch" refForName="circle3"/>
              <dgm:constr type="hOff" for="ch" forName="rect3" refType="hOff" refFor="ch" refForName="circle3"/>
              <dgm:constr type="b" for="ch" forName="rect3" refType="b" refFor="ch" refForName="circle3"/>
              <dgm:constr type="r" for="ch" forName="rect3ParTx" refType="l" refFor="ch" refForName="space"/>
              <dgm:constr type="w" for="ch" forName="rect3ParTx" refType="w" refFor="ch" refForName="rect3" fact="0.5"/>
              <dgm:constr type="t" for="ch" forName="rect3ParTx" refType="t" refFor="ch" refForName="rect3"/>
              <dgm:constr type="b" for="ch" forName="rect3ParTx" refType="b" refFor="ch" refForName="rect3"/>
              <dgm:constr type="r" for="ch" forName="rect3ChTx" refType="l" refFor="ch" refForName="rect3ParTx"/>
              <dgm:constr type="w" for="ch" forName="rect3ChTx" refType="w" refFor="ch" refForName="rect3ParTx"/>
              <dgm:constr type="t" for="ch" forName="rect3ChTx" refType="t" refFor="ch" refForName="rect3ParTx"/>
              <dgm:constr type="b" for="ch" forName="rect3ChTx" refType="b" refFor="ch" refForName="rect3ParTx"/>
              <dgm:constr type="r" for="ch" forName="rect3ParTxNoCh" refType="l" refFor="ch" refForName="space"/>
              <dgm:constr type="w" for="ch" forName="rect3ParTxNoCh" refType="w" refFor="ch" refForName="rect3"/>
              <dgm:constr type="t" for="ch" forName="rect3ParTxNoCh" refType="t" refFor="ch" refForName="rect3"/>
              <dgm:constr type="b" for="ch" forName="rect3ParTxNoCh" refType="b" refFor="ch" refForName="rect3"/>
              <dgm:constr type="r" for="ch" forName="rect1ParTx" refType="l" refFor="ch" refForName="space"/>
              <dgm:constr type="w" for="ch" forName="rect1ParTx" refType="w" refFor="ch" refForName="rect1" fact="0.5"/>
              <dgm:constr type="t" for="ch" forName="rect1ParTx" refType="t" refFor="ch" refForName="rect1"/>
              <dgm:constr type="b" for="ch" forName="rect1ParTx" refType="t" refFor="ch" refForName="rect2"/>
              <dgm:constr type="r" for="ch" forName="rect1ChTx" refType="l" refFor="ch" refForName="rect1ParTx"/>
              <dgm:constr type="w" for="ch" forName="rect1ChTx" refType="w" refFor="ch" refForName="rect1ParTx"/>
              <dgm:constr type="t" for="ch" forName="rect1ChTx" refType="t" refFor="ch" refForName="rect1ParTx"/>
              <dgm:constr type="b" for="ch" forName="rect1ChTx" refType="b" refFor="ch" refForName="rect1ParTx"/>
              <dgm:constr type="r" for="ch" forName="rect1ParTxNoCh" refType="l" refFor="ch" refForName="space"/>
              <dgm:constr type="w" for="ch" forName="rect1ParTxNoCh" refType="w" refFor="ch" refForName="rect1"/>
              <dgm:constr type="t" for="ch" forName="rect1ParTxNoCh" refType="t" refFor="ch" refForName="rect1"/>
              <dgm:constr type="b" for="ch" forName="rect1ParTxNoCh" refType="t" refFor="ch" refForName="rect2"/>
              <dgm:constr type="r" for="ch" forName="rect2ParTx" refType="l" refFor="ch" refForName="space"/>
              <dgm:constr type="w" for="ch" forName="rect2ParTx" refType="w" refFor="ch" refForName="rect2" fact="0.5"/>
              <dgm:constr type="t" for="ch" forName="rect2ParTx" refType="t" refFor="ch" refForName="rect2"/>
              <dgm:constr type="b" for="ch" forName="rect2ParTx" refType="t" refFor="ch" refForName="rect3"/>
              <dgm:constr type="r" for="ch" forName="rect2ChTx" refType="l" refFor="ch" refForName="rect2ParTx"/>
              <dgm:constr type="w" for="ch" forName="rect2ChTx" refType="w" refFor="ch" refForName="rect2ParTx"/>
              <dgm:constr type="t" for="ch" forName="rect2ChTx" refType="t" refFor="ch" refForName="rect2ParTx"/>
              <dgm:constr type="b" for="ch" forName="rect2ChTx" refType="b" refFor="ch" refForName="rect2ParTx"/>
              <dgm:constr type="r" for="ch" forName="rect2ParTxNoCh" refType="l" refFor="ch" refForName="space"/>
              <dgm:constr type="w" for="ch" forName="rect2ParTxNoCh" refType="w" refFor="ch" refForName="rect2"/>
              <dgm:constr type="t" for="ch" forName="rect2ParTxNoCh" refType="t" refFor="ch" refForName="rect2"/>
              <dgm:constr type="b" for="ch" forName="rect2ParTxNoCh" refType="t" refFor="ch" refForName="rect3"/>
              <dgm:constr type="primFontSz" for="ch" op="equ" val="65"/>
              <dgm:constr type="secFontSz" for="ch" op="equ" val="65"/>
            </dgm:constrLst>
          </dgm:if>
          <dgm:if name="Name17" axis="ch" ptType="node" func="cnt" op="equ" val="4">
            <dgm:constrLst>
              <dgm:constr type="userA" refType="w" fact="0.3"/>
              <dgm:constr type="w" for="ch" forName="circle1" refType="userA" fact="2"/>
              <dgm:constr type="h" for="ch" forName="circle1" refType="w" refFor="ch" refForName="circle1" op="equ"/>
              <dgm:constr type="r" for="ch" forName="circle1" refType="w"/>
              <dgm:constr type="ctrY" for="ch" forName="circle1" refType="h" fact="0.5"/>
              <dgm:constr type="r" for="ch" forName="space" refType="ctrX" refFor="ch" refForName="circle1"/>
              <dgm:constr type="w" for="ch" forName="space"/>
              <dgm:constr type="h" for="ch" forName="space" refType="h" refFor="ch" refForName="circle1"/>
              <dgm:constr type="b" for="ch" forName="space" refType="b" refFor="ch" refForName="circle1"/>
              <dgm:constr type="r" for="ch" forName="rect1" refType="l" refFor="ch" refForName="space"/>
              <dgm:constr type="l" for="ch" forName="rect1"/>
              <dgm:constr type="h" for="ch" forName="rect1" refType="h" refFor="ch" refForName="circle1"/>
              <dgm:constr type="b" for="ch" forName="rect1" refType="b" refFor="ch" refForName="circle1"/>
              <dgm:constr type="l" for="ch" forName="vertSpace2"/>
              <dgm:constr type="w" for="ch" forName="vertSpace2" refType="w"/>
              <dgm:constr type="h" for="ch" forName="vertSpace2" refType="h" refFor="ch" refForName="circle1" fact="0.05"/>
              <dgm:constr type="b" for="ch" forName="vertSpace2" refType="b" refFor="ch" refForName="circle1"/>
              <dgm:constr type="ctrX" for="ch" forName="circle2" refType="r" refFor="ch" refForName="space"/>
              <dgm:constr type="h" for="ch" forName="circle2" refType="h" refFor="ch" refForName="circle1" fact="0.75"/>
              <dgm:constr type="hOff" for="ch" forName="circle2" refType="h" refFor="ch" refForName="vertSpace2" fact="-0.25"/>
              <dgm:constr type="w" for="ch" forName="circle2" refType="h" refFor="ch" refForName="circle2" op="equ"/>
              <dgm:constr type="wOff" for="ch" forName="circle2" refType="hOff" refFor="ch" refForName="circle2" op="equ"/>
              <dgm:constr type="b" for="ch" forName="circle2" refType="t" refFor="ch" refForName="vertSpace2"/>
              <dgm:constr type="r" for="ch" forName="rect2" refType="l" refFor="ch" refForName="space"/>
              <dgm:constr type="l" for="ch" forName="rect2"/>
              <dgm:constr type="h" for="ch" forName="rect2" refType="h" refFor="ch" refForName="circle2"/>
              <dgm:constr type="hOff" for="ch" forName="rect2" refType="hOff" refFor="ch" refForName="circle2"/>
              <dgm:constr type="b" for="ch" forName="rect2" refType="b" refFor="ch" refForName="circle2"/>
              <dgm:constr type="l" for="ch" forName="vertSpace3"/>
              <dgm:constr type="w" for="ch" forName="vertSpace3" refType="w"/>
              <dgm:constr type="h" for="ch" forName="vertSpace3" refType="h" refFor="ch" refForName="vertSpace2"/>
              <dgm:constr type="b" for="ch" forName="vertSpace3" refType="t" refFor="ch" refForName="vertSpace2"/>
              <dgm:constr type="ctrX" for="ch" forName="circle3" refType="r" refFor="ch" refForName="space"/>
              <dgm:constr type="h" for="ch" forName="circle3" refType="h" refFor="ch" refForName="circle1" fact="0.5"/>
              <dgm:constr type="hOff" for="ch" forName="circle3" refType="h" refFor="ch" refForName="vertSpace2" fact="-0.5"/>
              <dgm:constr type="w" for="ch" forName="circle3" refType="h" refFor="ch" refForName="circle3" op="equ"/>
              <dgm:constr type="wOff" for="ch" forName="circle3" refType="hOff" refFor="ch" refForName="circle3" op="equ"/>
              <dgm:constr type="b" for="ch" forName="circle3" refType="t" refFor="ch" refForName="vertSpace3"/>
              <dgm:constr type="r" for="ch" forName="rect3" refType="l" refFor="ch" refForName="space"/>
              <dgm:constr type="l" for="ch" forName="rect3"/>
              <dgm:constr type="h" for="ch" forName="rect3" refType="h" refFor="ch" refForName="circle3"/>
              <dgm:constr type="hOff" for="ch" forName="rect3" refType="hOff" refFor="ch" refForName="circle3"/>
              <dgm:constr type="b" for="ch" forName="rect3" refType="b" refFor="ch" refForName="circle3"/>
              <dgm:constr type="l" for="ch" forName="vertSpace4"/>
              <dgm:constr type="w" for="ch" forName="vertSpace4" refType="w"/>
              <dgm:constr type="h" for="ch" forName="vertSpace4" refType="h" refFor="ch" refForName="vertSpace3"/>
              <dgm:constr type="b" for="ch" forName="vertSpace4" refType="t" refFor="ch" refForName="vertSpace3"/>
              <dgm:constr type="ctrX" for="ch" forName="circle4" refType="r" refFor="ch" refForName="space"/>
              <dgm:constr type="h" for="ch" forName="circle4" refType="h" refFor="ch" refForName="circle1" fact="0.25"/>
              <dgm:constr type="hOff" for="ch" forName="circle4" refType="h" refFor="ch" refForName="vertSpace2" fact="-0.75"/>
              <dgm:constr type="w" for="ch" forName="circle4" refType="h" refFor="ch" refForName="circle4" op="equ"/>
              <dgm:constr type="wOff" for="ch" forName="circle4" refType="hOff" refFor="ch" refForName="circle4" op="equ"/>
              <dgm:constr type="b" for="ch" forName="circle4" refType="t" refFor="ch" refForName="vertSpace4"/>
              <dgm:constr type="r" for="ch" forName="rect4" refType="l" refFor="ch" refForName="space"/>
              <dgm:constr type="l" for="ch" forName="rect4"/>
              <dgm:constr type="h" for="ch" forName="rect4" refType="h" refFor="ch" refForName="circle4"/>
              <dgm:constr type="hOff" for="ch" forName="rect4" refType="hOff" refFor="ch" refForName="circle4"/>
              <dgm:constr type="b" for="ch" forName="rect4" refType="b" refFor="ch" refForName="circle4"/>
              <dgm:constr type="r" for="ch" forName="rect4ParTx" refType="l" refFor="ch" refForName="space"/>
              <dgm:constr type="w" for="ch" forName="rect4ParTx" refType="w" refFor="ch" refForName="rect4" fact="0.5"/>
              <dgm:constr type="t" for="ch" forName="rect4ParTx" refType="t" refFor="ch" refForName="rect4"/>
              <dgm:constr type="b" for="ch" forName="rect4ParTx" refType="b" refFor="ch" refForName="rect4"/>
              <dgm:constr type="r" for="ch" forName="rect4ChTx" refType="l" refFor="ch" refForName="rect4ParTx"/>
              <dgm:constr type="w" for="ch" forName="rect4ChTx" refType="w" refFor="ch" refForName="rect4ParTx"/>
              <dgm:constr type="t" for="ch" forName="rect4ChTx" refType="t" refFor="ch" refForName="rect4ParTx"/>
              <dgm:constr type="b" for="ch" forName="rect4ChTx" refType="b" refFor="ch" refForName="rect4ParTx"/>
              <dgm:constr type="r" for="ch" forName="rect4ParTxNoCh" refType="l" refFor="ch" refForName="space"/>
              <dgm:constr type="w" for="ch" forName="rect4ParTxNoCh" refType="w" refFor="ch" refForName="rect4"/>
              <dgm:constr type="t" for="ch" forName="rect4ParTxNoCh" refType="t" refFor="ch" refForName="rect4"/>
              <dgm:constr type="b" for="ch" forName="rect4ParTxNoCh" refType="b" refFor="ch" refForName="rect4"/>
              <dgm:constr type="r" for="ch" forName="rect1ParTx" refType="l" refFor="ch" refForName="space"/>
              <dgm:constr type="w" for="ch" forName="rect1ParTx" refType="w" refFor="ch" refForName="rect1" fact="0.5"/>
              <dgm:constr type="t" for="ch" forName="rect1ParTx" refType="t" refFor="ch" refForName="rect1"/>
              <dgm:constr type="b" for="ch" forName="rect1ParTx" refType="t" refFor="ch" refForName="rect2"/>
              <dgm:constr type="r" for="ch" forName="rect1ChTx" refType="l" refFor="ch" refForName="rect1ParTx"/>
              <dgm:constr type="w" for="ch" forName="rect1ChTx" refType="w" refFor="ch" refForName="rect1ParTx"/>
              <dgm:constr type="t" for="ch" forName="rect1ChTx" refType="t" refFor="ch" refForName="rect1ParTx"/>
              <dgm:constr type="b" for="ch" forName="rect1ChTx" refType="b" refFor="ch" refForName="rect1ParTx"/>
              <dgm:constr type="r" for="ch" forName="rect1ParTxNoCh" refType="l" refFor="ch" refForName="space"/>
              <dgm:constr type="w" for="ch" forName="rect1ParTxNoCh" refType="w" refFor="ch" refForName="rect1"/>
              <dgm:constr type="t" for="ch" forName="rect1ParTxNoCh" refType="t" refFor="ch" refForName="rect1"/>
              <dgm:constr type="b" for="ch" forName="rect1ParTxNoCh" refType="t" refFor="ch" refForName="rect2"/>
              <dgm:constr type="r" for="ch" forName="rect2ParTx" refType="l" refFor="ch" refForName="space"/>
              <dgm:constr type="w" for="ch" forName="rect2ParTx" refType="w" refFor="ch" refForName="rect2" fact="0.5"/>
              <dgm:constr type="t" for="ch" forName="rect2ParTx" refType="t" refFor="ch" refForName="rect2"/>
              <dgm:constr type="b" for="ch" forName="rect2ParTx" refType="t" refFor="ch" refForName="rect3"/>
              <dgm:constr type="r" for="ch" forName="rect2ChTx" refType="l" refFor="ch" refForName="rect2ParTx"/>
              <dgm:constr type="w" for="ch" forName="rect2ChTx" refType="w" refFor="ch" refForName="rect2ParTx"/>
              <dgm:constr type="t" for="ch" forName="rect2ChTx" refType="t" refFor="ch" refForName="rect2ParTx"/>
              <dgm:constr type="b" for="ch" forName="rect2ChTx" refType="b" refFor="ch" refForName="rect2ParTx"/>
              <dgm:constr type="r" for="ch" forName="rect2ParTxNoCh" refType="l" refFor="ch" refForName="space"/>
              <dgm:constr type="w" for="ch" forName="rect2ParTxNoCh" refType="w" refFor="ch" refForName="rect2"/>
              <dgm:constr type="t" for="ch" forName="rect2ParTxNoCh" refType="t" refFor="ch" refForName="rect2"/>
              <dgm:constr type="b" for="ch" forName="rect2ParTxNoCh" refType="t" refFor="ch" refForName="rect3"/>
              <dgm:constr type="r" for="ch" forName="rect3ParTx" refType="l" refFor="ch" refForName="space"/>
              <dgm:constr type="w" for="ch" forName="rect3ParTx" refType="w" refFor="ch" refForName="rect3" fact="0.5"/>
              <dgm:constr type="t" for="ch" forName="rect3ParTx" refType="t" refFor="ch" refForName="rect3"/>
              <dgm:constr type="b" for="ch" forName="rect3ParTx" refType="t" refFor="ch" refForName="rect4"/>
              <dgm:constr type="r" for="ch" forName="rect3ChTx" refType="l" refFor="ch" refForName="rect3ParTx"/>
              <dgm:constr type="w" for="ch" forName="rect3ChTx" refType="w" refFor="ch" refForName="rect3ParTx"/>
              <dgm:constr type="t" for="ch" forName="rect3ChTx" refType="t" refFor="ch" refForName="rect3ParTx"/>
              <dgm:constr type="b" for="ch" forName="rect3ChTx" refType="b" refFor="ch" refForName="rect3ParTx"/>
              <dgm:constr type="r" for="ch" forName="rect3ParTxNoCh" refType="l" refFor="ch" refForName="space"/>
              <dgm:constr type="w" for="ch" forName="rect3ParTxNoCh" refType="w" refFor="ch" refForName="rect3"/>
              <dgm:constr type="t" for="ch" forName="rect3ParTxNoCh" refType="t" refFor="ch" refForName="rect3"/>
              <dgm:constr type="b" for="ch" forName="rect3ParTxNoCh" refType="t" refFor="ch" refForName="rect4"/>
              <dgm:constr type="primFontSz" for="ch" op="equ" val="65"/>
              <dgm:constr type="secFontSz" for="ch" op="equ" val="65"/>
            </dgm:constrLst>
          </dgm:if>
          <dgm:if name="Name18" axis="ch" ptType="node" func="cnt" op="equ" val="5">
            <dgm:constrLst>
              <dgm:constr type="userA" refType="w" fact="0.3"/>
              <dgm:constr type="w" for="ch" forName="circle1" refType="userA" fact="2"/>
              <dgm:constr type="h" for="ch" forName="circle1" refType="w" refFor="ch" refForName="circle1" op="equ"/>
              <dgm:constr type="r" for="ch" forName="circle1" refType="w"/>
              <dgm:constr type="ctrY" for="ch" forName="circle1" refType="h" fact="0.5"/>
              <dgm:constr type="r" for="ch" forName="space" refType="ctrX" refFor="ch" refForName="circle1"/>
              <dgm:constr type="w" for="ch" forName="space"/>
              <dgm:constr type="h" for="ch" forName="space" refType="h" refFor="ch" refForName="circle1"/>
              <dgm:constr type="b" for="ch" forName="space" refType="b" refFor="ch" refForName="circle1"/>
              <dgm:constr type="r" for="ch" forName="rect1" refType="l" refFor="ch" refForName="space"/>
              <dgm:constr type="l" for="ch" forName="rect1"/>
              <dgm:constr type="h" for="ch" forName="rect1" refType="h" refFor="ch" refForName="circle1"/>
              <dgm:constr type="b" for="ch" forName="rect1" refType="b" refFor="ch" refForName="circle1"/>
              <dgm:constr type="l" for="ch" forName="vertSpace2"/>
              <dgm:constr type="w" for="ch" forName="vertSpace2" refType="w"/>
              <dgm:constr type="h" for="ch" forName="vertSpace2" refType="h" refFor="ch" refForName="circle1" fact="0.05"/>
              <dgm:constr type="b" for="ch" forName="vertSpace2" refType="b" refFor="ch" refForName="circle1"/>
              <dgm:constr type="ctrX" for="ch" forName="circle2" refType="r" refFor="ch" refForName="space"/>
              <dgm:constr type="h" for="ch" forName="circle2" refType="h" refFor="ch" refForName="circle1" fact="0.8"/>
              <dgm:constr type="hOff" for="ch" forName="circle2" refType="h" refFor="ch" refForName="vertSpace2" fact="-0.2"/>
              <dgm:constr type="w" for="ch" forName="circle2" refType="h" refFor="ch" refForName="circle2" op="equ"/>
              <dgm:constr type="wOff" for="ch" forName="circle2" refType="hOff" refFor="ch" refForName="circle2" op="equ"/>
              <dgm:constr type="b" for="ch" forName="circle2" refType="t" refFor="ch" refForName="vertSpace2"/>
              <dgm:constr type="r" for="ch" forName="rect2" refType="l" refFor="ch" refForName="space"/>
              <dgm:constr type="l" for="ch" forName="rect2"/>
              <dgm:constr type="h" for="ch" forName="rect2" refType="h" refFor="ch" refForName="circle2"/>
              <dgm:constr type="hOff" for="ch" forName="rect2" refType="hOff" refFor="ch" refForName="circle2"/>
              <dgm:constr type="b" for="ch" forName="rect2" refType="b" refFor="ch" refForName="circle2"/>
              <dgm:constr type="l" for="ch" forName="vertSpace3"/>
              <dgm:constr type="w" for="ch" forName="vertSpace3" refType="w"/>
              <dgm:constr type="h" for="ch" forName="vertSpace3" refType="h" refFor="ch" refForName="vertSpace2"/>
              <dgm:constr type="b" for="ch" forName="vertSpace3" refType="t" refFor="ch" refForName="vertSpace2"/>
              <dgm:constr type="ctrX" for="ch" forName="circle3" refType="r" refFor="ch" refForName="space"/>
              <dgm:constr type="h" for="ch" forName="circle3" refType="h" refFor="ch" refForName="circle1" fact="0.6"/>
              <dgm:constr type="hOff" for="ch" forName="circle3" refType="h" refFor="ch" refForName="vertSpace2" fact="-0.4"/>
              <dgm:constr type="w" for="ch" forName="circle3" refType="h" refFor="ch" refForName="circle3" op="equ"/>
              <dgm:constr type="wOff" for="ch" forName="circle3" refType="hOff" refFor="ch" refForName="circle3" op="equ"/>
              <dgm:constr type="b" for="ch" forName="circle3" refType="t" refFor="ch" refForName="vertSpace3"/>
              <dgm:constr type="r" for="ch" forName="rect3" refType="l" refFor="ch" refForName="space"/>
              <dgm:constr type="l" for="ch" forName="rect3"/>
              <dgm:constr type="h" for="ch" forName="rect3" refType="h" refFor="ch" refForName="circle3"/>
              <dgm:constr type="hOff" for="ch" forName="rect3" refType="hOff" refFor="ch" refForName="circle3"/>
              <dgm:constr type="b" for="ch" forName="rect3" refType="b" refFor="ch" refForName="circle3"/>
              <dgm:constr type="l" for="ch" forName="vertSpace4"/>
              <dgm:constr type="w" for="ch" forName="vertSpace4" refType="w"/>
              <dgm:constr type="h" for="ch" forName="vertSpace4" refType="h" refFor="ch" refForName="vertSpace3"/>
              <dgm:constr type="b" for="ch" forName="vertSpace4" refType="t" refFor="ch" refForName="vertSpace3"/>
              <dgm:constr type="ctrX" for="ch" forName="circle4" refType="r" refFor="ch" refForName="space"/>
              <dgm:constr type="h" for="ch" forName="circle4" refType="h" refFor="ch" refForName="circle1" fact="0.4"/>
              <dgm:constr type="hOff" for="ch" forName="circle4" refType="h" refFor="ch" refForName="vertSpace2" fact="-0.6"/>
              <dgm:constr type="w" for="ch" forName="circle4" refType="h" refFor="ch" refForName="circle4" op="equ"/>
              <dgm:constr type="wOff" for="ch" forName="circle4" refType="hOff" refFor="ch" refForName="circle4" op="equ"/>
              <dgm:constr type="b" for="ch" forName="circle4" refType="t" refFor="ch" refForName="vertSpace4"/>
              <dgm:constr type="r" for="ch" forName="rect4" refType="l" refFor="ch" refForName="space"/>
              <dgm:constr type="l" for="ch" forName="rect4"/>
              <dgm:constr type="h" for="ch" forName="rect4" refType="h" refFor="ch" refForName="circle4"/>
              <dgm:constr type="hOff" for="ch" forName="rect4" refType="hOff" refFor="ch" refForName="circle4"/>
              <dgm:constr type="b" for="ch" forName="rect4" refType="b" refFor="ch" refForName="circle4"/>
              <dgm:constr type="l" for="ch" forName="vertSpace5"/>
              <dgm:constr type="w" for="ch" forName="vertSpace5" refType="w"/>
              <dgm:constr type="h" for="ch" forName="vertSpace5" refType="h" refFor="ch" refForName="vertSpace4"/>
              <dgm:constr type="b" for="ch" forName="vertSpace5" refType="t" refFor="ch" refForName="vertSpace4"/>
              <dgm:constr type="ctrX" for="ch" forName="circle5" refType="r" refFor="ch" refForName="space"/>
              <dgm:constr type="h" for="ch" forName="circle5" refType="h" refFor="ch" refForName="circle1" fact="0.2"/>
              <dgm:constr type="hOff" for="ch" forName="circle5" refType="h" refFor="ch" refForName="vertSpace2" fact="-0.8"/>
              <dgm:constr type="w" for="ch" forName="circle5" refType="h" refFor="ch" refForName="circle5" op="equ"/>
              <dgm:constr type="wOff" for="ch" forName="circle5" refType="hOff" refFor="ch" refForName="circle5" op="equ"/>
              <dgm:constr type="b" for="ch" forName="circle5" refType="t" refFor="ch" refForName="vertSpace5"/>
              <dgm:constr type="r" for="ch" forName="rect5" refType="l" refFor="ch" refForName="space"/>
              <dgm:constr type="l" for="ch" forName="rect5"/>
              <dgm:constr type="h" for="ch" forName="rect5" refType="h" refFor="ch" refForName="circle5"/>
              <dgm:constr type="hOff" for="ch" forName="rect5" refType="hOff" refFor="ch" refForName="circle5"/>
              <dgm:constr type="b" for="ch" forName="rect5" refType="b" refFor="ch" refForName="circle5"/>
              <dgm:constr type="r" for="ch" forName="rect5ParTx" refType="l" refFor="ch" refForName="space"/>
              <dgm:constr type="w" for="ch" forName="rect5ParTx" refType="w" refFor="ch" refForName="rect5" fact="0.5"/>
              <dgm:constr type="t" for="ch" forName="rect5ParTx" refType="t" refFor="ch" refForName="rect5"/>
              <dgm:constr type="b" for="ch" forName="rect5ParTx" refType="b" refFor="ch" refForName="rect5"/>
              <dgm:constr type="r" for="ch" forName="rect5ChTx" refType="l" refFor="ch" refForName="rect5ParTx"/>
              <dgm:constr type="w" for="ch" forName="rect5ChTx" refType="w" refFor="ch" refForName="rect5ParTx"/>
              <dgm:constr type="t" for="ch" forName="rect5ChTx" refType="t" refFor="ch" refForName="rect5ParTx"/>
              <dgm:constr type="b" for="ch" forName="rect5ChTx" refType="b" refFor="ch" refForName="rect5ParTx"/>
              <dgm:constr type="r" for="ch" forName="rect5ParTxNoCh" refType="l" refFor="ch" refForName="space"/>
              <dgm:constr type="w" for="ch" forName="rect5ParTxNoCh" refType="w" refFor="ch" refForName="rect5"/>
              <dgm:constr type="t" for="ch" forName="rect5ParTxNoCh" refType="t" refFor="ch" refForName="rect5"/>
              <dgm:constr type="b" for="ch" forName="rect5ParTxNoCh" refType="b" refFor="ch" refForName="rect5"/>
              <dgm:constr type="r" for="ch" forName="rect1ParTx" refType="l" refFor="ch" refForName="space"/>
              <dgm:constr type="w" for="ch" forName="rect1ParTx" refType="w" refFor="ch" refForName="rect1" fact="0.5"/>
              <dgm:constr type="t" for="ch" forName="rect1ParTx" refType="t" refFor="ch" refForName="rect1"/>
              <dgm:constr type="b" for="ch" forName="rect1ParTx" refType="t" refFor="ch" refForName="rect2"/>
              <dgm:constr type="r" for="ch" forName="rect1ChTx" refType="l" refFor="ch" refForName="rect1ParTx"/>
              <dgm:constr type="w" for="ch" forName="rect1ChTx" refType="w" refFor="ch" refForName="rect1ParTx"/>
              <dgm:constr type="t" for="ch" forName="rect1ChTx" refType="t" refFor="ch" refForName="rect1ParTx"/>
              <dgm:constr type="b" for="ch" forName="rect1ChTx" refType="b" refFor="ch" refForName="rect1ParTx"/>
              <dgm:constr type="r" for="ch" forName="rect1ParTxNoCh" refType="l" refFor="ch" refForName="space"/>
              <dgm:constr type="w" for="ch" forName="rect1ParTxNoCh" refType="w" refFor="ch" refForName="rect1"/>
              <dgm:constr type="t" for="ch" forName="rect1ParTxNoCh" refType="t" refFor="ch" refForName="rect1"/>
              <dgm:constr type="b" for="ch" forName="rect1ParTxNoCh" refType="t" refFor="ch" refForName="rect2"/>
              <dgm:constr type="r" for="ch" forName="rect2ParTx" refType="l" refFor="ch" refForName="space"/>
              <dgm:constr type="w" for="ch" forName="rect2ParTx" refType="w" refFor="ch" refForName="rect2" fact="0.5"/>
              <dgm:constr type="t" for="ch" forName="rect2ParTx" refType="t" refFor="ch" refForName="rect2"/>
              <dgm:constr type="b" for="ch" forName="rect2ParTx" refType="t" refFor="ch" refForName="rect3"/>
              <dgm:constr type="r" for="ch" forName="rect2ChTx" refType="l" refFor="ch" refForName="rect2ParTx"/>
              <dgm:constr type="w" for="ch" forName="rect2ChTx" refType="w" refFor="ch" refForName="rect2ParTx"/>
              <dgm:constr type="t" for="ch" forName="rect2ChTx" refType="t" refFor="ch" refForName="rect2ParTx"/>
              <dgm:constr type="b" for="ch" forName="rect2ChTx" refType="b" refFor="ch" refForName="rect2ParTx"/>
              <dgm:constr type="r" for="ch" forName="rect2ParTxNoCh" refType="l" refFor="ch" refForName="space"/>
              <dgm:constr type="w" for="ch" forName="rect2ParTxNoCh" refType="w" refFor="ch" refForName="rect2"/>
              <dgm:constr type="t" for="ch" forName="rect2ParTxNoCh" refType="t" refFor="ch" refForName="rect2"/>
              <dgm:constr type="b" for="ch" forName="rect2ParTxNoCh" refType="t" refFor="ch" refForName="rect3"/>
              <dgm:constr type="r" for="ch" forName="rect3ParTx" refType="l" refFor="ch" refForName="space"/>
              <dgm:constr type="w" for="ch" forName="rect3ParTx" refType="w" refFor="ch" refForName="rect3" fact="0.5"/>
              <dgm:constr type="t" for="ch" forName="rect3ParTx" refType="t" refFor="ch" refForName="rect3"/>
              <dgm:constr type="b" for="ch" forName="rect3ParTx" refType="t" refFor="ch" refForName="rect4"/>
              <dgm:constr type="r" for="ch" forName="rect3ChTx" refType="l" refFor="ch" refForName="rect3ParTx"/>
              <dgm:constr type="w" for="ch" forName="rect3ChTx" refType="w" refFor="ch" refForName="rect3ParTx"/>
              <dgm:constr type="t" for="ch" forName="rect3ChTx" refType="t" refFor="ch" refForName="rect3ParTx"/>
              <dgm:constr type="b" for="ch" forName="rect3ChTx" refType="b" refFor="ch" refForName="rect3ParTx"/>
              <dgm:constr type="r" for="ch" forName="rect3ParTxNoCh" refType="l" refFor="ch" refForName="space"/>
              <dgm:constr type="w" for="ch" forName="rect3ParTxNoCh" refType="w" refFor="ch" refForName="rect3"/>
              <dgm:constr type="t" for="ch" forName="rect3ParTxNoCh" refType="t" refFor="ch" refForName="rect3"/>
              <dgm:constr type="b" for="ch" forName="rect3ParTxNoCh" refType="t" refFor="ch" refForName="rect4"/>
              <dgm:constr type="r" for="ch" forName="rect4ParTx" refType="l" refFor="ch" refForName="space"/>
              <dgm:constr type="w" for="ch" forName="rect4ParTx" refType="w" refFor="ch" refForName="rect4" fact="0.5"/>
              <dgm:constr type="t" for="ch" forName="rect4ParTx" refType="t" refFor="ch" refForName="rect4"/>
              <dgm:constr type="b" for="ch" forName="rect4ParTx" refType="t" refFor="ch" refForName="rect5"/>
              <dgm:constr type="r" for="ch" forName="rect4ChTx" refType="l" refFor="ch" refForName="rect4ParTx"/>
              <dgm:constr type="w" for="ch" forName="rect4ChTx" refType="w" refFor="ch" refForName="rect4ParTx"/>
              <dgm:constr type="t" for="ch" forName="rect4ChTx" refType="t" refFor="ch" refForName="rect4ParTx"/>
              <dgm:constr type="b" for="ch" forName="rect4ChTx" refType="b" refFor="ch" refForName="rect4ParTx"/>
              <dgm:constr type="r" for="ch" forName="rect4ParTxNoCh" refType="l" refFor="ch" refForName="space"/>
              <dgm:constr type="w" for="ch" forName="rect4ParTxNoCh" refType="w" refFor="ch" refForName="rect4"/>
              <dgm:constr type="t" for="ch" forName="rect4ParTxNoCh" refType="t" refFor="ch" refForName="rect4"/>
              <dgm:constr type="b" for="ch" forName="rect4ParTxNoCh" refType="t" refFor="ch" refForName="rect5"/>
              <dgm:constr type="primFontSz" for="ch" op="equ" val="65"/>
              <dgm:constr type="secFontSz" for="ch" op="equ" val="65"/>
            </dgm:constrLst>
          </dgm:if>
          <dgm:if name="Name19" axis="ch" ptType="node" func="cnt" op="equ" val="6">
            <dgm:constrLst>
              <dgm:constr type="userA" refType="w" fact="0.3"/>
              <dgm:constr type="w" for="ch" forName="circle1" refType="userA" fact="2"/>
              <dgm:constr type="h" for="ch" forName="circle1" refType="w" refFor="ch" refForName="circle1" op="equ"/>
              <dgm:constr type="r" for="ch" forName="circle1" refType="w"/>
              <dgm:constr type="ctrY" for="ch" forName="circle1" refType="h" fact="0.5"/>
              <dgm:constr type="r" for="ch" forName="space" refType="ctrX" refFor="ch" refForName="circle1"/>
              <dgm:constr type="w" for="ch" forName="space"/>
              <dgm:constr type="h" for="ch" forName="space" refType="h" refFor="ch" refForName="circle1"/>
              <dgm:constr type="b" for="ch" forName="space" refType="b" refFor="ch" refForName="circle1"/>
              <dgm:constr type="r" for="ch" forName="rect1" refType="l" refFor="ch" refForName="space"/>
              <dgm:constr type="l" for="ch" forName="rect1"/>
              <dgm:constr type="h" for="ch" forName="rect1" refType="h" refFor="ch" refForName="circle1"/>
              <dgm:constr type="b" for="ch" forName="rect1" refType="b" refFor="ch" refForName="circle1"/>
              <dgm:constr type="l" for="ch" forName="vertSpace2"/>
              <dgm:constr type="w" for="ch" forName="vertSpace2" refType="w"/>
              <dgm:constr type="h" for="ch" forName="vertSpace2" refType="h" refFor="ch" refForName="circle1" fact="0.05"/>
              <dgm:constr type="b" for="ch" forName="vertSpace2" refType="b" refFor="ch" refForName="circle1"/>
              <dgm:constr type="ctrX" for="ch" forName="circle2" refType="r" refFor="ch" refForName="space"/>
              <dgm:constr type="h" for="ch" forName="circle2" refType="h" refFor="ch" refForName="circle1" fact="0.83333"/>
              <dgm:constr type="hOff" for="ch" forName="circle2" refType="h" refFor="ch" refForName="vertSpace2" fact="-0.16667"/>
              <dgm:constr type="w" for="ch" forName="circle2" refType="h" refFor="ch" refForName="circle2" op="equ"/>
              <dgm:constr type="wOff" for="ch" forName="circle2" refType="hOff" refFor="ch" refForName="circle2" op="equ"/>
              <dgm:constr type="b" for="ch" forName="circle2" refType="t" refFor="ch" refForName="vertSpace2"/>
              <dgm:constr type="r" for="ch" forName="rect2" refType="l" refFor="ch" refForName="space"/>
              <dgm:constr type="l" for="ch" forName="rect2"/>
              <dgm:constr type="h" for="ch" forName="rect2" refType="h" refFor="ch" refForName="circle2"/>
              <dgm:constr type="hOff" for="ch" forName="rect2" refType="hOff" refFor="ch" refForName="circle2"/>
              <dgm:constr type="b" for="ch" forName="rect2" refType="b" refFor="ch" refForName="circle2"/>
              <dgm:constr type="l" for="ch" forName="vertSpace3"/>
              <dgm:constr type="w" for="ch" forName="vertSpace3" refType="w"/>
              <dgm:constr type="h" for="ch" forName="vertSpace3" refType="h" refFor="ch" refForName="vertSpace2"/>
              <dgm:constr type="b" for="ch" forName="vertSpace3" refType="t" refFor="ch" refForName="vertSpace2"/>
              <dgm:constr type="ctrX" for="ch" forName="circle3" refType="r" refFor="ch" refForName="space"/>
              <dgm:constr type="h" for="ch" forName="circle3" refType="h" refFor="ch" refForName="circle1" fact="0.66667"/>
              <dgm:constr type="hOff" for="ch" forName="circle3" refType="h" refFor="ch" refForName="vertSpace2" fact="-0.33333"/>
              <dgm:constr type="w" for="ch" forName="circle3" refType="h" refFor="ch" refForName="circle3" op="equ"/>
              <dgm:constr type="wOff" for="ch" forName="circle3" refType="hOff" refFor="ch" refForName="circle3" op="equ"/>
              <dgm:constr type="b" for="ch" forName="circle3" refType="t" refFor="ch" refForName="vertSpace3"/>
              <dgm:constr type="r" for="ch" forName="rect3" refType="l" refFor="ch" refForName="space"/>
              <dgm:constr type="l" for="ch" forName="rect3"/>
              <dgm:constr type="h" for="ch" forName="rect3" refType="h" refFor="ch" refForName="circle3"/>
              <dgm:constr type="hOff" for="ch" forName="rect3" refType="hOff" refFor="ch" refForName="circle3"/>
              <dgm:constr type="b" for="ch" forName="rect3" refType="b" refFor="ch" refForName="circle3"/>
              <dgm:constr type="l" for="ch" forName="vertSpace4"/>
              <dgm:constr type="w" for="ch" forName="vertSpace4" refType="w"/>
              <dgm:constr type="h" for="ch" forName="vertSpace4" refType="h" refFor="ch" refForName="vertSpace3"/>
              <dgm:constr type="b" for="ch" forName="vertSpace4" refType="t" refFor="ch" refForName="vertSpace3"/>
              <dgm:constr type="ctrX" for="ch" forName="circle4" refType="r" refFor="ch" refForName="space"/>
              <dgm:constr type="h" for="ch" forName="circle4" refType="h" refFor="ch" refForName="circle1" fact="0.5"/>
              <dgm:constr type="hOff" for="ch" forName="circle4" refType="h" refFor="ch" refForName="vertSpace2" fact="-0.5"/>
              <dgm:constr type="w" for="ch" forName="circle4" refType="h" refFor="ch" refForName="circle4" op="equ"/>
              <dgm:constr type="wOff" for="ch" forName="circle4" refType="hOff" refFor="ch" refForName="circle4" op="equ"/>
              <dgm:constr type="b" for="ch" forName="circle4" refType="t" refFor="ch" refForName="vertSpace4"/>
              <dgm:constr type="r" for="ch" forName="rect4" refType="l" refFor="ch" refForName="space"/>
              <dgm:constr type="l" for="ch" forName="rect4"/>
              <dgm:constr type="h" for="ch" forName="rect4" refType="h" refFor="ch" refForName="circle4"/>
              <dgm:constr type="hOff" for="ch" forName="rect4" refType="hOff" refFor="ch" refForName="circle4"/>
              <dgm:constr type="b" for="ch" forName="rect4" refType="b" refFor="ch" refForName="circle4"/>
              <dgm:constr type="l" for="ch" forName="vertSpace5"/>
              <dgm:constr type="w" for="ch" forName="vertSpace5" refType="w"/>
              <dgm:constr type="h" for="ch" forName="vertSpace5" refType="h" refFor="ch" refForName="vertSpace4"/>
              <dgm:constr type="b" for="ch" forName="vertSpace5" refType="t" refFor="ch" refForName="vertSpace4"/>
              <dgm:constr type="ctrX" for="ch" forName="circle5" refType="r" refFor="ch" refForName="space"/>
              <dgm:constr type="h" for="ch" forName="circle5" refType="h" refFor="ch" refForName="circle1" fact="0.33333"/>
              <dgm:constr type="hOff" for="ch" forName="circle5" refType="h" refFor="ch" refForName="vertSpace2" fact="-0.66667"/>
              <dgm:constr type="w" for="ch" forName="circle5" refType="h" refFor="ch" refForName="circle5" op="equ"/>
              <dgm:constr type="wOff" for="ch" forName="circle5" refType="hOff" refFor="ch" refForName="circle5" op="equ"/>
              <dgm:constr type="b" for="ch" forName="circle5" refType="t" refFor="ch" refForName="vertSpace5"/>
              <dgm:constr type="r" for="ch" forName="rect5" refType="l" refFor="ch" refForName="space"/>
              <dgm:constr type="l" for="ch" forName="rect5"/>
              <dgm:constr type="h" for="ch" forName="rect5" refType="h" refFor="ch" refForName="circle5"/>
              <dgm:constr type="hOff" for="ch" forName="rect5" refType="hOff" refFor="ch" refForName="circle5"/>
              <dgm:constr type="b" for="ch" forName="rect5" refType="b" refFor="ch" refForName="circle5"/>
              <dgm:constr type="l" for="ch" forName="vertSpace6"/>
              <dgm:constr type="w" for="ch" forName="vertSpace6" refType="w"/>
              <dgm:constr type="h" for="ch" forName="vertSpace6" refType="h" refFor="ch" refForName="vertSpace5"/>
              <dgm:constr type="b" for="ch" forName="vertSpace6" refType="t" refFor="ch" refForName="vertSpace5"/>
              <dgm:constr type="ctrX" for="ch" forName="circle6" refType="r" refFor="ch" refForName="space"/>
              <dgm:constr type="h" for="ch" forName="circle6" refType="h" refFor="ch" refForName="circle1" fact="0.16667"/>
              <dgm:constr type="hOff" for="ch" forName="circle6" refType="h" refFor="ch" refForName="vertSpace2" fact="-0.83333"/>
              <dgm:constr type="w" for="ch" forName="circle6" refType="h" refFor="ch" refForName="circle6" op="equ"/>
              <dgm:constr type="wOff" for="ch" forName="circle6" refType="hOff" refFor="ch" refForName="circle6" op="equ"/>
              <dgm:constr type="b" for="ch" forName="circle6" refType="t" refFor="ch" refForName="vertSpace6"/>
              <dgm:constr type="r" for="ch" forName="rect6" refType="l" refFor="ch" refForName="space"/>
              <dgm:constr type="l" for="ch" forName="rect6"/>
              <dgm:constr type="h" for="ch" forName="rect6" refType="h" refFor="ch" refForName="circle6"/>
              <dgm:constr type="hOff" for="ch" forName="rect6" refType="hOff" refFor="ch" refForName="circle6"/>
              <dgm:constr type="b" for="ch" forName="rect6" refType="b" refFor="ch" refForName="circle6"/>
              <dgm:constr type="r" for="ch" forName="rect6ParTx" refType="l" refFor="ch" refForName="space"/>
              <dgm:constr type="w" for="ch" forName="rect6ParTx" refType="w" refFor="ch" refForName="rect6" fact="0.5"/>
              <dgm:constr type="t" for="ch" forName="rect6ParTx" refType="t" refFor="ch" refForName="rect6"/>
              <dgm:constr type="b" for="ch" forName="rect6ParTx" refType="b" refFor="ch" refForName="rect6"/>
              <dgm:constr type="r" for="ch" forName="rect6ChTx" refType="l" refFor="ch" refForName="rect6ParTx"/>
              <dgm:constr type="w" for="ch" forName="rect6ChTx" refType="w" refFor="ch" refForName="rect6ParTx"/>
              <dgm:constr type="t" for="ch" forName="rect6ChTx" refType="t" refFor="ch" refForName="rect6ParTx"/>
              <dgm:constr type="b" for="ch" forName="rect6ChTx" refType="b" refFor="ch" refForName="rect6ParTx"/>
              <dgm:constr type="r" for="ch" forName="rect6ParTxNoCh" refType="l" refFor="ch" refForName="space"/>
              <dgm:constr type="w" for="ch" forName="rect6ParTxNoCh" refType="w" refFor="ch" refForName="rect6"/>
              <dgm:constr type="t" for="ch" forName="rect6ParTxNoCh" refType="t" refFor="ch" refForName="rect6"/>
              <dgm:constr type="b" for="ch" forName="rect6ParTxNoCh" refType="b" refFor="ch" refForName="rect6"/>
              <dgm:constr type="r" for="ch" forName="rect1ParTx" refType="l" refFor="ch" refForName="space"/>
              <dgm:constr type="w" for="ch" forName="rect1ParTx" refType="w" refFor="ch" refForName="rect1" fact="0.5"/>
              <dgm:constr type="t" for="ch" forName="rect1ParTx" refType="t" refFor="ch" refForName="rect1"/>
              <dgm:constr type="b" for="ch" forName="rect1ParTx" refType="t" refFor="ch" refForName="rect2"/>
              <dgm:constr type="r" for="ch" forName="rect1ChTx" refType="l" refFor="ch" refForName="rect1ParTx"/>
              <dgm:constr type="w" for="ch" forName="rect1ChTx" refType="w" refFor="ch" refForName="rect1ParTx"/>
              <dgm:constr type="t" for="ch" forName="rect1ChTx" refType="t" refFor="ch" refForName="rect1ParTx"/>
              <dgm:constr type="b" for="ch" forName="rect1ChTx" refType="b" refFor="ch" refForName="rect1ParTx"/>
              <dgm:constr type="r" for="ch" forName="rect1ParTxNoCh" refType="l" refFor="ch" refForName="space"/>
              <dgm:constr type="w" for="ch" forName="rect1ParTxNoCh" refType="w" refFor="ch" refForName="rect1"/>
              <dgm:constr type="t" for="ch" forName="rect1ParTxNoCh" refType="t" refFor="ch" refForName="rect1"/>
              <dgm:constr type="b" for="ch" forName="rect1ParTxNoCh" refType="t" refFor="ch" refForName="rect2"/>
              <dgm:constr type="r" for="ch" forName="rect2ParTx" refType="l" refFor="ch" refForName="space"/>
              <dgm:constr type="w" for="ch" forName="rect2ParTx" refType="w" refFor="ch" refForName="rect2" fact="0.5"/>
              <dgm:constr type="t" for="ch" forName="rect2ParTx" refType="t" refFor="ch" refForName="rect2"/>
              <dgm:constr type="b" for="ch" forName="rect2ParTx" refType="t" refFor="ch" refForName="rect3"/>
              <dgm:constr type="r" for="ch" forName="rect2ChTx" refType="l" refFor="ch" refForName="rect2ParTx"/>
              <dgm:constr type="w" for="ch" forName="rect2ChTx" refType="w" refFor="ch" refForName="rect2ParTx"/>
              <dgm:constr type="t" for="ch" forName="rect2ChTx" refType="t" refFor="ch" refForName="rect2ParTx"/>
              <dgm:constr type="b" for="ch" forName="rect2ChTx" refType="b" refFor="ch" refForName="rect2ParTx"/>
              <dgm:constr type="r" for="ch" forName="rect2ParTxNoCh" refType="l" refFor="ch" refForName="space"/>
              <dgm:constr type="w" for="ch" forName="rect2ParTxNoCh" refType="w" refFor="ch" refForName="rect2"/>
              <dgm:constr type="t" for="ch" forName="rect2ParTxNoCh" refType="t" refFor="ch" refForName="rect2"/>
              <dgm:constr type="b" for="ch" forName="rect2ParTxNoCh" refType="t" refFor="ch" refForName="rect3"/>
              <dgm:constr type="r" for="ch" forName="rect3ParTx" refType="l" refFor="ch" refForName="space"/>
              <dgm:constr type="w" for="ch" forName="rect3ParTx" refType="w" refFor="ch" refForName="rect3" fact="0.5"/>
              <dgm:constr type="t" for="ch" forName="rect3ParTx" refType="t" refFor="ch" refForName="rect3"/>
              <dgm:constr type="b" for="ch" forName="rect3ParTx" refType="t" refFor="ch" refForName="rect4"/>
              <dgm:constr type="r" for="ch" forName="rect3ChTx" refType="l" refFor="ch" refForName="rect3ParTx"/>
              <dgm:constr type="w" for="ch" forName="rect3ChTx" refType="w" refFor="ch" refForName="rect3ParTx"/>
              <dgm:constr type="t" for="ch" forName="rect3ChTx" refType="t" refFor="ch" refForName="rect3ParTx"/>
              <dgm:constr type="b" for="ch" forName="rect3ChTx" refType="b" refFor="ch" refForName="rect3ParTx"/>
              <dgm:constr type="r" for="ch" forName="rect3ParTxNoCh" refType="l" refFor="ch" refForName="space"/>
              <dgm:constr type="w" for="ch" forName="rect3ParTxNoCh" refType="w" refFor="ch" refForName="rect3"/>
              <dgm:constr type="t" for="ch" forName="rect3ParTxNoCh" refType="t" refFor="ch" refForName="rect3"/>
              <dgm:constr type="b" for="ch" forName="rect3ParTxNoCh" refType="t" refFor="ch" refForName="rect4"/>
              <dgm:constr type="r" for="ch" forName="rect4ParTx" refType="l" refFor="ch" refForName="space"/>
              <dgm:constr type="w" for="ch" forName="rect4ParTx" refType="w" refFor="ch" refForName="rect4" fact="0.5"/>
              <dgm:constr type="t" for="ch" forName="rect4ParTx" refType="t" refFor="ch" refForName="rect4"/>
              <dgm:constr type="b" for="ch" forName="rect4ParTx" refType="t" refFor="ch" refForName="rect5"/>
              <dgm:constr type="r" for="ch" forName="rect4ChTx" refType="l" refFor="ch" refForName="rect4ParTx"/>
              <dgm:constr type="w" for="ch" forName="rect4ChTx" refType="w" refFor="ch" refForName="rect4ParTx"/>
              <dgm:constr type="t" for="ch" forName="rect4ChTx" refType="t" refFor="ch" refForName="rect4ParTx"/>
              <dgm:constr type="b" for="ch" forName="rect4ChTx" refType="b" refFor="ch" refForName="rect4ParTx"/>
              <dgm:constr type="r" for="ch" forName="rect4ParTxNoCh" refType="l" refFor="ch" refForName="space"/>
              <dgm:constr type="w" for="ch" forName="rect4ParTxNoCh" refType="w" refFor="ch" refForName="rect4"/>
              <dgm:constr type="t" for="ch" forName="rect4ParTxNoCh" refType="t" refFor="ch" refForName="rect4"/>
              <dgm:constr type="b" for="ch" forName="rect4ParTxNoCh" refType="t" refFor="ch" refForName="rect5"/>
              <dgm:constr type="r" for="ch" forName="rect5ParTx" refType="l" refFor="ch" refForName="space"/>
              <dgm:constr type="w" for="ch" forName="rect5ParTx" refType="w" refFor="ch" refForName="rect5" fact="0.5"/>
              <dgm:constr type="t" for="ch" forName="rect5ParTx" refType="t" refFor="ch" refForName="rect5"/>
              <dgm:constr type="b" for="ch" forName="rect5ParTx" refType="t" refFor="ch" refForName="rect6"/>
              <dgm:constr type="r" for="ch" forName="rect5ChTx" refType="l" refFor="ch" refForName="rect5ParTx"/>
              <dgm:constr type="w" for="ch" forName="rect5ChTx" refType="w" refFor="ch" refForName="rect5ParTx"/>
              <dgm:constr type="t" for="ch" forName="rect5ChTx" refType="t" refFor="ch" refForName="rect5ParTx"/>
              <dgm:constr type="b" for="ch" forName="rect5ChTx" refType="b" refFor="ch" refForName="rect5ParTx"/>
              <dgm:constr type="r" for="ch" forName="rect5ParTxNoCh" refType="l" refFor="ch" refForName="space"/>
              <dgm:constr type="w" for="ch" forName="rect5ParTxNoCh" refType="w" refFor="ch" refForName="rect5"/>
              <dgm:constr type="t" for="ch" forName="rect5ParTxNoCh" refType="t" refFor="ch" refForName="rect5"/>
              <dgm:constr type="b" for="ch" forName="rect5ParTxNoCh" refType="t" refFor="ch" refForName="rect6"/>
              <dgm:constr type="primFontSz" for="ch" op="equ" val="65"/>
              <dgm:constr type="secFontSz" for="ch" op="equ" val="65"/>
            </dgm:constrLst>
          </dgm:if>
          <dgm:if name="Name20" axis="ch" ptType="node" func="cnt" op="gte" val="7">
            <dgm:constrLst>
              <dgm:constr type="userA" refType="w" fact="0.3"/>
              <dgm:constr type="w" for="ch" forName="circle1" refType="userA" fact="2"/>
              <dgm:constr type="h" for="ch" forName="circle1" refType="w" refFor="ch" refForName="circle1" op="equ"/>
              <dgm:constr type="r" for="ch" forName="circle1" refType="w"/>
              <dgm:constr type="ctrY" for="ch" forName="circle1" refType="h" fact="0.5"/>
              <dgm:constr type="r" for="ch" forName="space" refType="ctrX" refFor="ch" refForName="circle1"/>
              <dgm:constr type="w" for="ch" forName="space"/>
              <dgm:constr type="h" for="ch" forName="space" refType="h" refFor="ch" refForName="circle1"/>
              <dgm:constr type="b" for="ch" forName="space" refType="b" refFor="ch" refForName="circle1"/>
              <dgm:constr type="r" for="ch" forName="rect1" refType="l" refFor="ch" refForName="space"/>
              <dgm:constr type="l" for="ch" forName="rect1"/>
              <dgm:constr type="h" for="ch" forName="rect1" refType="h" refFor="ch" refForName="circle1"/>
              <dgm:constr type="b" for="ch" forName="rect1" refType="b" refFor="ch" refForName="circle1"/>
              <dgm:constr type="l" for="ch" forName="vertSpace2"/>
              <dgm:constr type="w" for="ch" forName="vertSpace2" refType="w"/>
              <dgm:constr type="h" for="ch" forName="vertSpace2" refType="h" refFor="ch" refForName="circle1" fact="0.05"/>
              <dgm:constr type="b" for="ch" forName="vertSpace2" refType="b" refFor="ch" refForName="circle1"/>
              <dgm:constr type="ctrX" for="ch" forName="circle2" refType="r" refFor="ch" refForName="space"/>
              <dgm:constr type="h" for="ch" forName="circle2" refType="h" refFor="ch" refForName="circle1" fact="0.85714"/>
              <dgm:constr type="hOff" for="ch" forName="circle2" refType="h" refFor="ch" refForName="vertSpace2" fact="-0.14286"/>
              <dgm:constr type="w" for="ch" forName="circle2" refType="h" refFor="ch" refForName="circle2" op="equ"/>
              <dgm:constr type="wOff" for="ch" forName="circle2" refType="hOff" refFor="ch" refForName="circle2" op="equ"/>
              <dgm:constr type="b" for="ch" forName="circle2" refType="t" refFor="ch" refForName="vertSpace2"/>
              <dgm:constr type="r" for="ch" forName="rect2" refType="l" refFor="ch" refForName="space"/>
              <dgm:constr type="l" for="ch" forName="rect2"/>
              <dgm:constr type="h" for="ch" forName="rect2" refType="h" refFor="ch" refForName="circle2"/>
              <dgm:constr type="hOff" for="ch" forName="rect2" refType="hOff" refFor="ch" refForName="circle2"/>
              <dgm:constr type="b" for="ch" forName="rect2" refType="b" refFor="ch" refForName="circle2"/>
              <dgm:constr type="l" for="ch" forName="vertSpace3"/>
              <dgm:constr type="w" for="ch" forName="vertSpace3" refType="w"/>
              <dgm:constr type="h" for="ch" forName="vertSpace3" refType="h" refFor="ch" refForName="vertSpace2"/>
              <dgm:constr type="b" for="ch" forName="vertSpace3" refType="t" refFor="ch" refForName="vertSpace2"/>
              <dgm:constr type="ctrX" for="ch" forName="circle3" refType="r" refFor="ch" refForName="space"/>
              <dgm:constr type="h" for="ch" forName="circle3" refType="h" refFor="ch" refForName="circle1" fact="0.71429"/>
              <dgm:constr type="hOff" for="ch" forName="circle3" refType="h" refFor="ch" refForName="vertSpace2" fact="-0.28571"/>
              <dgm:constr type="w" for="ch" forName="circle3" refType="h" refFor="ch" refForName="circle3" op="equ"/>
              <dgm:constr type="wOff" for="ch" forName="circle3" refType="hOff" refFor="ch" refForName="circle3" op="equ"/>
              <dgm:constr type="b" for="ch" forName="circle3" refType="t" refFor="ch" refForName="vertSpace3"/>
              <dgm:constr type="r" for="ch" forName="rect3" refType="l" refFor="ch" refForName="space"/>
              <dgm:constr type="l" for="ch" forName="rect3"/>
              <dgm:constr type="h" for="ch" forName="rect3" refType="h" refFor="ch" refForName="circle3"/>
              <dgm:constr type="hOff" for="ch" forName="rect3" refType="hOff" refFor="ch" refForName="circle3"/>
              <dgm:constr type="b" for="ch" forName="rect3" refType="b" refFor="ch" refForName="circle3"/>
              <dgm:constr type="l" for="ch" forName="vertSpace4"/>
              <dgm:constr type="w" for="ch" forName="vertSpace4" refType="w"/>
              <dgm:constr type="h" for="ch" forName="vertSpace4" refType="h" refFor="ch" refForName="vertSpace3"/>
              <dgm:constr type="b" for="ch" forName="vertSpace4" refType="t" refFor="ch" refForName="vertSpace3"/>
              <dgm:constr type="ctrX" for="ch" forName="circle4" refType="r" refFor="ch" refForName="space"/>
              <dgm:constr type="h" for="ch" forName="circle4" refType="h" refFor="ch" refForName="circle1" fact="0.57143"/>
              <dgm:constr type="hOff" for="ch" forName="circle4" refType="h" refFor="ch" refForName="vertSpace2" fact="-0.42857"/>
              <dgm:constr type="w" for="ch" forName="circle4" refType="h" refFor="ch" refForName="circle4" op="equ"/>
              <dgm:constr type="wOff" for="ch" forName="circle4" refType="hOff" refFor="ch" refForName="circle4" op="equ"/>
              <dgm:constr type="b" for="ch" forName="circle4" refType="t" refFor="ch" refForName="vertSpace4"/>
              <dgm:constr type="r" for="ch" forName="rect4" refType="l" refFor="ch" refForName="space"/>
              <dgm:constr type="l" for="ch" forName="rect4"/>
              <dgm:constr type="h" for="ch" forName="rect4" refType="h" refFor="ch" refForName="circle4"/>
              <dgm:constr type="hOff" for="ch" forName="rect4" refType="hOff" refFor="ch" refForName="circle4"/>
              <dgm:constr type="b" for="ch" forName="rect4" refType="b" refFor="ch" refForName="circle4"/>
              <dgm:constr type="l" for="ch" forName="vertSpace5"/>
              <dgm:constr type="w" for="ch" forName="vertSpace5" refType="w"/>
              <dgm:constr type="h" for="ch" forName="vertSpace5" refType="h" refFor="ch" refForName="vertSpace4"/>
              <dgm:constr type="b" for="ch" forName="vertSpace5" refType="t" refFor="ch" refForName="vertSpace4"/>
              <dgm:constr type="ctrX" for="ch" forName="circle5" refType="r" refFor="ch" refForName="space"/>
              <dgm:constr type="h" for="ch" forName="circle5" refType="h" refFor="ch" refForName="circle1" fact="0.42857"/>
              <dgm:constr type="hOff" for="ch" forName="circle5" refType="h" refFor="ch" refForName="vertSpace2" fact="-0.57143"/>
              <dgm:constr type="w" for="ch" forName="circle5" refType="h" refFor="ch" refForName="circle5" op="equ"/>
              <dgm:constr type="wOff" for="ch" forName="circle5" refType="hOff" refFor="ch" refForName="circle5" op="equ"/>
              <dgm:constr type="b" for="ch" forName="circle5" refType="t" refFor="ch" refForName="vertSpace5"/>
              <dgm:constr type="r" for="ch" forName="rect5" refType="l" refFor="ch" refForName="space"/>
              <dgm:constr type="l" for="ch" forName="rect5"/>
              <dgm:constr type="h" for="ch" forName="rect5" refType="h" refFor="ch" refForName="circle5"/>
              <dgm:constr type="hOff" for="ch" forName="rect5" refType="hOff" refFor="ch" refForName="circle5"/>
              <dgm:constr type="b" for="ch" forName="rect5" refType="b" refFor="ch" refForName="circle5"/>
              <dgm:constr type="l" for="ch" forName="vertSpace6"/>
              <dgm:constr type="w" for="ch" forName="vertSpace6" refType="w"/>
              <dgm:constr type="h" for="ch" forName="vertSpace6" refType="h" refFor="ch" refForName="vertSpace5"/>
              <dgm:constr type="b" for="ch" forName="vertSpace6" refType="t" refFor="ch" refForName="vertSpace5"/>
              <dgm:constr type="ctrX" for="ch" forName="circle6" refType="r" refFor="ch" refForName="space"/>
              <dgm:constr type="h" for="ch" forName="circle6" refType="h" refFor="ch" refForName="circle1" fact="0.28571"/>
              <dgm:constr type="hOff" for="ch" forName="circle6" refType="h" refFor="ch" refForName="vertSpace2" fact="-0.71429"/>
              <dgm:constr type="w" for="ch" forName="circle6" refType="h" refFor="ch" refForName="circle6" op="equ"/>
              <dgm:constr type="wOff" for="ch" forName="circle6" refType="hOff" refFor="ch" refForName="circle6" op="equ"/>
              <dgm:constr type="b" for="ch" forName="circle6" refType="t" refFor="ch" refForName="vertSpace6"/>
              <dgm:constr type="r" for="ch" forName="rect6" refType="l" refFor="ch" refForName="space"/>
              <dgm:constr type="l" for="ch" forName="rect6"/>
              <dgm:constr type="h" for="ch" forName="rect6" refType="h" refFor="ch" refForName="circle6"/>
              <dgm:constr type="hOff" for="ch" forName="rect6" refType="hOff" refFor="ch" refForName="circle6"/>
              <dgm:constr type="b" for="ch" forName="rect6" refType="b" refFor="ch" refForName="circle6"/>
              <dgm:constr type="l" for="ch" forName="vertSpace7"/>
              <dgm:constr type="w" for="ch" forName="vertSpace7" refType="w"/>
              <dgm:constr type="h" for="ch" forName="vertSpace7" refType="h" refFor="ch" refForName="vertSpace6"/>
              <dgm:constr type="b" for="ch" forName="vertSpace7" refType="t" refFor="ch" refForName="vertSpace6"/>
              <dgm:constr type="ctrX" for="ch" forName="circle7" refType="r" refFor="ch" refForName="space"/>
              <dgm:constr type="h" for="ch" forName="circle7" refType="h" refFor="ch" refForName="circle1" fact="0.14286"/>
              <dgm:constr type="hOff" for="ch" forName="circle7" refType="h" refFor="ch" refForName="vertSpace2" fact="-0.85714"/>
              <dgm:constr type="w" for="ch" forName="circle7" refType="h" refFor="ch" refForName="circle7" op="equ"/>
              <dgm:constr type="wOff" for="ch" forName="circle7" refType="hOff" refFor="ch" refForName="circle7" op="equ"/>
              <dgm:constr type="b" for="ch" forName="circle7" refType="t" refFor="ch" refForName="vertSpace7"/>
              <dgm:constr type="r" for="ch" forName="rect7" refType="l" refFor="ch" refForName="space"/>
              <dgm:constr type="l" for="ch" forName="rect7"/>
              <dgm:constr type="h" for="ch" forName="rect7" refType="h" refFor="ch" refForName="circle7"/>
              <dgm:constr type="hOff" for="ch" forName="rect7" refType="hOff" refFor="ch" refForName="circle7"/>
              <dgm:constr type="b" for="ch" forName="rect7" refType="b" refFor="ch" refForName="circle7"/>
              <dgm:constr type="r" for="ch" forName="rect7ParTx" refType="l" refFor="ch" refForName="space"/>
              <dgm:constr type="w" for="ch" forName="rect7ParTx" refType="w" refFor="ch" refForName="rect7" fact="0.5"/>
              <dgm:constr type="t" for="ch" forName="rect7ParTx" refType="t" refFor="ch" refForName="rect7"/>
              <dgm:constr type="b" for="ch" forName="rect7ParTx" refType="b" refFor="ch" refForName="rect7"/>
              <dgm:constr type="r" for="ch" forName="rect7ChTx" refType="l" refFor="ch" refForName="rect7ParTx"/>
              <dgm:constr type="w" for="ch" forName="rect7ChTx" refType="w" refFor="ch" refForName="rect7ParTx"/>
              <dgm:constr type="t" for="ch" forName="rect7ChTx" refType="t" refFor="ch" refForName="rect7ParTx"/>
              <dgm:constr type="b" for="ch" forName="rect7ChTx" refType="b" refFor="ch" refForName="rect7ParTx"/>
              <dgm:constr type="r" for="ch" forName="rect7ParTxNoCh" refType="l" refFor="ch" refForName="space"/>
              <dgm:constr type="w" for="ch" forName="rect7ParTxNoCh" refType="w" refFor="ch" refForName="rect7"/>
              <dgm:constr type="t" for="ch" forName="rect7ParTxNoCh" refType="t" refFor="ch" refForName="rect7"/>
              <dgm:constr type="b" for="ch" forName="rect7ParTxNoCh" refType="b" refFor="ch" refForName="rect7"/>
              <dgm:constr type="r" for="ch" forName="rect1ParTx" refType="l" refFor="ch" refForName="space"/>
              <dgm:constr type="w" for="ch" forName="rect1ParTx" refType="w" refFor="ch" refForName="rect1" fact="0.5"/>
              <dgm:constr type="t" for="ch" forName="rect1ParTx" refType="t" refFor="ch" refForName="rect1"/>
              <dgm:constr type="b" for="ch" forName="rect1ParTx" refType="t" refFor="ch" refForName="rect2"/>
              <dgm:constr type="r" for="ch" forName="rect1ChTx" refType="l" refFor="ch" refForName="rect1ParTx"/>
              <dgm:constr type="w" for="ch" forName="rect1ChTx" refType="w" refFor="ch" refForName="rect1ParTx"/>
              <dgm:constr type="t" for="ch" forName="rect1ChTx" refType="t" refFor="ch" refForName="rect1ParTx"/>
              <dgm:constr type="b" for="ch" forName="rect1ChTx" refType="b" refFor="ch" refForName="rect1ParTx"/>
              <dgm:constr type="r" for="ch" forName="rect1ParTxNoCh" refType="l" refFor="ch" refForName="space"/>
              <dgm:constr type="w" for="ch" forName="rect1ParTxNoCh" refType="w" refFor="ch" refForName="rect1"/>
              <dgm:constr type="t" for="ch" forName="rect1ParTxNoCh" refType="t" refFor="ch" refForName="rect1"/>
              <dgm:constr type="b" for="ch" forName="rect1ParTxNoCh" refType="t" refFor="ch" refForName="rect2"/>
              <dgm:constr type="r" for="ch" forName="rect2ParTx" refType="l" refFor="ch" refForName="space"/>
              <dgm:constr type="w" for="ch" forName="rect2ParTx" refType="w" refFor="ch" refForName="rect2" fact="0.5"/>
              <dgm:constr type="t" for="ch" forName="rect2ParTx" refType="t" refFor="ch" refForName="rect2"/>
              <dgm:constr type="b" for="ch" forName="rect2ParTx" refType="t" refFor="ch" refForName="rect3"/>
              <dgm:constr type="r" for="ch" forName="rect2ChTx" refType="l" refFor="ch" refForName="rect2ParTx"/>
              <dgm:constr type="w" for="ch" forName="rect2ChTx" refType="w" refFor="ch" refForName="rect2ParTx"/>
              <dgm:constr type="t" for="ch" forName="rect2ChTx" refType="t" refFor="ch" refForName="rect2ParTx"/>
              <dgm:constr type="b" for="ch" forName="rect2ChTx" refType="b" refFor="ch" refForName="rect2ParTx"/>
              <dgm:constr type="r" for="ch" forName="rect2ParTxNoCh" refType="l" refFor="ch" refForName="space"/>
              <dgm:constr type="w" for="ch" forName="rect2ParTxNoCh" refType="w" refFor="ch" refForName="rect2"/>
              <dgm:constr type="t" for="ch" forName="rect2ParTxNoCh" refType="t" refFor="ch" refForName="rect2"/>
              <dgm:constr type="b" for="ch" forName="rect2ParTxNoCh" refType="t" refFor="ch" refForName="rect3"/>
              <dgm:constr type="r" for="ch" forName="rect3ParTx" refType="l" refFor="ch" refForName="space"/>
              <dgm:constr type="w" for="ch" forName="rect3ParTx" refType="w" refFor="ch" refForName="rect3" fact="0.5"/>
              <dgm:constr type="t" for="ch" forName="rect3ParTx" refType="t" refFor="ch" refForName="rect3"/>
              <dgm:constr type="b" for="ch" forName="rect3ParTx" refType="t" refFor="ch" refForName="rect4"/>
              <dgm:constr type="r" for="ch" forName="rect3ChTx" refType="l" refFor="ch" refForName="rect3ParTx"/>
              <dgm:constr type="w" for="ch" forName="rect3ChTx" refType="w" refFor="ch" refForName="rect3ParTx"/>
              <dgm:constr type="t" for="ch" forName="rect3ChTx" refType="t" refFor="ch" refForName="rect3ParTx"/>
              <dgm:constr type="b" for="ch" forName="rect3ChTx" refType="b" refFor="ch" refForName="rect3ParTx"/>
              <dgm:constr type="r" for="ch" forName="rect3ParTxNoCh" refType="l" refFor="ch" refForName="space"/>
              <dgm:constr type="w" for="ch" forName="rect3ParTxNoCh" refType="w" refFor="ch" refForName="rect3"/>
              <dgm:constr type="t" for="ch" forName="rect3ParTxNoCh" refType="t" refFor="ch" refForName="rect3"/>
              <dgm:constr type="b" for="ch" forName="rect3ParTxNoCh" refType="t" refFor="ch" refForName="rect4"/>
              <dgm:constr type="r" for="ch" forName="rect4ParTx" refType="l" refFor="ch" refForName="space"/>
              <dgm:constr type="w" for="ch" forName="rect4ParTx" refType="w" refFor="ch" refForName="rect4" fact="0.5"/>
              <dgm:constr type="t" for="ch" forName="rect4ParTx" refType="t" refFor="ch" refForName="rect4"/>
              <dgm:constr type="b" for="ch" forName="rect4ParTx" refType="t" refFor="ch" refForName="rect5"/>
              <dgm:constr type="r" for="ch" forName="rect4ChTx" refType="l" refFor="ch" refForName="rect4ParTx"/>
              <dgm:constr type="w" for="ch" forName="rect4ChTx" refType="w" refFor="ch" refForName="rect4ParTx"/>
              <dgm:constr type="t" for="ch" forName="rect4ChTx" refType="t" refFor="ch" refForName="rect4ParTx"/>
              <dgm:constr type="b" for="ch" forName="rect4ChTx" refType="b" refFor="ch" refForName="rect4ParTx"/>
              <dgm:constr type="r" for="ch" forName="rect4ParTxNoCh" refType="l" refFor="ch" refForName="space"/>
              <dgm:constr type="w" for="ch" forName="rect4ParTxNoCh" refType="w" refFor="ch" refForName="rect4"/>
              <dgm:constr type="t" for="ch" forName="rect4ParTxNoCh" refType="t" refFor="ch" refForName="rect4"/>
              <dgm:constr type="b" for="ch" forName="rect4ParTxNoCh" refType="t" refFor="ch" refForName="rect5"/>
              <dgm:constr type="r" for="ch" forName="rect5ParTx" refType="l" refFor="ch" refForName="space"/>
              <dgm:constr type="w" for="ch" forName="rect5ParTx" refType="w" refFor="ch" refForName="rect5" fact="0.5"/>
              <dgm:constr type="t" for="ch" forName="rect5ParTx" refType="t" refFor="ch" refForName="rect5"/>
              <dgm:constr type="b" for="ch" forName="rect5ParTx" refType="t" refFor="ch" refForName="rect6"/>
              <dgm:constr type="r" for="ch" forName="rect5ChTx" refType="l" refFor="ch" refForName="rect5ParTx"/>
              <dgm:constr type="w" for="ch" forName="rect5ChTx" refType="w" refFor="ch" refForName="rect5ParTx"/>
              <dgm:constr type="t" for="ch" forName="rect5ChTx" refType="t" refFor="ch" refForName="rect5ParTx"/>
              <dgm:constr type="b" for="ch" forName="rect5ChTx" refType="b" refFor="ch" refForName="rect5ParTx"/>
              <dgm:constr type="r" for="ch" forName="rect5ParTxNoCh" refType="l" refFor="ch" refForName="space"/>
              <dgm:constr type="w" for="ch" forName="rect5ParTxNoCh" refType="w" refFor="ch" refForName="rect5"/>
              <dgm:constr type="t" for="ch" forName="rect5ParTxNoCh" refType="t" refFor="ch" refForName="rect5"/>
              <dgm:constr type="b" for="ch" forName="rect5ParTxNoCh" refType="t" refFor="ch" refForName="rect6"/>
              <dgm:constr type="r" for="ch" forName="rect6ParTx" refType="l" refFor="ch" refForName="space"/>
              <dgm:constr type="w" for="ch" forName="rect6ParTx" refType="w" refFor="ch" refForName="rect6" fact="0.5"/>
              <dgm:constr type="t" for="ch" forName="rect6ParTx" refType="t" refFor="ch" refForName="rect6"/>
              <dgm:constr type="b" for="ch" forName="rect6ParTx" refType="t" refFor="ch" refForName="rect7"/>
              <dgm:constr type="r" for="ch" forName="rect6ChTx" refType="l" refFor="ch" refForName="rect6ParTx"/>
              <dgm:constr type="w" for="ch" forName="rect6ChTx" refType="w" refFor="ch" refForName="rect6ParTx"/>
              <dgm:constr type="t" for="ch" forName="rect6ChTx" refType="t" refFor="ch" refForName="rect6ParTx"/>
              <dgm:constr type="b" for="ch" forName="rect6ChTx" refType="b" refFor="ch" refForName="rect6ParTx"/>
              <dgm:constr type="r" for="ch" forName="rect6ParTxNoCh" refType="l" refFor="ch" refForName="space"/>
              <dgm:constr type="w" for="ch" forName="rect6ParTxNoCh" refType="w" refFor="ch" refForName="rect6"/>
              <dgm:constr type="t" for="ch" forName="rect6ParTxNoCh" refType="t" refFor="ch" refForName="rect6"/>
              <dgm:constr type="b" for="ch" forName="rect6ParTxNoCh" refType="t" refFor="ch" refForName="rect7"/>
              <dgm:constr type="primFontSz" for="ch" op="equ" val="65"/>
              <dgm:constr type="secFontSz" for="ch" op="equ" val="65"/>
            </dgm:constrLst>
          </dgm:if>
          <dgm:else name="Name21">
            <dgm:constrLst/>
          </dgm:else>
        </dgm:choose>
      </dgm:else>
    </dgm:choose>
    <dgm:ruleLst/>
    <dgm:forEach name="Name22" axis="ch" ptType="node" cnt="1">
      <dgm:layoutNode name="circle1" styleLbl="node1">
        <dgm:alg type="sp"/>
        <dgm:choose name="Name23">
          <dgm:if name="Name24" func="var" arg="dir" op="equ" val="norm">
            <dgm:shape xmlns:r="http://schemas.openxmlformats.org/officeDocument/2006/relationships" type="pie" r:blip="">
              <dgm:adjLst>
                <dgm:adj idx="1" val="90"/>
                <dgm:adj idx="2" val="270"/>
              </dgm:adjLst>
            </dgm:shape>
          </dgm:if>
          <dgm:else name="Name25">
            <dgm:shape xmlns:r="http://schemas.openxmlformats.org/officeDocument/2006/relationships" type="pie" r:blip="">
              <dgm:adjLst>
                <dgm:adj idx="1" val="270"/>
                <dgm:adj idx="2" val="90"/>
              </dgm:adjLst>
            </dgm:shape>
          </dgm:else>
        </dgm:choose>
        <dgm:presOf/>
        <dgm:constrLst/>
        <dgm:ruleLst/>
      </dgm:layoutNode>
      <dgm:layoutNode name="space">
        <dgm:alg type="sp"/>
        <dgm:shape xmlns:r="http://schemas.openxmlformats.org/officeDocument/2006/relationships" r:blip="">
          <dgm:adjLst/>
        </dgm:shape>
        <dgm:presOf/>
        <dgm:constrLst/>
        <dgm:ruleLst/>
      </dgm:layoutNode>
      <dgm:layoutNode name="rect1" styleLbl="alignAcc1">
        <dgm:alg type="sp"/>
        <dgm:shape xmlns:r="http://schemas.openxmlformats.org/officeDocument/2006/relationships" type="rect" r:blip="">
          <dgm:adjLst/>
        </dgm:shape>
        <dgm:presOf axis="self"/>
        <dgm:constrLst/>
        <dgm:ruleLst/>
      </dgm:layoutNode>
    </dgm:forEach>
    <dgm:forEach name="Name26" axis="ch" ptType="node" st="2" cnt="1">
      <dgm:layoutNode name="vertSpace2">
        <dgm:alg type="sp"/>
        <dgm:shape xmlns:r="http://schemas.openxmlformats.org/officeDocument/2006/relationships" type="rect" r:blip="" hideGeom="1">
          <dgm:adjLst/>
        </dgm:shape>
        <dgm:presOf/>
        <dgm:constrLst/>
        <dgm:ruleLst/>
      </dgm:layoutNode>
      <dgm:layoutNode name="circle2" styleLbl="node1">
        <dgm:alg type="sp"/>
        <dgm:choose name="Name27">
          <dgm:if name="Name28" func="var" arg="dir" op="equ" val="norm">
            <dgm:shape xmlns:r="http://schemas.openxmlformats.org/officeDocument/2006/relationships" type="pie" r:blip="">
              <dgm:adjLst>
                <dgm:adj idx="1" val="90"/>
                <dgm:adj idx="2" val="270"/>
              </dgm:adjLst>
            </dgm:shape>
          </dgm:if>
          <dgm:else name="Name29">
            <dgm:shape xmlns:r="http://schemas.openxmlformats.org/officeDocument/2006/relationships" type="pie" r:blip="">
              <dgm:adjLst>
                <dgm:adj idx="1" val="270"/>
                <dgm:adj idx="2" val="90"/>
              </dgm:adjLst>
            </dgm:shape>
          </dgm:else>
        </dgm:choose>
        <dgm:presOf/>
        <dgm:constrLst/>
        <dgm:ruleLst/>
      </dgm:layoutNode>
      <dgm:layoutNode name="rect2" styleLbl="alignAcc1">
        <dgm:alg type="sp"/>
        <dgm:shape xmlns:r="http://schemas.openxmlformats.org/officeDocument/2006/relationships" type="rect" r:blip="">
          <dgm:adjLst/>
        </dgm:shape>
        <dgm:presOf axis="self"/>
        <dgm:constrLst/>
        <dgm:ruleLst/>
      </dgm:layoutNode>
    </dgm:forEach>
    <dgm:forEach name="Name30" axis="ch" ptType="node" st="3" cnt="1">
      <dgm:layoutNode name="vertSpace3">
        <dgm:alg type="sp"/>
        <dgm:shape xmlns:r="http://schemas.openxmlformats.org/officeDocument/2006/relationships" type="rect" r:blip="" hideGeom="1">
          <dgm:adjLst/>
        </dgm:shape>
        <dgm:presOf/>
        <dgm:constrLst/>
        <dgm:ruleLst/>
      </dgm:layoutNode>
      <dgm:layoutNode name="circle3" styleLbl="node1">
        <dgm:alg type="sp"/>
        <dgm:choose name="Name31">
          <dgm:if name="Name32" func="var" arg="dir" op="equ" val="norm">
            <dgm:shape xmlns:r="http://schemas.openxmlformats.org/officeDocument/2006/relationships" type="pie" r:blip="">
              <dgm:adjLst>
                <dgm:adj idx="1" val="90"/>
                <dgm:adj idx="2" val="270"/>
              </dgm:adjLst>
            </dgm:shape>
          </dgm:if>
          <dgm:else name="Name33">
            <dgm:shape xmlns:r="http://schemas.openxmlformats.org/officeDocument/2006/relationships" type="pie" r:blip="">
              <dgm:adjLst>
                <dgm:adj idx="1" val="270"/>
                <dgm:adj idx="2" val="90"/>
              </dgm:adjLst>
            </dgm:shape>
          </dgm:else>
        </dgm:choose>
        <dgm:presOf/>
        <dgm:constrLst/>
        <dgm:ruleLst/>
      </dgm:layoutNode>
      <dgm:layoutNode name="rect3" styleLbl="alignAcc1">
        <dgm:alg type="sp"/>
        <dgm:shape xmlns:r="http://schemas.openxmlformats.org/officeDocument/2006/relationships" type="rect" r:blip="">
          <dgm:adjLst/>
        </dgm:shape>
        <dgm:presOf axis="self"/>
        <dgm:constrLst/>
        <dgm:ruleLst/>
      </dgm:layoutNode>
    </dgm:forEach>
    <dgm:forEach name="Name34" axis="ch" ptType="node" st="4" cnt="1">
      <dgm:layoutNode name="vertSpace4">
        <dgm:alg type="sp"/>
        <dgm:shape xmlns:r="http://schemas.openxmlformats.org/officeDocument/2006/relationships" type="rect" r:blip="" hideGeom="1">
          <dgm:adjLst/>
        </dgm:shape>
        <dgm:presOf/>
        <dgm:constrLst/>
        <dgm:ruleLst/>
      </dgm:layoutNode>
      <dgm:layoutNode name="circle4" styleLbl="node1">
        <dgm:alg type="sp"/>
        <dgm:choose name="Name35">
          <dgm:if name="Name36" func="var" arg="dir" op="equ" val="norm">
            <dgm:shape xmlns:r="http://schemas.openxmlformats.org/officeDocument/2006/relationships" type="pie" r:blip="">
              <dgm:adjLst>
                <dgm:adj idx="1" val="90"/>
                <dgm:adj idx="2" val="270"/>
              </dgm:adjLst>
            </dgm:shape>
          </dgm:if>
          <dgm:else name="Name37">
            <dgm:shape xmlns:r="http://schemas.openxmlformats.org/officeDocument/2006/relationships" type="pie" r:blip="">
              <dgm:adjLst>
                <dgm:adj idx="1" val="270"/>
                <dgm:adj idx="2" val="90"/>
              </dgm:adjLst>
            </dgm:shape>
          </dgm:else>
        </dgm:choose>
        <dgm:presOf/>
        <dgm:constrLst/>
        <dgm:ruleLst/>
      </dgm:layoutNode>
      <dgm:layoutNode name="rect4" styleLbl="alignAcc1">
        <dgm:alg type="sp"/>
        <dgm:shape xmlns:r="http://schemas.openxmlformats.org/officeDocument/2006/relationships" type="rect" r:blip="">
          <dgm:adjLst/>
        </dgm:shape>
        <dgm:presOf axis="self"/>
        <dgm:constrLst/>
        <dgm:ruleLst/>
      </dgm:layoutNode>
    </dgm:forEach>
    <dgm:forEach name="Name38" axis="ch" ptType="node" st="5" cnt="1">
      <dgm:layoutNode name="vertSpace5">
        <dgm:alg type="sp"/>
        <dgm:shape xmlns:r="http://schemas.openxmlformats.org/officeDocument/2006/relationships" type="rect" r:blip="" hideGeom="1">
          <dgm:adjLst/>
        </dgm:shape>
        <dgm:presOf/>
        <dgm:constrLst/>
        <dgm:ruleLst/>
      </dgm:layoutNode>
      <dgm:layoutNode name="circle5" styleLbl="node1">
        <dgm:alg type="sp"/>
        <dgm:choose name="Name39">
          <dgm:if name="Name40" func="var" arg="dir" op="equ" val="norm">
            <dgm:shape xmlns:r="http://schemas.openxmlformats.org/officeDocument/2006/relationships" type="pie" r:blip="">
              <dgm:adjLst>
                <dgm:adj idx="1" val="90"/>
                <dgm:adj idx="2" val="270"/>
              </dgm:adjLst>
            </dgm:shape>
          </dgm:if>
          <dgm:else name="Name41">
            <dgm:shape xmlns:r="http://schemas.openxmlformats.org/officeDocument/2006/relationships" type="pie" r:blip="">
              <dgm:adjLst>
                <dgm:adj idx="1" val="270"/>
                <dgm:adj idx="2" val="90"/>
              </dgm:adjLst>
            </dgm:shape>
          </dgm:else>
        </dgm:choose>
        <dgm:presOf/>
        <dgm:constrLst/>
        <dgm:ruleLst/>
      </dgm:layoutNode>
      <dgm:layoutNode name="rect5" styleLbl="alignAcc1">
        <dgm:alg type="sp"/>
        <dgm:shape xmlns:r="http://schemas.openxmlformats.org/officeDocument/2006/relationships" type="rect" r:blip="">
          <dgm:adjLst/>
        </dgm:shape>
        <dgm:presOf axis="self"/>
        <dgm:constrLst/>
        <dgm:ruleLst/>
      </dgm:layoutNode>
    </dgm:forEach>
    <dgm:forEach name="Name42" axis="ch" ptType="node" st="6" cnt="1">
      <dgm:layoutNode name="vertSpace6">
        <dgm:alg type="sp"/>
        <dgm:shape xmlns:r="http://schemas.openxmlformats.org/officeDocument/2006/relationships" type="rect" r:blip="" hideGeom="1">
          <dgm:adjLst/>
        </dgm:shape>
        <dgm:presOf/>
        <dgm:constrLst/>
        <dgm:ruleLst/>
      </dgm:layoutNode>
      <dgm:layoutNode name="circle6" styleLbl="node1">
        <dgm:alg type="sp"/>
        <dgm:choose name="Name43">
          <dgm:if name="Name44" func="var" arg="dir" op="equ" val="norm">
            <dgm:shape xmlns:r="http://schemas.openxmlformats.org/officeDocument/2006/relationships" type="pie" r:blip="">
              <dgm:adjLst>
                <dgm:adj idx="1" val="90"/>
                <dgm:adj idx="2" val="270"/>
              </dgm:adjLst>
            </dgm:shape>
          </dgm:if>
          <dgm:else name="Name45">
            <dgm:shape xmlns:r="http://schemas.openxmlformats.org/officeDocument/2006/relationships" type="pie" r:blip="">
              <dgm:adjLst>
                <dgm:adj idx="1" val="270"/>
                <dgm:adj idx="2" val="90"/>
              </dgm:adjLst>
            </dgm:shape>
          </dgm:else>
        </dgm:choose>
        <dgm:presOf/>
        <dgm:constrLst/>
        <dgm:ruleLst/>
      </dgm:layoutNode>
      <dgm:layoutNode name="rect6" styleLbl="alignAcc1">
        <dgm:alg type="sp"/>
        <dgm:shape xmlns:r="http://schemas.openxmlformats.org/officeDocument/2006/relationships" type="rect" r:blip="">
          <dgm:adjLst/>
        </dgm:shape>
        <dgm:presOf axis="self"/>
        <dgm:constrLst/>
        <dgm:ruleLst/>
      </dgm:layoutNode>
    </dgm:forEach>
    <dgm:forEach name="Name46" axis="ch" ptType="node" st="7" cnt="1">
      <dgm:layoutNode name="vertSpace7">
        <dgm:alg type="sp"/>
        <dgm:shape xmlns:r="http://schemas.openxmlformats.org/officeDocument/2006/relationships" type="rect" r:blip="" hideGeom="1">
          <dgm:adjLst/>
        </dgm:shape>
        <dgm:presOf/>
        <dgm:constrLst/>
        <dgm:ruleLst/>
      </dgm:layoutNode>
      <dgm:layoutNode name="circle7" styleLbl="node1">
        <dgm:alg type="sp"/>
        <dgm:choose name="Name47">
          <dgm:if name="Name48" func="var" arg="dir" op="equ" val="norm">
            <dgm:shape xmlns:r="http://schemas.openxmlformats.org/officeDocument/2006/relationships" type="pie" r:blip="">
              <dgm:adjLst>
                <dgm:adj idx="1" val="90"/>
                <dgm:adj idx="2" val="270"/>
              </dgm:adjLst>
            </dgm:shape>
          </dgm:if>
          <dgm:else name="Name49">
            <dgm:shape xmlns:r="http://schemas.openxmlformats.org/officeDocument/2006/relationships" type="pie" r:blip="">
              <dgm:adjLst>
                <dgm:adj idx="1" val="270"/>
                <dgm:adj idx="2" val="90"/>
              </dgm:adjLst>
            </dgm:shape>
          </dgm:else>
        </dgm:choose>
        <dgm:presOf/>
        <dgm:constrLst/>
        <dgm:ruleLst/>
      </dgm:layoutNode>
      <dgm:layoutNode name="rect7" styleLbl="alignAcc1">
        <dgm:alg type="sp"/>
        <dgm:shape xmlns:r="http://schemas.openxmlformats.org/officeDocument/2006/relationships" type="rect" r:blip="">
          <dgm:adjLst/>
        </dgm:shape>
        <dgm:presOf axis="self"/>
        <dgm:constrLst/>
        <dgm:ruleLst/>
      </dgm:layoutNode>
    </dgm:forEach>
    <dgm:forEach name="Name50" axis="ch" ptType="node" cnt="1">
      <dgm:choose name="Name51">
        <dgm:if name="Name52" axis="root des" ptType="all node" func="maxDepth" op="gte" val="2">
          <dgm:layoutNode name="rect1ParTx" styleLbl="alignAcc1">
            <dgm:varLst>
              <dgm:chMax val="1"/>
              <dgm:bulletEnabled val="1"/>
            </dgm:varLst>
            <dgm:alg type="tx"/>
            <dgm:shape xmlns:r="http://schemas.openxmlformats.org/officeDocument/2006/relationships" type="rect" r:blip="" hideGeom="1">
              <dgm:adjLst/>
            </dgm:shape>
            <dgm:presOf axis="self"/>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ect1ChTx" styleLbl="alignAcc1">
            <dgm:varLst>
              <dgm:bulletEnabled val="1"/>
            </dgm:varLst>
            <dgm:alg type="tx">
              <dgm:param type="stBulletLvl" val="1"/>
              <dgm:param type="txAnchorVertCh" val="mid"/>
            </dgm:alg>
            <dgm:shape xmlns:r="http://schemas.openxmlformats.org/officeDocument/2006/relationships" type="rect" r:blip="" hideGeom="1">
              <dgm:adjLst/>
            </dgm:shape>
            <dgm:presOf axis="des" ptType="node"/>
            <dgm:constrLst>
              <dgm:constr type="lMarg" refType="secFontSz" fact="0.3"/>
              <dgm:constr type="rMarg" refType="secFontSz" fact="0.3"/>
              <dgm:constr type="tMarg" refType="secFontSz" fact="0.3"/>
              <dgm:constr type="bMarg" refType="secFontSz" fact="0.3"/>
            </dgm:constrLst>
            <dgm:ruleLst>
              <dgm:rule type="secFontSz" val="5" fact="NaN" max="NaN"/>
            </dgm:ruleLst>
          </dgm:layoutNode>
        </dgm:if>
        <dgm:else name="Name53">
          <dgm:layoutNode name="rect1ParTxNoCh" styleLbl="alignAcc1">
            <dgm:varLst>
              <dgm:chMax val="1"/>
              <dgm:bulletEnabled val="1"/>
            </dgm:varLst>
            <dgm:alg type="tx"/>
            <dgm:shape xmlns:r="http://schemas.openxmlformats.org/officeDocument/2006/relationships" type="rect" r:blip="" hideGeom="1">
              <dgm:adjLst/>
            </dgm:shape>
            <dgm:presOf axis="self"/>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else>
      </dgm:choose>
    </dgm:forEach>
    <dgm:forEach name="Name54" axis="ch" ptType="node" st="2" cnt="1">
      <dgm:choose name="Name55">
        <dgm:if name="Name56" axis="root des" ptType="all node" func="maxDepth" op="gte" val="2">
          <dgm:layoutNode name="rect2ParTx" styleLbl="alignAcc1">
            <dgm:varLst>
              <dgm:chMax val="1"/>
              <dgm:bulletEnabled val="1"/>
            </dgm:varLst>
            <dgm:alg type="tx"/>
            <dgm:shape xmlns:r="http://schemas.openxmlformats.org/officeDocument/2006/relationships" type="rect" r:blip="" hideGeom="1">
              <dgm:adjLst/>
            </dgm:shape>
            <dgm:presOf axis="self"/>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ect2ChTx" styleLbl="alignAcc1">
            <dgm:varLst>
              <dgm:bulletEnabled val="1"/>
            </dgm:varLst>
            <dgm:alg type="tx">
              <dgm:param type="stBulletLvl" val="1"/>
              <dgm:param type="txAnchorVertCh" val="mid"/>
            </dgm:alg>
            <dgm:shape xmlns:r="http://schemas.openxmlformats.org/officeDocument/2006/relationships" type="rect" r:blip="" hideGeom="1">
              <dgm:adjLst/>
            </dgm:shape>
            <dgm:presOf axis="des" ptType="node"/>
            <dgm:constrLst>
              <dgm:constr type="lMarg" refType="secFontSz" fact="0.3"/>
              <dgm:constr type="rMarg" refType="secFontSz" fact="0.3"/>
              <dgm:constr type="tMarg" refType="secFontSz" fact="0.3"/>
              <dgm:constr type="bMarg" refType="secFontSz" fact="0.3"/>
            </dgm:constrLst>
            <dgm:ruleLst>
              <dgm:rule type="secFontSz" val="5" fact="NaN" max="NaN"/>
            </dgm:ruleLst>
          </dgm:layoutNode>
        </dgm:if>
        <dgm:else name="Name57">
          <dgm:layoutNode name="rect2ParTxNoCh" styleLbl="alignAcc1">
            <dgm:varLst>
              <dgm:chMax val="1"/>
              <dgm:bulletEnabled val="1"/>
            </dgm:varLst>
            <dgm:alg type="tx"/>
            <dgm:shape xmlns:r="http://schemas.openxmlformats.org/officeDocument/2006/relationships" type="rect" r:blip="" hideGeom="1">
              <dgm:adjLst/>
            </dgm:shape>
            <dgm:presOf axis="self"/>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else>
      </dgm:choose>
    </dgm:forEach>
    <dgm:forEach name="Name58" axis="ch" ptType="node" st="3" cnt="1">
      <dgm:choose name="Name59">
        <dgm:if name="Name60" axis="root des" ptType="all node" func="maxDepth" op="gte" val="2">
          <dgm:layoutNode name="rect3ParTx" styleLbl="alignAcc1">
            <dgm:varLst>
              <dgm:chMax val="1"/>
              <dgm:bulletEnabled val="1"/>
            </dgm:varLst>
            <dgm:alg type="tx"/>
            <dgm:shape xmlns:r="http://schemas.openxmlformats.org/officeDocument/2006/relationships" type="rect" r:blip="" hideGeom="1">
              <dgm:adjLst/>
            </dgm:shape>
            <dgm:presOf axis="self"/>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ect3ChTx" styleLbl="alignAcc1">
            <dgm:varLst>
              <dgm:bulletEnabled val="1"/>
            </dgm:varLst>
            <dgm:alg type="tx">
              <dgm:param type="stBulletLvl" val="1"/>
              <dgm:param type="txAnchorVertCh" val="mid"/>
            </dgm:alg>
            <dgm:shape xmlns:r="http://schemas.openxmlformats.org/officeDocument/2006/relationships" type="rect" r:blip="" hideGeom="1">
              <dgm:adjLst/>
            </dgm:shape>
            <dgm:presOf axis="des" ptType="node"/>
            <dgm:constrLst>
              <dgm:constr type="lMarg" refType="secFontSz" fact="0.3"/>
              <dgm:constr type="rMarg" refType="secFontSz" fact="0.3"/>
              <dgm:constr type="tMarg" refType="secFontSz" fact="0.3"/>
              <dgm:constr type="bMarg" refType="secFontSz" fact="0.3"/>
            </dgm:constrLst>
            <dgm:ruleLst>
              <dgm:rule type="secFontSz" val="5" fact="NaN" max="NaN"/>
            </dgm:ruleLst>
          </dgm:layoutNode>
        </dgm:if>
        <dgm:else name="Name61">
          <dgm:layoutNode name="rect3ParTxNoCh" styleLbl="alignAcc1">
            <dgm:varLst>
              <dgm:chMax val="1"/>
              <dgm:bulletEnabled val="1"/>
            </dgm:varLst>
            <dgm:alg type="tx"/>
            <dgm:shape xmlns:r="http://schemas.openxmlformats.org/officeDocument/2006/relationships" type="rect" r:blip="" hideGeom="1">
              <dgm:adjLst/>
            </dgm:shape>
            <dgm:presOf axis="self"/>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else>
      </dgm:choose>
    </dgm:forEach>
    <dgm:forEach name="Name62" axis="ch" ptType="node" st="4" cnt="1">
      <dgm:choose name="Name63">
        <dgm:if name="Name64" axis="root des" ptType="all node" func="maxDepth" op="gte" val="2">
          <dgm:layoutNode name="rect4ParTx" styleLbl="alignAcc1">
            <dgm:varLst>
              <dgm:chMax val="1"/>
              <dgm:bulletEnabled val="1"/>
            </dgm:varLst>
            <dgm:alg type="tx"/>
            <dgm:shape xmlns:r="http://schemas.openxmlformats.org/officeDocument/2006/relationships" type="rect" r:blip="" hideGeom="1">
              <dgm:adjLst/>
            </dgm:shape>
            <dgm:presOf axis="self"/>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ect4ChTx" styleLbl="alignAcc1">
            <dgm:varLst>
              <dgm:bulletEnabled val="1"/>
            </dgm:varLst>
            <dgm:alg type="tx">
              <dgm:param type="stBulletLvl" val="1"/>
              <dgm:param type="txAnchorVertCh" val="mid"/>
            </dgm:alg>
            <dgm:shape xmlns:r="http://schemas.openxmlformats.org/officeDocument/2006/relationships" type="rect" r:blip="" hideGeom="1">
              <dgm:adjLst/>
            </dgm:shape>
            <dgm:presOf axis="des" ptType="node"/>
            <dgm:constrLst>
              <dgm:constr type="lMarg" refType="secFontSz" fact="0.3"/>
              <dgm:constr type="rMarg" refType="secFontSz" fact="0.3"/>
              <dgm:constr type="tMarg" refType="secFontSz" fact="0.3"/>
              <dgm:constr type="bMarg" refType="secFontSz" fact="0.3"/>
            </dgm:constrLst>
            <dgm:ruleLst>
              <dgm:rule type="secFontSz" val="5" fact="NaN" max="NaN"/>
            </dgm:ruleLst>
          </dgm:layoutNode>
        </dgm:if>
        <dgm:else name="Name65">
          <dgm:layoutNode name="rect4ParTxNoCh" styleLbl="alignAcc1">
            <dgm:varLst>
              <dgm:chMax val="1"/>
              <dgm:bulletEnabled val="1"/>
            </dgm:varLst>
            <dgm:alg type="tx"/>
            <dgm:shape xmlns:r="http://schemas.openxmlformats.org/officeDocument/2006/relationships" type="rect" r:blip="" hideGeom="1">
              <dgm:adjLst/>
            </dgm:shape>
            <dgm:presOf axis="self"/>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else>
      </dgm:choose>
    </dgm:forEach>
    <dgm:forEach name="Name66" axis="ch" ptType="node" st="5" cnt="1">
      <dgm:choose name="Name67">
        <dgm:if name="Name68" axis="root des" ptType="all node" func="maxDepth" op="gte" val="2">
          <dgm:layoutNode name="rect5ParTx" styleLbl="alignAcc1">
            <dgm:varLst>
              <dgm:chMax val="1"/>
              <dgm:bulletEnabled val="1"/>
            </dgm:varLst>
            <dgm:alg type="tx"/>
            <dgm:shape xmlns:r="http://schemas.openxmlformats.org/officeDocument/2006/relationships" type="rect" r:blip="" hideGeom="1">
              <dgm:adjLst/>
            </dgm:shape>
            <dgm:presOf axis="self"/>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ect5ChTx" styleLbl="alignAcc1">
            <dgm:varLst>
              <dgm:bulletEnabled val="1"/>
            </dgm:varLst>
            <dgm:alg type="tx">
              <dgm:param type="stBulletLvl" val="1"/>
              <dgm:param type="txAnchorVertCh" val="mid"/>
            </dgm:alg>
            <dgm:shape xmlns:r="http://schemas.openxmlformats.org/officeDocument/2006/relationships" type="rect" r:blip="" hideGeom="1">
              <dgm:adjLst/>
            </dgm:shape>
            <dgm:presOf axis="des" ptType="node"/>
            <dgm:constrLst>
              <dgm:constr type="lMarg" refType="secFontSz" fact="0.3"/>
              <dgm:constr type="rMarg" refType="secFontSz" fact="0.3"/>
              <dgm:constr type="tMarg" refType="secFontSz" fact="0.3"/>
              <dgm:constr type="bMarg" refType="secFontSz" fact="0.3"/>
            </dgm:constrLst>
            <dgm:ruleLst>
              <dgm:rule type="secFontSz" val="5" fact="NaN" max="NaN"/>
            </dgm:ruleLst>
          </dgm:layoutNode>
        </dgm:if>
        <dgm:else name="Name69">
          <dgm:layoutNode name="rect5ParTxNoCh" styleLbl="alignAcc1">
            <dgm:varLst>
              <dgm:chMax val="1"/>
              <dgm:bulletEnabled val="1"/>
            </dgm:varLst>
            <dgm:alg type="tx"/>
            <dgm:shape xmlns:r="http://schemas.openxmlformats.org/officeDocument/2006/relationships" type="rect" r:blip="" hideGeom="1">
              <dgm:adjLst/>
            </dgm:shape>
            <dgm:presOf axis="self"/>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else>
      </dgm:choose>
    </dgm:forEach>
    <dgm:forEach name="Name70" axis="ch" ptType="node" st="6" cnt="1">
      <dgm:choose name="Name71">
        <dgm:if name="Name72" axis="root des" ptType="all node" func="maxDepth" op="gte" val="2">
          <dgm:layoutNode name="rect6ParTx" styleLbl="alignAcc1">
            <dgm:varLst>
              <dgm:chMax val="1"/>
              <dgm:bulletEnabled val="1"/>
            </dgm:varLst>
            <dgm:alg type="tx"/>
            <dgm:shape xmlns:r="http://schemas.openxmlformats.org/officeDocument/2006/relationships" type="rect" r:blip="" hideGeom="1">
              <dgm:adjLst/>
            </dgm:shape>
            <dgm:presOf axis="self"/>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ect6ChTx" styleLbl="alignAcc1">
            <dgm:varLst>
              <dgm:bulletEnabled val="1"/>
            </dgm:varLst>
            <dgm:alg type="tx">
              <dgm:param type="stBulletLvl" val="1"/>
              <dgm:param type="txAnchorVertCh" val="mid"/>
            </dgm:alg>
            <dgm:shape xmlns:r="http://schemas.openxmlformats.org/officeDocument/2006/relationships" type="rect" r:blip="" hideGeom="1">
              <dgm:adjLst/>
            </dgm:shape>
            <dgm:presOf axis="des" ptType="node"/>
            <dgm:constrLst>
              <dgm:constr type="lMarg" refType="secFontSz" fact="0.3"/>
              <dgm:constr type="rMarg" refType="secFontSz" fact="0.3"/>
              <dgm:constr type="tMarg" refType="secFontSz" fact="0.3"/>
              <dgm:constr type="bMarg" refType="secFontSz" fact="0.3"/>
            </dgm:constrLst>
            <dgm:ruleLst>
              <dgm:rule type="secFontSz" val="5" fact="NaN" max="NaN"/>
            </dgm:ruleLst>
          </dgm:layoutNode>
        </dgm:if>
        <dgm:else name="Name73">
          <dgm:layoutNode name="rect6ParTxNoCh" styleLbl="alignAcc1">
            <dgm:varLst>
              <dgm:chMax val="1"/>
              <dgm:bulletEnabled val="1"/>
            </dgm:varLst>
            <dgm:alg type="tx"/>
            <dgm:shape xmlns:r="http://schemas.openxmlformats.org/officeDocument/2006/relationships" type="rect" r:blip="" hideGeom="1">
              <dgm:adjLst/>
            </dgm:shape>
            <dgm:presOf axis="self"/>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else>
      </dgm:choose>
    </dgm:forEach>
    <dgm:forEach name="Name74" axis="ch" ptType="node" st="7" cnt="1">
      <dgm:choose name="Name75">
        <dgm:if name="Name76" axis="root des" ptType="all node" func="maxDepth" op="gte" val="2">
          <dgm:layoutNode name="rect7ParTx" styleLbl="alignAcc1">
            <dgm:varLst>
              <dgm:chMax val="1"/>
              <dgm:bulletEnabled val="1"/>
            </dgm:varLst>
            <dgm:alg type="tx"/>
            <dgm:shape xmlns:r="http://schemas.openxmlformats.org/officeDocument/2006/relationships" type="rect" r:blip="" hideGeom="1">
              <dgm:adjLst/>
            </dgm:shape>
            <dgm:presOf axis="self"/>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ect7ChTx" styleLbl="alignAcc1">
            <dgm:varLst>
              <dgm:bulletEnabled val="1"/>
            </dgm:varLst>
            <dgm:alg type="tx">
              <dgm:param type="stBulletLvl" val="1"/>
              <dgm:param type="txAnchorVertCh" val="mid"/>
            </dgm:alg>
            <dgm:shape xmlns:r="http://schemas.openxmlformats.org/officeDocument/2006/relationships" type="rect" r:blip="" hideGeom="1">
              <dgm:adjLst/>
            </dgm:shape>
            <dgm:presOf axis="des" ptType="node"/>
            <dgm:constrLst>
              <dgm:constr type="lMarg" refType="secFontSz" fact="0.3"/>
              <dgm:constr type="rMarg" refType="secFontSz" fact="0.3"/>
              <dgm:constr type="tMarg" refType="secFontSz" fact="0.3"/>
              <dgm:constr type="bMarg" refType="secFontSz" fact="0.3"/>
            </dgm:constrLst>
            <dgm:ruleLst>
              <dgm:rule type="secFontSz" val="5" fact="NaN" max="NaN"/>
            </dgm:ruleLst>
          </dgm:layoutNode>
        </dgm:if>
        <dgm:else name="Name77">
          <dgm:layoutNode name="rect7ParTxNoCh" styleLbl="alignAcc1">
            <dgm:varLst>
              <dgm:chMax val="1"/>
              <dgm:bulletEnabled val="1"/>
            </dgm:varLst>
            <dgm:alg type="tx"/>
            <dgm:shape xmlns:r="http://schemas.openxmlformats.org/officeDocument/2006/relationships" type="rect" r:blip="" hideGeom="1">
              <dgm:adjLst/>
            </dgm:shape>
            <dgm:presOf axis="self"/>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else>
      </dgm:choose>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5E121C8-7C2F-49AC-84B7-52419B3A65C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201</Pages>
  <Words>178172</Words>
  <Characters>1015584</Characters>
  <Application>Microsoft Office Word</Application>
  <DocSecurity>0</DocSecurity>
  <Lines>8463</Lines>
  <Paragraphs>2382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1191374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Dr Penny Smith</dc:creator>
  <cp:keywords/>
  <dc:description/>
  <cp:lastModifiedBy>Eva Nansukusa</cp:lastModifiedBy>
  <cp:revision>2</cp:revision>
  <dcterms:created xsi:type="dcterms:W3CDTF">2022-06-28T13:55:00Z</dcterms:created>
  <dcterms:modified xsi:type="dcterms:W3CDTF">2022-06-28T13:55:00Z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ZOTERO_PREF_1">
    <vt:lpwstr>&lt;data data-version="3" zotero-version="6.0.7"&gt;&lt;session id="aZbwIlcN"/&gt;&lt;style id="http://www.zotero.org/styles/national-institute-of-health-research" hasBibliography="1" bibliographyStyleHasBeenSet="1"/&gt;&lt;prefs&gt;&lt;pref name="fieldType" value="Field"/&gt;&lt;pref na</vt:lpwstr>
  </property>
  <property fmtid="{D5CDD505-2E9C-101B-9397-08002B2CF9AE}" pid="3" name="ZOTERO_PREF_2">
    <vt:lpwstr>me="delayCitationUpdates" value="true"/&gt;&lt;pref name="dontAskDelayCitationUpdates" value="true"/&gt;&lt;/prefs&gt;&lt;/data&gt;</vt:lpwstr>
  </property>
</Properties>
</file>